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ipower_i10q-033123.htm"/>
        <w:bookmarkStart w:id="1" w:name="ksipower_i10q033123"/>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8_edei--DocumentType_c20220701__20"/>
      <w:bookmarkEnd w:id="2"/>
      <w:r>
        <w:rPr>
          <w:rFonts w:ascii="Times New Roman;Times;Serif" w:hAnsi="Times New Roman;Times;Serif"/>
          <w:b/>
          <w:i w:val="false"/>
          <w:caps w:val="false"/>
          <w:smallCaps w:val="false"/>
          <w:sz w:val="24"/>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p>
      <w:pPr>
        <w:pStyle w:val="TextBody"/>
        <w:bidi w:val="0"/>
        <w:spacing w:before="0" w:after="0"/>
        <w:ind w:left="0" w:right="0" w:hanging="0"/>
        <w:jc w:val="center"/>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75"/>
        <w:gridCol w:w="230"/>
        <w:gridCol w:w="8735"/>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caps/>
              </w:rPr>
            </w:pPr>
            <w:bookmarkStart w:id="3" w:name="xdx_90C_edei--DocumentQuarterlyReport_c2"/>
            <w:bookmarkEnd w:id="3"/>
            <w:r>
              <w:rPr>
                <w:caps/>
              </w:rPr>
              <w:t>☒</w:t>
            </w:r>
          </w:p>
        </w:tc>
        <w:tc>
          <w:tcPr>
            <w:tcW w:w="8735" w:type="dxa"/>
            <w:tcBorders/>
            <w:vAlign w:val="center"/>
          </w:tcPr>
          <w:p>
            <w:pPr>
              <w:pStyle w:val="TableContents"/>
              <w:bidi w:val="0"/>
              <w:spacing w:before="0" w:after="283"/>
              <w:jc w:val="both"/>
              <w:rPr>
                <w:sz w:val="20"/>
              </w:rPr>
            </w:pPr>
            <w:r>
              <w:rPr>
                <w:rFonts w:ascii="Times New Roman;Times;Serif" w:hAnsi="Times New Roman;Times;Serif"/>
                <w:caps/>
                <w:sz w:val="20"/>
              </w:rPr>
              <w:t>Quarterly Report UNDER Section 13 or 15(</w:t>
            </w:r>
            <w:r>
              <w:rPr>
                <w:rFonts w:ascii="Times New Roman;Times;Serif" w:hAnsi="Times New Roman;Times;Serif"/>
                <w:sz w:val="20"/>
              </w:rPr>
              <w:t>d</w:t>
            </w:r>
            <w:r>
              <w:rPr>
                <w:rFonts w:ascii="Times New Roman;Times;Serif" w:hAnsi="Times New Roman;Times;Serif"/>
                <w:caps/>
                <w:sz w:val="20"/>
              </w:rPr>
              <w:t>)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1_edei--DocumentPeriodEndDate_c202"/>
      <w:bookmarkEnd w:id="4"/>
      <w:r>
        <w:rPr>
          <w:rFonts w:ascii="Times New Roman;Times;Serif" w:hAnsi="Times New Roman;Times;Serif"/>
          <w:b w:val="false"/>
          <w:i w:val="false"/>
          <w:caps w:val="false"/>
          <w:smallCaps w:val="false"/>
          <w:sz w:val="20"/>
        </w:rPr>
        <w:t>March 31,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75"/>
        <w:gridCol w:w="230"/>
        <w:gridCol w:w="8705"/>
      </w:tblGrid>
      <w:tr>
        <w:trPr/>
        <w:tc>
          <w:tcPr>
            <w:tcW w:w="7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caps/>
              </w:rPr>
            </w:pPr>
            <w:bookmarkStart w:id="5" w:name="xdx_90E_edei--DocumentTransitionReport_c"/>
            <w:bookmarkEnd w:id="5"/>
            <w:r>
              <w:rPr>
                <w:caps/>
              </w:rPr>
              <w:t>☐</w:t>
            </w:r>
          </w:p>
        </w:tc>
        <w:tc>
          <w:tcPr>
            <w:tcW w:w="8705" w:type="dxa"/>
            <w:tcBorders/>
            <w:vAlign w:val="center"/>
          </w:tcPr>
          <w:p>
            <w:pPr>
              <w:pStyle w:val="TableContents"/>
              <w:bidi w:val="0"/>
              <w:spacing w:before="0" w:after="283"/>
              <w:jc w:val="both"/>
              <w:rPr/>
            </w:pPr>
            <w:r>
              <w:rPr>
                <w:rFonts w:ascii="Times New Roman;Times;Serif" w:hAnsi="Times New Roman;Times;Serif"/>
                <w:caps/>
                <w:sz w:val="20"/>
              </w:rPr>
              <w:t>Transition Report UNDER Section 13 or 15(</w:t>
            </w:r>
            <w:r>
              <w:rPr>
                <w:rFonts w:ascii="Times New Roman;Times;Serif" w:hAnsi="Times New Roman;Times;Serif"/>
                <w:sz w:val="20"/>
              </w:rPr>
              <w:t>d</w:t>
            </w:r>
            <w:r>
              <w:rPr>
                <w:rFonts w:ascii="Times New Roman;Times;Serif" w:hAnsi="Times New Roman;Times;Serif"/>
                <w:caps/>
                <w:sz w:val="20"/>
              </w:rPr>
              <w:t>) of the Securities Exchange Act of 1934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______________ to 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6" w:name="xdx_90A_edei--EntityFileNumber_c20220701"/>
      <w:bookmarkEnd w:id="6"/>
      <w:r>
        <w:rPr>
          <w:rFonts w:ascii="Times New Roman;Times;Serif" w:hAnsi="Times New Roman;Times;Serif"/>
          <w:b w:val="false"/>
          <w:i w:val="false"/>
          <w:caps w:val="false"/>
          <w:smallCaps w:val="false"/>
          <w:sz w:val="20"/>
        </w:rPr>
        <w:t>001-40391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7" w:name="xdx_903_edei--EntityRegistrantName_c2022"/>
      <w:bookmarkEnd w:id="7"/>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450" w:type="dxa"/>
        <w:jc w:val="left"/>
        <w:tblInd w:w="0" w:type="dxa"/>
        <w:tblLayout w:type="fixed"/>
        <w:tblCellMar>
          <w:top w:w="0" w:type="dxa"/>
          <w:left w:w="0" w:type="dxa"/>
          <w:bottom w:w="28" w:type="dxa"/>
          <w:right w:w="0" w:type="dxa"/>
        </w:tblCellMar>
      </w:tblPr>
      <w:tblGrid>
        <w:gridCol w:w="249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8" w:name="xdx_909_edei--EntityIncorporationStateCo"/>
            <w:bookmarkEnd w:id="8"/>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9" w:name="xdx_909_edei--EntityTaxIdentificationNum"/>
            <w:bookmarkEnd w:id="9"/>
            <w:r>
              <w:rPr>
                <w:rFonts w:ascii="Times New Roman;Times;Serif" w:hAnsi="Times New Roman;Times;Serif"/>
                <w:b/>
                <w:sz w:val="20"/>
              </w:rPr>
              <w:t xml:space="preserve">82-5144171 </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7_edei--EntityAddressAddressLine1_"/>
      <w:bookmarkEnd w:id="10"/>
      <w:r>
        <w:rPr>
          <w:rFonts w:ascii="Times New Roman;Times;Serif" w:hAnsi="Times New Roman;Times;Serif"/>
          <w:b/>
          <w:i w:val="false"/>
          <w:caps w:val="false"/>
          <w:smallCaps w:val="false"/>
          <w:sz w:val="20"/>
        </w:rPr>
        <w:t>2399 Bateman Avenue,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xdx_909_edei--EntityAddressCityOrTown_c2"/>
      <w:bookmarkEnd w:id="11"/>
      <w:r>
        <w:rPr>
          <w:rFonts w:ascii="Times New Roman;Times;Serif" w:hAnsi="Times New Roman;Times;Serif"/>
          <w:b/>
          <w:i w:val="false"/>
          <w:caps w:val="false"/>
          <w:smallCaps w:val="false"/>
          <w:sz w:val="20"/>
        </w:rPr>
        <w:t xml:space="preserve">Duarte, </w:t>
      </w:r>
      <w:bookmarkStart w:id="12" w:name="xdx_903_edei--EntityAddressStateOrProvin"/>
      <w:bookmarkEnd w:id="12"/>
      <w:r>
        <w:rPr>
          <w:rFonts w:ascii="Times New Roman;Times;Serif" w:hAnsi="Times New Roman;Times;Serif"/>
          <w:b/>
          <w:i w:val="false"/>
          <w:caps w:val="false"/>
          <w:smallCaps w:val="false"/>
          <w:sz w:val="20"/>
        </w:rPr>
        <w:t xml:space="preserve">CA </w:t>
      </w:r>
      <w:bookmarkStart w:id="13" w:name="xdx_901_edei--EntityAddressPostalZipCode"/>
      <w:bookmarkEnd w:id="13"/>
      <w:r>
        <w:rPr>
          <w:rFonts w:ascii="Times New Roman;Times;Serif" w:hAnsi="Times New Roman;Times;Serif"/>
          <w:b/>
          <w:i w:val="false"/>
          <w:caps w:val="false"/>
          <w:smallCaps w:val="false"/>
          <w:sz w:val="20"/>
        </w:rPr>
        <w:t>91010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xdx_900_edei--CityAreaCode_c20220701__20"/>
      <w:bookmarkEnd w:id="14"/>
      <w:r>
        <w:rPr>
          <w:rFonts w:ascii="Times New Roman;Times;Serif" w:hAnsi="Times New Roman;Times;Serif"/>
          <w:b/>
          <w:i w:val="false"/>
          <w:caps w:val="false"/>
          <w:smallCaps w:val="false"/>
          <w:sz w:val="20"/>
        </w:rPr>
        <w:t xml:space="preserve">(626) </w:t>
      </w:r>
      <w:bookmarkStart w:id="15" w:name="xdx_905_edei--LocalPhoneNumber_c20220701"/>
      <w:bookmarkEnd w:id="15"/>
      <w:r>
        <w:rPr>
          <w:rFonts w:ascii="Times New Roman;Times;Serif" w:hAnsi="Times New Roman;Times;Serif"/>
          <w:b/>
          <w:i w:val="false"/>
          <w:caps w:val="false"/>
          <w:smallCaps w:val="false"/>
          <w:sz w:val="20"/>
        </w:rPr>
        <w:t>863-7344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6975" w:type="dxa"/>
        <w:jc w:val="left"/>
        <w:tblInd w:w="0" w:type="dxa"/>
        <w:tblLayout w:type="fixed"/>
        <w:tblCellMar>
          <w:top w:w="0" w:type="dxa"/>
          <w:left w:w="0" w:type="dxa"/>
          <w:bottom w:w="28" w:type="dxa"/>
          <w:right w:w="0" w:type="dxa"/>
        </w:tblCellMar>
      </w:tblPr>
      <w:tblGrid>
        <w:gridCol w:w="1535"/>
        <w:gridCol w:w="60"/>
        <w:gridCol w:w="1610"/>
        <w:gridCol w:w="60"/>
        <w:gridCol w:w="37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6" w:name="xdx_908_edei--Security12bTitle_c20220701"/>
            <w:bookmarkEnd w:id="16"/>
            <w:r>
              <w:rPr>
                <w:rFonts w:ascii="Times New Roman;Times;Serif" w:hAnsi="Times New Roman;Times;Serif"/>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7" w:name="xdx_90F_edei--TradingSymbol_c20220701__2"/>
            <w:bookmarkEnd w:id="17"/>
            <w:r>
              <w:rPr>
                <w:rFonts w:ascii="Times New Roman;Times;Serif" w:hAnsi="Times New Roman;Times;Serif"/>
                <w:sz w:val="20"/>
              </w:rPr>
              <w:t>IPW</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18" w:name="xdx_909_edei--SecurityExchangeName_c2022"/>
            <w:bookmarkEnd w:id="18"/>
            <w:r>
              <w:rPr>
                <w:rFonts w:ascii="Times New Roman;Times;Serif" w:hAnsi="Times New Roman;Times;Serif"/>
                <w:sz w:val="20"/>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19" w:name="xdx_905_edei--EntityCurrentReportingStat"/>
      <w:bookmarkEnd w:id="19"/>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bookmarkStart w:id="20" w:name="xdx_903_edei--EntityInteractiveDataCurre"/>
      <w:bookmarkEnd w:id="20"/>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both"/>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75"/>
        <w:gridCol w:w="1820"/>
        <w:gridCol w:w="230"/>
        <w:gridCol w:w="60"/>
        <w:gridCol w:w="2225"/>
        <w:gridCol w:w="230"/>
        <w:gridCol w:w="75"/>
      </w:tblGrid>
      <w:tr>
        <w:trPr/>
        <w:tc>
          <w:tcPr>
            <w:tcW w:w="75" w:type="dxa"/>
            <w:tcBorders/>
            <w:vAlign w:val="center"/>
          </w:tcPr>
          <w:p>
            <w:pPr>
              <w:pStyle w:val="TableContents"/>
              <w:bidi w:val="0"/>
              <w:spacing w:before="0" w:after="283"/>
              <w:jc w:val="both"/>
              <w:rPr/>
            </w:pPr>
            <w:r>
              <w:rPr/>
              <w:t> </w:t>
            </w:r>
          </w:p>
        </w:tc>
        <w:tc>
          <w:tcPr>
            <w:tcW w:w="1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w:t>
            </w:r>
          </w:p>
        </w:tc>
        <w:tc>
          <w:tcPr>
            <w:tcW w:w="230" w:type="dxa"/>
            <w:tcBorders/>
            <w:vAlign w:val="center"/>
          </w:tcPr>
          <w:p>
            <w:pPr>
              <w:pStyle w:val="TableContents"/>
              <w:bidi w:val="0"/>
              <w:spacing w:before="0" w:after="283"/>
              <w:jc w:val="both"/>
              <w:rPr/>
            </w:pP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820" w:type="dxa"/>
            <w:tcBorders/>
            <w:vAlign w:val="center"/>
          </w:tcPr>
          <w:p>
            <w:pPr>
              <w:pStyle w:val="TableContents"/>
              <w:bidi w:val="0"/>
              <w:spacing w:before="0" w:after="283"/>
              <w:jc w:val="both"/>
              <w:rPr>
                <w:rFonts w:ascii="Times New Roman;Times;Serif" w:hAnsi="Times New Roman;Times;Serif"/>
                <w:sz w:val="20"/>
              </w:rPr>
            </w:pPr>
            <w:bookmarkStart w:id="21" w:name="xdx_903_edei--EntityFilerCategory_c20220"/>
            <w:bookmarkEnd w:id="21"/>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both"/>
              <w:rPr/>
            </w:pPr>
            <w:r>
              <w:rPr/>
              <w:t>☒</w:t>
            </w:r>
          </w:p>
        </w:tc>
        <w:tc>
          <w:tcPr>
            <w:tcW w:w="6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w:t>
            </w:r>
          </w:p>
        </w:tc>
        <w:tc>
          <w:tcPr>
            <w:tcW w:w="230" w:type="dxa"/>
            <w:tcBorders/>
            <w:vAlign w:val="center"/>
          </w:tcPr>
          <w:p>
            <w:pPr>
              <w:pStyle w:val="TableContents"/>
              <w:bidi w:val="0"/>
              <w:spacing w:before="0" w:after="283"/>
              <w:jc w:val="both"/>
              <w:rPr/>
            </w:pPr>
            <w:bookmarkStart w:id="22" w:name="xdx_905_edei--EntitySmallBusiness_c20220"/>
            <w:bookmarkEnd w:id="22"/>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182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w:t>
            </w:r>
          </w:p>
        </w:tc>
        <w:tc>
          <w:tcPr>
            <w:tcW w:w="230" w:type="dxa"/>
            <w:tcBorders/>
            <w:vAlign w:val="center"/>
          </w:tcPr>
          <w:p>
            <w:pPr>
              <w:pStyle w:val="TableContents"/>
              <w:bidi w:val="0"/>
              <w:spacing w:before="0" w:after="283"/>
              <w:jc w:val="both"/>
              <w:rPr/>
            </w:pPr>
            <w:bookmarkStart w:id="23" w:name="xdx_908_edei--EntityEmergingGrowthCompan"/>
            <w:bookmarkEnd w:id="23"/>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complying with any new or revised financial accounting standards provided pursuant to Section 13(a) of the Exchange Act. </w:t>
      </w:r>
      <w:bookmarkStart w:id="24" w:name="xdx_908_edei--EntityExTransitionPeriod_c"/>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if the registrant is a shell company (as defined in Rule 12b-2 of the Act). Yes ☐ </w:t>
      </w:r>
      <w:bookmarkStart w:id="25" w:name="xdx_904_edei--EntityShellCompany_c202207"/>
      <w:bookmarkEnd w:id="25"/>
      <w:r>
        <w:rPr>
          <w:rFonts w:ascii="Times New Roman;Times;Serif" w:hAnsi="Times New Roman;Times;Serif"/>
          <w:b w:val="false"/>
          <w:i w:val="false"/>
          <w:caps w:val="false"/>
          <w:smallCaps w:val="false"/>
          <w:sz w:val="20"/>
        </w:rPr>
        <w:t>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outstanding of the registrant’s common stock on May 14, 2023 was </w:t>
      </w:r>
      <w:bookmarkStart w:id="26" w:name="xdx_905_edei--EntityCommonStockSharesOut"/>
      <w:bookmarkEnd w:id="26"/>
      <w:r>
        <w:rPr>
          <w:rFonts w:ascii="Times New Roman;Times;Serif" w:hAnsi="Times New Roman;Times;Serif"/>
          <w:b w:val="false"/>
          <w:i w:val="false"/>
          <w:caps w:val="false"/>
          <w:smallCaps w:val="false"/>
          <w:sz w:val="20"/>
        </w:rPr>
        <w:t>29,739,043.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toc"/>
      <w:bookmarkEnd w:id="27"/>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7"/>
        <w:gridCol w:w="8839"/>
        <w:gridCol w:w="60"/>
        <w:gridCol w:w="669"/>
      </w:tblGrid>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 No.</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center"/>
              <w:rPr/>
            </w:pPr>
            <w:hyperlink w:anchor="q301">
              <w:r>
                <w:rPr>
                  <w:rStyle w:val="InternetLink"/>
                  <w:rFonts w:ascii="Times New Roman;Times;Serif" w:hAnsi="Times New Roman;Times;Serif"/>
                  <w:b/>
                  <w:sz w:val="20"/>
                </w:rPr>
                <w:t>PART I. Financial Information</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 xml:space="preserve">Item 1. </w:t>
            </w:r>
          </w:p>
        </w:tc>
        <w:tc>
          <w:tcPr>
            <w:tcW w:w="8839" w:type="dxa"/>
            <w:tcBorders/>
            <w:vAlign w:val="center"/>
          </w:tcPr>
          <w:p>
            <w:pPr>
              <w:pStyle w:val="TableContents"/>
              <w:bidi w:val="0"/>
              <w:spacing w:before="0" w:after="283"/>
              <w:jc w:val="both"/>
              <w:rPr/>
            </w:pPr>
            <w:hyperlink w:anchor="q302">
              <w:r>
                <w:rPr>
                  <w:rStyle w:val="InternetLink"/>
                  <w:rFonts w:ascii="Times New Roman;Times;Serif" w:hAnsi="Times New Roman;Times;Serif"/>
                  <w:sz w:val="20"/>
                </w:rPr>
                <w:t xml:space="preserve">Financial Statements. </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pPr>
            <w:r>
              <w:rPr/>
              <w:t> </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Unaudited Condensed Consolidated Financial Statements</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pPr>
            <w:r>
              <w:rPr/>
              <w:t> </w:t>
            </w:r>
          </w:p>
        </w:tc>
      </w:tr>
      <w:tr>
        <w:trPr/>
        <w:tc>
          <w:tcPr>
            <w:tcW w:w="637" w:type="dxa"/>
            <w:tcBorders/>
            <w:vAlign w:val="center"/>
          </w:tcPr>
          <w:p>
            <w:pPr>
              <w:pStyle w:val="TableContents"/>
              <w:bidi w:val="0"/>
              <w:spacing w:before="0" w:after="283"/>
              <w:jc w:val="center"/>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left"/>
              <w:rPr/>
            </w:pPr>
            <w:hyperlink w:anchor="q303">
              <w:r>
                <w:rPr>
                  <w:rStyle w:val="InternetLink"/>
                  <w:rFonts w:ascii="Times New Roman;Times;Serif" w:hAnsi="Times New Roman;Times;Serif"/>
                  <w:sz w:val="20"/>
                </w:rPr>
                <w:t>Unaudited Condensed Consolidated Balance Sheets as of March 31, 2023 and June 30, 2022</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left"/>
              <w:rPr/>
            </w:pPr>
            <w:hyperlink w:anchor="q304">
              <w:r>
                <w:rPr>
                  <w:rStyle w:val="InternetLink"/>
                  <w:rFonts w:ascii="Times New Roman;Times;Serif" w:hAnsi="Times New Roman;Times;Serif"/>
                  <w:sz w:val="20"/>
                </w:rPr>
                <w:t>Unaudited Condensed Consolidated Statements of Operations and Comprehensive Income (Loss) for the three and nine months ended March 31, 2023 and 2022</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left"/>
              <w:rPr/>
            </w:pPr>
            <w:hyperlink w:anchor="q305">
              <w:r>
                <w:rPr>
                  <w:rStyle w:val="InternetLink"/>
                  <w:rFonts w:ascii="Times New Roman;Times;Serif" w:hAnsi="Times New Roman;Times;Serif"/>
                  <w:sz w:val="20"/>
                </w:rPr>
                <w:t xml:space="preserve">Unaudited Condensed Consolidated Statements of Changes in Stockholders’ Equity for the three and nine months ended March 31, 2023 and 2022 </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left"/>
              <w:rPr/>
            </w:pPr>
            <w:hyperlink w:anchor="q306">
              <w:r>
                <w:rPr>
                  <w:rStyle w:val="InternetLink"/>
                  <w:rFonts w:ascii="Times New Roman;Times;Serif" w:hAnsi="Times New Roman;Times;Serif"/>
                  <w:sz w:val="20"/>
                </w:rPr>
                <w:t>Unaudited Condensed Consolidated Statements of Cash Flows for the nine months ended March 31, 2023 and 2022</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hyperlink w:anchor="q307">
              <w:r>
                <w:rPr>
                  <w:rStyle w:val="InternetLink"/>
                  <w:rFonts w:ascii="Times New Roman;Times;Serif" w:hAnsi="Times New Roman;Times;Serif"/>
                  <w:sz w:val="20"/>
                </w:rPr>
                <w:t>Notes to Unaudited Condensed Consolidated Financial Statements</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7</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2.</w:t>
            </w:r>
          </w:p>
        </w:tc>
        <w:tc>
          <w:tcPr>
            <w:tcW w:w="8839" w:type="dxa"/>
            <w:tcBorders/>
            <w:vAlign w:val="center"/>
          </w:tcPr>
          <w:p>
            <w:pPr>
              <w:pStyle w:val="TableContents"/>
              <w:bidi w:val="0"/>
              <w:spacing w:before="0" w:after="283"/>
              <w:jc w:val="left"/>
              <w:rPr/>
            </w:pPr>
            <w:hyperlink w:anchor="q308">
              <w:r>
                <w:rPr>
                  <w:rStyle w:val="InternetLink"/>
                  <w:rFonts w:ascii="Times New Roman;Times;Serif" w:hAnsi="Times New Roman;Times;Serif"/>
                  <w:sz w:val="20"/>
                </w:rPr>
                <w:t>Management’s Discussion and Analysis of Financial Condition and Results of Operations</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35</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3.</w:t>
            </w:r>
          </w:p>
        </w:tc>
        <w:tc>
          <w:tcPr>
            <w:tcW w:w="8839" w:type="dxa"/>
            <w:tcBorders/>
            <w:vAlign w:val="center"/>
          </w:tcPr>
          <w:p>
            <w:pPr>
              <w:pStyle w:val="TableContents"/>
              <w:bidi w:val="0"/>
              <w:spacing w:before="0" w:after="283"/>
              <w:jc w:val="both"/>
              <w:rPr/>
            </w:pPr>
            <w:hyperlink w:anchor="q309">
              <w:r>
                <w:rPr>
                  <w:rStyle w:val="InternetLink"/>
                  <w:rFonts w:ascii="Times New Roman;Times;Serif" w:hAnsi="Times New Roman;Times;Serif"/>
                  <w:sz w:val="20"/>
                </w:rPr>
                <w:t>Quantitative and Qualitative Disclosures About Market Risk</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4.</w:t>
            </w:r>
          </w:p>
        </w:tc>
        <w:tc>
          <w:tcPr>
            <w:tcW w:w="8839" w:type="dxa"/>
            <w:tcBorders/>
            <w:vAlign w:val="center"/>
          </w:tcPr>
          <w:p>
            <w:pPr>
              <w:pStyle w:val="TableContents"/>
              <w:bidi w:val="0"/>
              <w:spacing w:before="0" w:after="283"/>
              <w:jc w:val="both"/>
              <w:rPr/>
            </w:pPr>
            <w:hyperlink w:anchor="q310">
              <w:r>
                <w:rPr>
                  <w:rStyle w:val="InternetLink"/>
                  <w:rFonts w:ascii="Times New Roman;Times;Serif" w:hAnsi="Times New Roman;Times;Serif"/>
                  <w:sz w:val="20"/>
                </w:rPr>
                <w:t>Controls and Procedures</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47</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center"/>
              <w:rPr/>
            </w:pPr>
            <w:hyperlink w:anchor="q311">
              <w:r>
                <w:rPr>
                  <w:rStyle w:val="InternetLink"/>
                  <w:rFonts w:ascii="Times New Roman;Times;Serif" w:hAnsi="Times New Roman;Times;Serif"/>
                  <w:b/>
                  <w:sz w:val="20"/>
                </w:rPr>
                <w:t>PART II. Other Information</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1.</w:t>
            </w:r>
          </w:p>
        </w:tc>
        <w:tc>
          <w:tcPr>
            <w:tcW w:w="8839" w:type="dxa"/>
            <w:tcBorders/>
            <w:vAlign w:val="center"/>
          </w:tcPr>
          <w:p>
            <w:pPr>
              <w:pStyle w:val="TableContents"/>
              <w:bidi w:val="0"/>
              <w:spacing w:before="0" w:after="283"/>
              <w:jc w:val="both"/>
              <w:rPr/>
            </w:pPr>
            <w:hyperlink w:anchor="q312">
              <w:r>
                <w:rPr>
                  <w:rStyle w:val="InternetLink"/>
                  <w:rFonts w:ascii="Times New Roman;Times;Serif" w:hAnsi="Times New Roman;Times;Serif"/>
                  <w:sz w:val="20"/>
                </w:rPr>
                <w:t>Legal Proceedings</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1A.</w:t>
            </w:r>
          </w:p>
        </w:tc>
        <w:tc>
          <w:tcPr>
            <w:tcW w:w="8839" w:type="dxa"/>
            <w:tcBorders/>
            <w:vAlign w:val="center"/>
          </w:tcPr>
          <w:p>
            <w:pPr>
              <w:pStyle w:val="TableContents"/>
              <w:bidi w:val="0"/>
              <w:spacing w:before="0" w:after="283"/>
              <w:jc w:val="both"/>
              <w:rPr/>
            </w:pPr>
            <w:hyperlink w:anchor="q314">
              <w:r>
                <w:rPr>
                  <w:rStyle w:val="InternetLink"/>
                  <w:rFonts w:ascii="Times New Roman;Times;Serif" w:hAnsi="Times New Roman;Times;Serif"/>
                  <w:sz w:val="20"/>
                </w:rPr>
                <w:t>Risk Factors</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48</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2.</w:t>
            </w:r>
          </w:p>
        </w:tc>
        <w:tc>
          <w:tcPr>
            <w:tcW w:w="8839" w:type="dxa"/>
            <w:tcBorders/>
            <w:vAlign w:val="center"/>
          </w:tcPr>
          <w:p>
            <w:pPr>
              <w:pStyle w:val="TableContents"/>
              <w:bidi w:val="0"/>
              <w:spacing w:before="0" w:after="283"/>
              <w:jc w:val="both"/>
              <w:rPr/>
            </w:pPr>
            <w:hyperlink w:anchor="q315">
              <w:r>
                <w:rPr>
                  <w:rStyle w:val="InternetLink"/>
                  <w:rFonts w:ascii="Times New Roman;Times;Serif" w:hAnsi="Times New Roman;Times;Serif"/>
                  <w:sz w:val="20"/>
                </w:rPr>
                <w:t>Unregistered Sale of Equity Securities and Use of Proceeds</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3.</w:t>
            </w:r>
          </w:p>
        </w:tc>
        <w:tc>
          <w:tcPr>
            <w:tcW w:w="8839" w:type="dxa"/>
            <w:tcBorders/>
            <w:vAlign w:val="center"/>
          </w:tcPr>
          <w:p>
            <w:pPr>
              <w:pStyle w:val="TableContents"/>
              <w:bidi w:val="0"/>
              <w:spacing w:before="0" w:after="283"/>
              <w:jc w:val="both"/>
              <w:rPr/>
            </w:pPr>
            <w:hyperlink w:anchor="q316">
              <w:r>
                <w:rPr>
                  <w:rStyle w:val="InternetLink"/>
                  <w:rFonts w:ascii="Times New Roman;Times;Serif" w:hAnsi="Times New Roman;Times;Serif"/>
                  <w:sz w:val="20"/>
                </w:rPr>
                <w:t>Defaults Upon Senior Securities</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4.</w:t>
            </w:r>
          </w:p>
        </w:tc>
        <w:tc>
          <w:tcPr>
            <w:tcW w:w="8839" w:type="dxa"/>
            <w:tcBorders/>
            <w:vAlign w:val="center"/>
          </w:tcPr>
          <w:p>
            <w:pPr>
              <w:pStyle w:val="TableContents"/>
              <w:bidi w:val="0"/>
              <w:spacing w:before="0" w:after="283"/>
              <w:jc w:val="both"/>
              <w:rPr/>
            </w:pPr>
            <w:hyperlink w:anchor="q317">
              <w:r>
                <w:rPr>
                  <w:rStyle w:val="InternetLink"/>
                  <w:rFonts w:ascii="Times New Roman;Times;Serif" w:hAnsi="Times New Roman;Times;Serif"/>
                  <w:sz w:val="20"/>
                </w:rPr>
                <w:t>Mine Safety Disclosures</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5.</w:t>
            </w:r>
          </w:p>
        </w:tc>
        <w:tc>
          <w:tcPr>
            <w:tcW w:w="8839" w:type="dxa"/>
            <w:tcBorders/>
            <w:vAlign w:val="center"/>
          </w:tcPr>
          <w:p>
            <w:pPr>
              <w:pStyle w:val="TableContents"/>
              <w:bidi w:val="0"/>
              <w:spacing w:before="0" w:after="283"/>
              <w:jc w:val="both"/>
              <w:rPr/>
            </w:pPr>
            <w:hyperlink w:anchor="q318">
              <w:r>
                <w:rPr>
                  <w:rStyle w:val="InternetLink"/>
                  <w:rFonts w:ascii="Times New Roman;Times;Serif" w:hAnsi="Times New Roman;Times;Serif"/>
                  <w:sz w:val="20"/>
                </w:rPr>
                <w:t>Other Information</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Item 6.</w:t>
            </w:r>
          </w:p>
        </w:tc>
        <w:tc>
          <w:tcPr>
            <w:tcW w:w="8839" w:type="dxa"/>
            <w:tcBorders/>
            <w:vAlign w:val="center"/>
          </w:tcPr>
          <w:p>
            <w:pPr>
              <w:pStyle w:val="TableContents"/>
              <w:bidi w:val="0"/>
              <w:spacing w:before="0" w:after="283"/>
              <w:jc w:val="both"/>
              <w:rPr/>
            </w:pPr>
            <w:hyperlink w:anchor="q319">
              <w:r>
                <w:rPr>
                  <w:rStyle w:val="InternetLink"/>
                  <w:rFonts w:ascii="Times New Roman;Times;Serif" w:hAnsi="Times New Roman;Times;Serif"/>
                  <w:sz w:val="20"/>
                </w:rPr>
                <w:t>Exhibits</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49</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both"/>
              <w:rPr/>
            </w:pPr>
            <w:r>
              <w:rPr/>
              <w:t> </w:t>
            </w:r>
          </w:p>
        </w:tc>
        <w:tc>
          <w:tcPr>
            <w:tcW w:w="8839" w:type="dxa"/>
            <w:tcBorders/>
            <w:vAlign w:val="center"/>
          </w:tcPr>
          <w:p>
            <w:pPr>
              <w:pStyle w:val="TableContents"/>
              <w:bidi w:val="0"/>
              <w:spacing w:before="0" w:after="283"/>
              <w:jc w:val="both"/>
              <w:rPr/>
            </w:pPr>
            <w:hyperlink w:anchor="q320">
              <w:r>
                <w:rPr>
                  <w:rStyle w:val="InternetLink"/>
                  <w:rFonts w:ascii="Times New Roman;Times;Serif" w:hAnsi="Times New Roman;Times;Serif"/>
                  <w:sz w:val="20"/>
                </w:rPr>
                <w:t>Signatures</w:t>
              </w:r>
            </w:hyperlink>
          </w:p>
        </w:tc>
        <w:tc>
          <w:tcPr>
            <w:tcW w:w="60" w:type="dxa"/>
            <w:tcBorders/>
            <w:vAlign w:val="center"/>
          </w:tcPr>
          <w:p>
            <w:pPr>
              <w:pStyle w:val="TableContents"/>
              <w:bidi w:val="0"/>
              <w:spacing w:before="0" w:after="283"/>
              <w:jc w:val="left"/>
              <w:rPr/>
            </w:pPr>
            <w:r>
              <w:rPr/>
              <w:t> </w:t>
            </w:r>
          </w:p>
        </w:tc>
        <w:tc>
          <w:tcPr>
            <w:tcW w:w="66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q301"/>
      <w:bookmarkEnd w:id="28"/>
      <w:r>
        <w:rPr>
          <w:rFonts w:ascii="Times New Roman;Times;Serif" w:hAnsi="Times New Roman;Times;Serif"/>
          <w:b/>
          <w:i w:val="false"/>
          <w:caps w:val="false"/>
          <w:smallCaps w:val="false"/>
          <w:sz w:val="20"/>
        </w:rPr>
        <w:t>PART I – FINANCIAL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9" w:name="q302"/>
      <w:bookmarkEnd w:id="29"/>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0" w:name="q303"/>
      <w:bookmarkEnd w:id="30"/>
      <w:r>
        <w:rPr>
          <w:rFonts w:ascii="Times New Roman;Times;Serif" w:hAnsi="Times New Roman;Times;Serif"/>
          <w:b w:val="false"/>
          <w:i w:val="false"/>
          <w:caps w:val="false"/>
          <w:smallCaps w:val="false"/>
          <w:sz w:val="20"/>
        </w:rPr>
        <w:t>Unaudited Condensed Consolidated Balance Sheets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June 30,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 w:name="xdx_302_111_zurvyiw0C3Vl"/>
      <w:bookmarkStart w:id="32" w:name="xdx_302_111_zurvyiw0C3Vl"/>
      <w:bookmarkEnd w:id="32"/>
    </w:p>
    <w:tbl>
      <w:tblPr>
        <w:tblW w:w="10205" w:type="dxa"/>
        <w:jc w:val="left"/>
        <w:tblInd w:w="0" w:type="dxa"/>
        <w:tblLayout w:type="fixed"/>
        <w:tblCellMar>
          <w:top w:w="0" w:type="dxa"/>
          <w:left w:w="0" w:type="dxa"/>
          <w:bottom w:w="0" w:type="dxa"/>
          <w:right w:w="0" w:type="dxa"/>
        </w:tblCellMar>
      </w:tblPr>
      <w:tblGrid>
        <w:gridCol w:w="7420"/>
        <w:gridCol w:w="60"/>
        <w:gridCol w:w="140"/>
        <w:gridCol w:w="1100"/>
        <w:gridCol w:w="95"/>
        <w:gridCol w:w="60"/>
        <w:gridCol w:w="140"/>
        <w:gridCol w:w="1100"/>
        <w:gridCol w:w="90"/>
      </w:tblGrid>
      <w:tr>
        <w:trPr/>
        <w:tc>
          <w:tcPr>
            <w:tcW w:w="7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center"/>
              <w:rPr/>
            </w:pPr>
            <w:r>
              <w:rPr/>
              <w:t> </w:t>
            </w:r>
            <w:bookmarkStart w:id="33" w:name="xdx_499_20230331_zvm6pInVKgf2"/>
            <w:bookmarkEnd w:id="33"/>
          </w:p>
        </w:tc>
        <w:tc>
          <w:tcPr>
            <w:tcW w:w="1100"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34" w:name="xdx_49D_20220630_z5GHhD7mayIh"/>
            <w:bookmarkEnd w:id="34"/>
          </w:p>
        </w:tc>
        <w:tc>
          <w:tcPr>
            <w:tcW w:w="1100" w:type="dxa"/>
            <w:tcBorders/>
            <w:shd w:fill="FFFFFF" w:val="clear"/>
            <w:vAlign w:val="center"/>
          </w:tcPr>
          <w:p>
            <w:pPr>
              <w:pStyle w:val="TableContents"/>
              <w:bidi w:val="0"/>
              <w:spacing w:before="0" w:after="283"/>
              <w:jc w:val="center"/>
              <w:rPr/>
            </w:pPr>
            <w:r>
              <w:rPr/>
              <w:t> </w:t>
            </w:r>
          </w:p>
        </w:tc>
        <w:tc>
          <w:tcPr>
            <w:tcW w:w="90" w:type="dxa"/>
            <w:tcBorders/>
            <w:shd w:fill="FFFFFF" w:val="clear"/>
            <w:vAlign w:val="center"/>
          </w:tcPr>
          <w:p>
            <w:pPr>
              <w:pStyle w:val="TableContents"/>
              <w:bidi w:val="0"/>
              <w:spacing w:before="0" w:after="283"/>
              <w:jc w:val="left"/>
              <w:rPr/>
            </w:pPr>
            <w:r>
              <w:rPr/>
              <w:t> </w:t>
            </w:r>
          </w:p>
        </w:tc>
      </w:tr>
      <w:tr>
        <w:trPr/>
        <w:tc>
          <w:tcPr>
            <w:tcW w:w="7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June 30,</w:t>
            </w:r>
          </w:p>
        </w:tc>
        <w:tc>
          <w:tcPr>
            <w:tcW w:w="90" w:type="dxa"/>
            <w:tcBorders/>
            <w:vAlign w:val="center"/>
          </w:tcPr>
          <w:p>
            <w:pPr>
              <w:pStyle w:val="TableContents"/>
              <w:bidi w:val="0"/>
              <w:spacing w:before="0" w:after="283"/>
              <w:jc w:val="left"/>
              <w:rPr/>
            </w:pPr>
            <w:r>
              <w:rPr/>
              <w:t> </w:t>
            </w:r>
          </w:p>
        </w:tc>
      </w:tr>
      <w:tr>
        <w:trPr/>
        <w:tc>
          <w:tcPr>
            <w:tcW w:w="7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90" w:type="dxa"/>
            <w:tcBorders/>
            <w:vAlign w:val="center"/>
          </w:tcPr>
          <w:p>
            <w:pPr>
              <w:pStyle w:val="TableContents"/>
              <w:bidi w:val="0"/>
              <w:spacing w:before="0" w:after="283"/>
              <w:jc w:val="left"/>
              <w:rPr/>
            </w:pPr>
            <w:r>
              <w:rPr/>
              <w:t> </w:t>
            </w:r>
          </w:p>
        </w:tc>
      </w:tr>
      <w:tr>
        <w:trPr/>
        <w:tc>
          <w:tcPr>
            <w:tcW w:w="7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90" w:type="dxa"/>
            <w:tcBorders/>
            <w:vAlign w:val="center"/>
          </w:tcPr>
          <w:p>
            <w:pPr>
              <w:pStyle w:val="TableContents"/>
              <w:bidi w:val="0"/>
              <w:spacing w:before="0" w:after="283"/>
              <w:jc w:val="left"/>
              <w:rPr/>
            </w:pPr>
            <w:r>
              <w:rPr/>
              <w:t> </w:t>
            </w:r>
            <w:bookmarkStart w:id="35" w:name="xdx_406_eus-gaap--AssetsAbstract_iB_zKPt"/>
            <w:bookmarkEnd w:id="35"/>
          </w:p>
        </w:tc>
      </w:tr>
      <w:tr>
        <w:trPr/>
        <w:tc>
          <w:tcPr>
            <w:tcW w:w="7420" w:type="dxa"/>
            <w:tcBorders/>
            <w:shd w:fill="EEEEEE" w:val="clear"/>
            <w:vAlign w:val="center"/>
          </w:tcPr>
          <w:p>
            <w:pPr>
              <w:pStyle w:val="TableContents"/>
              <w:bidi w:val="0"/>
              <w:spacing w:before="0" w:after="283"/>
              <w:jc w:val="left"/>
              <w:rPr>
                <w:u w:val="single"/>
              </w:rPr>
            </w:pPr>
            <w:r>
              <w:rPr>
                <w:u w:val="single"/>
              </w:rPr>
              <w:t>ASSETS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0" w:type="dxa"/>
            <w:tcBorders/>
            <w:shd w:fill="EEEEEE" w:val="clear"/>
            <w:vAlign w:val="center"/>
          </w:tcPr>
          <w:p>
            <w:pPr>
              <w:pStyle w:val="TableContents"/>
              <w:bidi w:val="0"/>
              <w:spacing w:before="0" w:after="283"/>
              <w:jc w:val="left"/>
              <w:rPr/>
            </w:pPr>
            <w:r>
              <w:rPr/>
              <w:t> </w:t>
            </w:r>
            <w:bookmarkStart w:id="36" w:name="xdx_40D_eus-gaap--AssetsCurrentAbstract_"/>
            <w:bookmarkEnd w:id="36"/>
          </w:p>
        </w:tc>
      </w:tr>
      <w:tr>
        <w:trPr/>
        <w:tc>
          <w:tcPr>
            <w:tcW w:w="7420"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200"/>
              <w:jc w:val="left"/>
              <w:rPr/>
            </w:pPr>
            <w:r>
              <w:rPr/>
              <w:t> </w:t>
            </w:r>
            <w:bookmarkStart w:id="37" w:name="xdx_409_eus-gaap--CashAndCashEquivalents"/>
            <w:bookmarkEnd w:id="37"/>
          </w:p>
        </w:tc>
      </w:tr>
      <w:tr>
        <w:trPr/>
        <w:tc>
          <w:tcPr>
            <w:tcW w:w="7420" w:type="dxa"/>
            <w:tcBorders/>
            <w:shd w:fill="EEEEEE" w:val="clear"/>
            <w:vAlign w:val="center"/>
          </w:tcPr>
          <w:p>
            <w:pPr>
              <w:pStyle w:val="TableContents"/>
              <w:bidi w:val="0"/>
              <w:spacing w:before="0" w:after="283"/>
              <w:jc w:val="left"/>
              <w:rPr/>
            </w:pPr>
            <w:r>
              <w:rPr/>
              <w:t>Cash and cash equivalent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1,419,495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1,821,947</w:t>
            </w:r>
          </w:p>
        </w:tc>
        <w:tc>
          <w:tcPr>
            <w:tcW w:w="90" w:type="dxa"/>
            <w:tcBorders/>
            <w:shd w:fill="EEEEEE" w:val="clear"/>
            <w:vAlign w:val="center"/>
          </w:tcPr>
          <w:p>
            <w:pPr>
              <w:pStyle w:val="TableContents"/>
              <w:bidi w:val="0"/>
              <w:spacing w:before="0" w:after="283"/>
              <w:ind w:left="0" w:right="0" w:hanging="200"/>
              <w:jc w:val="left"/>
              <w:rPr/>
            </w:pPr>
            <w:r>
              <w:rPr/>
              <w:t> </w:t>
            </w:r>
            <w:bookmarkStart w:id="38" w:name="xdx_400_eus-gaap--AccountsReceivableNetC"/>
            <w:bookmarkEnd w:id="38"/>
          </w:p>
        </w:tc>
      </w:tr>
      <w:tr>
        <w:trPr/>
        <w:tc>
          <w:tcPr>
            <w:tcW w:w="742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15,704,882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17,432,287</w:t>
            </w:r>
          </w:p>
        </w:tc>
        <w:tc>
          <w:tcPr>
            <w:tcW w:w="90" w:type="dxa"/>
            <w:tcBorders/>
            <w:shd w:fill="FFFFFF" w:val="clear"/>
            <w:vAlign w:val="center"/>
          </w:tcPr>
          <w:p>
            <w:pPr>
              <w:pStyle w:val="TableContents"/>
              <w:bidi w:val="0"/>
              <w:spacing w:before="0" w:after="283"/>
              <w:ind w:left="0" w:right="0" w:hanging="200"/>
              <w:jc w:val="left"/>
              <w:rPr/>
            </w:pPr>
            <w:r>
              <w:rPr/>
              <w:t> </w:t>
            </w:r>
            <w:bookmarkStart w:id="39" w:name="xdx_40B_eus-gaap--InventoryNet_i01I_maCz"/>
            <w:bookmarkEnd w:id="39"/>
          </w:p>
        </w:tc>
      </w:tr>
      <w:tr>
        <w:trPr/>
        <w:tc>
          <w:tcPr>
            <w:tcW w:w="7420" w:type="dxa"/>
            <w:tcBorders/>
            <w:shd w:fill="EEEEEE" w:val="clear"/>
            <w:vAlign w:val="center"/>
          </w:tcPr>
          <w:p>
            <w:pPr>
              <w:pStyle w:val="TableContents"/>
              <w:bidi w:val="0"/>
              <w:spacing w:before="0" w:after="283"/>
              <w:jc w:val="left"/>
              <w:rPr/>
            </w:pPr>
            <w:r>
              <w:rPr/>
              <w:t>Inventories, net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19,646,934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30,433,766</w:t>
            </w:r>
          </w:p>
        </w:tc>
        <w:tc>
          <w:tcPr>
            <w:tcW w:w="90" w:type="dxa"/>
            <w:tcBorders/>
            <w:shd w:fill="EEEEEE" w:val="clear"/>
            <w:vAlign w:val="center"/>
          </w:tcPr>
          <w:p>
            <w:pPr>
              <w:pStyle w:val="TableContents"/>
              <w:bidi w:val="0"/>
              <w:spacing w:before="0" w:after="283"/>
              <w:ind w:left="0" w:right="0" w:hanging="200"/>
              <w:jc w:val="left"/>
              <w:rPr/>
            </w:pPr>
            <w:r>
              <w:rPr/>
              <w:t> </w:t>
            </w:r>
            <w:bookmarkStart w:id="40" w:name="xdx_40C_ecustom--OtherReceivableRelatedP"/>
            <w:bookmarkEnd w:id="40"/>
          </w:p>
        </w:tc>
      </w:tr>
      <w:tr>
        <w:trPr/>
        <w:tc>
          <w:tcPr>
            <w:tcW w:w="7420" w:type="dxa"/>
            <w:tcBorders/>
            <w:shd w:fill="FFFFFF" w:val="clear"/>
            <w:vAlign w:val="center"/>
          </w:tcPr>
          <w:p>
            <w:pPr>
              <w:pStyle w:val="TableContents"/>
              <w:bidi w:val="0"/>
              <w:spacing w:before="0" w:after="283"/>
              <w:jc w:val="left"/>
              <w:rPr/>
            </w:pPr>
            <w:r>
              <w:rPr/>
              <w:t>Other receivable - related party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39,853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51,762</w:t>
            </w:r>
          </w:p>
        </w:tc>
        <w:tc>
          <w:tcPr>
            <w:tcW w:w="90" w:type="dxa"/>
            <w:tcBorders/>
            <w:shd w:fill="FFFFFF" w:val="clear"/>
            <w:vAlign w:val="center"/>
          </w:tcPr>
          <w:p>
            <w:pPr>
              <w:pStyle w:val="TableContents"/>
              <w:bidi w:val="0"/>
              <w:spacing w:before="0" w:after="283"/>
              <w:ind w:left="0" w:right="0" w:hanging="200"/>
              <w:jc w:val="left"/>
              <w:rPr/>
            </w:pPr>
            <w:r>
              <w:rPr/>
              <w:t> </w:t>
            </w:r>
            <w:bookmarkStart w:id="41" w:name="xdx_40D_eus-gaap--OtherPrepaidExpenseCur"/>
            <w:bookmarkEnd w:id="41"/>
          </w:p>
        </w:tc>
      </w:tr>
      <w:tr>
        <w:trPr/>
        <w:tc>
          <w:tcPr>
            <w:tcW w:w="7420" w:type="dxa"/>
            <w:tcBorders/>
            <w:shd w:fill="EEEEEE" w:val="clear"/>
            <w:vAlign w:val="center"/>
          </w:tcPr>
          <w:p>
            <w:pPr>
              <w:pStyle w:val="TableContents"/>
              <w:bidi w:val="0"/>
              <w:spacing w:before="0" w:after="283"/>
              <w:jc w:val="left"/>
              <w:rPr/>
            </w:pPr>
            <w:r>
              <w:rPr/>
              <w:t>Prepayments and other current assets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3,470,167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5,444,463</w:t>
            </w:r>
          </w:p>
        </w:tc>
        <w:tc>
          <w:tcPr>
            <w:tcW w:w="90" w:type="dxa"/>
            <w:tcBorders/>
            <w:shd w:fill="EEEEEE" w:val="clear"/>
            <w:vAlign w:val="center"/>
          </w:tcPr>
          <w:p>
            <w:pPr>
              <w:pStyle w:val="TableContents"/>
              <w:bidi w:val="0"/>
              <w:spacing w:before="0" w:after="283"/>
              <w:ind w:left="0" w:right="0" w:hanging="200"/>
              <w:jc w:val="left"/>
              <w:rPr/>
            </w:pPr>
            <w:r>
              <w:rPr/>
              <w:t> </w:t>
            </w:r>
            <w:bookmarkStart w:id="42" w:name="xdx_402_eus-gaap--AssetsCurrent_i01TI_mt"/>
            <w:bookmarkEnd w:id="42"/>
          </w:p>
        </w:tc>
      </w:tr>
      <w:tr>
        <w:trPr/>
        <w:tc>
          <w:tcPr>
            <w:tcW w:w="7420" w:type="dxa"/>
            <w:tcBorders/>
            <w:shd w:fill="FFFFFF" w:val="clear"/>
            <w:vAlign w:val="center"/>
          </w:tcPr>
          <w:p>
            <w:pPr>
              <w:pStyle w:val="TableContents"/>
              <w:bidi w:val="0"/>
              <w:spacing w:before="0" w:after="283"/>
              <w:jc w:val="left"/>
              <w:rPr/>
            </w:pPr>
            <w:r>
              <w:rPr/>
              <w:t>Total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40,281,331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55,184,225</w:t>
            </w:r>
          </w:p>
        </w:tc>
        <w:tc>
          <w:tcPr>
            <w:tcW w:w="90" w:type="dxa"/>
            <w:tcBorders/>
            <w:shd w:fill="FFFFFF" w:val="clear"/>
            <w:vAlign w:val="center"/>
          </w:tcPr>
          <w:p>
            <w:pPr>
              <w:pStyle w:val="TableContents"/>
              <w:bidi w:val="0"/>
              <w:spacing w:before="0" w:after="283"/>
              <w:jc w:val="left"/>
              <w:rPr/>
            </w:pPr>
            <w:r>
              <w:rPr/>
              <w:t> </w:t>
            </w:r>
          </w:p>
        </w:tc>
      </w:tr>
      <w:tr>
        <w:trPr/>
        <w:tc>
          <w:tcPr>
            <w:tcW w:w="742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0" w:type="dxa"/>
            <w:tcBorders/>
            <w:shd w:fill="EEEEEE" w:val="clear"/>
            <w:vAlign w:val="center"/>
          </w:tcPr>
          <w:p>
            <w:pPr>
              <w:pStyle w:val="TableContents"/>
              <w:bidi w:val="0"/>
              <w:spacing w:before="0" w:after="283"/>
              <w:jc w:val="left"/>
              <w:rPr/>
            </w:pPr>
            <w:r>
              <w:rPr/>
              <w:t> </w:t>
            </w:r>
            <w:bookmarkStart w:id="43" w:name="xdx_40B_eus-gaap--AssetsNoncurrentAbstra"/>
            <w:bookmarkEnd w:id="43"/>
          </w:p>
        </w:tc>
      </w:tr>
      <w:tr>
        <w:trPr/>
        <w:tc>
          <w:tcPr>
            <w:tcW w:w="7420" w:type="dxa"/>
            <w:tcBorders/>
            <w:shd w:fill="FFFFFF" w:val="clear"/>
            <w:vAlign w:val="center"/>
          </w:tcPr>
          <w:p>
            <w:pPr>
              <w:pStyle w:val="TableContents"/>
              <w:bidi w:val="0"/>
              <w:spacing w:before="0" w:after="283"/>
              <w:jc w:val="left"/>
              <w:rPr/>
            </w:pPr>
            <w:r>
              <w:rPr/>
              <w:t>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200"/>
              <w:jc w:val="left"/>
              <w:rPr/>
            </w:pPr>
            <w:r>
              <w:rPr/>
              <w:t> </w:t>
            </w:r>
            <w:bookmarkStart w:id="44" w:name="xdx_400_eus-gaap--OperatingLeaseRightOfU"/>
            <w:bookmarkEnd w:id="44"/>
          </w:p>
        </w:tc>
      </w:tr>
      <w:tr>
        <w:trPr/>
        <w:tc>
          <w:tcPr>
            <w:tcW w:w="7420" w:type="dxa"/>
            <w:tcBorders/>
            <w:shd w:fill="EEEEEE" w:val="clear"/>
            <w:vAlign w:val="center"/>
          </w:tcPr>
          <w:p>
            <w:pPr>
              <w:pStyle w:val="TableContents"/>
              <w:bidi w:val="0"/>
              <w:spacing w:before="0" w:after="283"/>
              <w:jc w:val="left"/>
              <w:rPr/>
            </w:pPr>
            <w:r>
              <w:rPr/>
              <w:t>Right of use - non-current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8,504,929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10,453,282</w:t>
            </w:r>
          </w:p>
        </w:tc>
        <w:tc>
          <w:tcPr>
            <w:tcW w:w="90" w:type="dxa"/>
            <w:tcBorders/>
            <w:shd w:fill="EEEEEE" w:val="clear"/>
            <w:vAlign w:val="center"/>
          </w:tcPr>
          <w:p>
            <w:pPr>
              <w:pStyle w:val="TableContents"/>
              <w:bidi w:val="0"/>
              <w:spacing w:before="0" w:after="283"/>
              <w:ind w:left="0" w:right="0" w:hanging="200"/>
              <w:jc w:val="left"/>
              <w:rPr/>
            </w:pPr>
            <w:r>
              <w:rPr/>
              <w:t> </w:t>
            </w:r>
            <w:bookmarkStart w:id="45" w:name="xdx_405_eus-gaap--PropertyPlantAndEquipm"/>
            <w:bookmarkEnd w:id="45"/>
          </w:p>
        </w:tc>
      </w:tr>
      <w:tr>
        <w:trPr/>
        <w:tc>
          <w:tcPr>
            <w:tcW w:w="7420"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577,719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544,633</w:t>
            </w:r>
          </w:p>
        </w:tc>
        <w:tc>
          <w:tcPr>
            <w:tcW w:w="90" w:type="dxa"/>
            <w:tcBorders/>
            <w:shd w:fill="FFFFFF" w:val="clear"/>
            <w:vAlign w:val="center"/>
          </w:tcPr>
          <w:p>
            <w:pPr>
              <w:pStyle w:val="TableContents"/>
              <w:bidi w:val="0"/>
              <w:spacing w:before="0" w:after="283"/>
              <w:ind w:left="0" w:right="0" w:hanging="200"/>
              <w:jc w:val="left"/>
              <w:rPr/>
            </w:pPr>
            <w:r>
              <w:rPr/>
              <w:t> </w:t>
            </w:r>
            <w:bookmarkStart w:id="46" w:name="xdx_400_eus-gaap--DeferredIncomeTaxAsset"/>
            <w:bookmarkEnd w:id="46"/>
          </w:p>
        </w:tc>
      </w:tr>
      <w:tr>
        <w:trPr/>
        <w:tc>
          <w:tcPr>
            <w:tcW w:w="7420" w:type="dxa"/>
            <w:tcBorders/>
            <w:shd w:fill="EEEEEE" w:val="clear"/>
            <w:vAlign w:val="center"/>
          </w:tcPr>
          <w:p>
            <w:pPr>
              <w:pStyle w:val="TableContents"/>
              <w:bidi w:val="0"/>
              <w:spacing w:before="0" w:after="283"/>
              <w:jc w:val="left"/>
              <w:rPr/>
            </w:pPr>
            <w:r>
              <w:rPr/>
              <w:t>Deferred tax assets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1,546,159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90" w:type="dxa"/>
            <w:tcBorders/>
            <w:shd w:fill="EEEEEE" w:val="clear"/>
            <w:vAlign w:val="center"/>
          </w:tcPr>
          <w:p>
            <w:pPr>
              <w:pStyle w:val="TableContents"/>
              <w:bidi w:val="0"/>
              <w:spacing w:before="0" w:after="283"/>
              <w:ind w:left="0" w:right="0" w:hanging="200"/>
              <w:jc w:val="left"/>
              <w:rPr/>
            </w:pPr>
            <w:r>
              <w:rPr/>
              <w:t> </w:t>
            </w:r>
            <w:bookmarkStart w:id="47" w:name="xdx_407_ecustom--NoncurrentPrepayments_i"/>
            <w:bookmarkEnd w:id="47"/>
          </w:p>
        </w:tc>
      </w:tr>
      <w:tr>
        <w:trPr/>
        <w:tc>
          <w:tcPr>
            <w:tcW w:w="7420" w:type="dxa"/>
            <w:tcBorders/>
            <w:shd w:fill="FFFFFF" w:val="clear"/>
            <w:vAlign w:val="center"/>
          </w:tcPr>
          <w:p>
            <w:pPr>
              <w:pStyle w:val="TableContents"/>
              <w:bidi w:val="0"/>
              <w:spacing w:before="0" w:after="283"/>
              <w:jc w:val="left"/>
              <w:rPr/>
            </w:pPr>
            <w:r>
              <w:rPr/>
              <w:t>Non-current prepayments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601,873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925,624</w:t>
            </w:r>
          </w:p>
        </w:tc>
        <w:tc>
          <w:tcPr>
            <w:tcW w:w="90" w:type="dxa"/>
            <w:tcBorders/>
            <w:shd w:fill="FFFFFF" w:val="clear"/>
            <w:vAlign w:val="center"/>
          </w:tcPr>
          <w:p>
            <w:pPr>
              <w:pStyle w:val="TableContents"/>
              <w:bidi w:val="0"/>
              <w:spacing w:before="0" w:after="283"/>
              <w:ind w:left="0" w:right="0" w:hanging="200"/>
              <w:jc w:val="left"/>
              <w:rPr/>
            </w:pPr>
            <w:r>
              <w:rPr/>
              <w:t> </w:t>
            </w:r>
            <w:bookmarkStart w:id="48" w:name="xdx_40B_eus-gaap--Goodwill_i01I_maCzx32_"/>
            <w:bookmarkEnd w:id="48"/>
          </w:p>
        </w:tc>
      </w:tr>
      <w:tr>
        <w:trPr/>
        <w:tc>
          <w:tcPr>
            <w:tcW w:w="7420" w:type="dxa"/>
            <w:tcBorders/>
            <w:shd w:fill="EEEEEE" w:val="clear"/>
            <w:vAlign w:val="center"/>
          </w:tcPr>
          <w:p>
            <w:pPr>
              <w:pStyle w:val="TableContents"/>
              <w:bidi w:val="0"/>
              <w:spacing w:before="0" w:after="283"/>
              <w:jc w:val="left"/>
              <w:rPr/>
            </w:pPr>
            <w:r>
              <w:rPr/>
              <w:t>Goodwill</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3,034,110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6,094,144</w:t>
            </w:r>
          </w:p>
        </w:tc>
        <w:tc>
          <w:tcPr>
            <w:tcW w:w="90" w:type="dxa"/>
            <w:tcBorders/>
            <w:shd w:fill="EEEEEE" w:val="clear"/>
            <w:vAlign w:val="center"/>
          </w:tcPr>
          <w:p>
            <w:pPr>
              <w:pStyle w:val="TableContents"/>
              <w:bidi w:val="0"/>
              <w:spacing w:before="0" w:after="283"/>
              <w:ind w:left="0" w:right="0" w:hanging="200"/>
              <w:jc w:val="left"/>
              <w:rPr/>
            </w:pPr>
            <w:r>
              <w:rPr/>
              <w:t> </w:t>
            </w:r>
            <w:bookmarkStart w:id="49" w:name="xdx_404_eus-gaap--RealEstateInvestmentsJ"/>
            <w:bookmarkEnd w:id="49"/>
          </w:p>
        </w:tc>
      </w:tr>
      <w:tr>
        <w:trPr/>
        <w:tc>
          <w:tcPr>
            <w:tcW w:w="7420" w:type="dxa"/>
            <w:tcBorders/>
            <w:shd w:fill="FFFFFF" w:val="clear"/>
            <w:vAlign w:val="center"/>
          </w:tcPr>
          <w:p>
            <w:pPr>
              <w:pStyle w:val="TableContents"/>
              <w:bidi w:val="0"/>
              <w:spacing w:before="0" w:after="283"/>
              <w:jc w:val="left"/>
              <w:rPr/>
            </w:pPr>
            <w:r>
              <w:rPr/>
              <w:t>Investment in joint venture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34,759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43,385</w:t>
            </w:r>
          </w:p>
        </w:tc>
        <w:tc>
          <w:tcPr>
            <w:tcW w:w="90" w:type="dxa"/>
            <w:tcBorders/>
            <w:shd w:fill="FFFFFF" w:val="clear"/>
            <w:vAlign w:val="center"/>
          </w:tcPr>
          <w:p>
            <w:pPr>
              <w:pStyle w:val="TableContents"/>
              <w:bidi w:val="0"/>
              <w:spacing w:before="0" w:after="283"/>
              <w:ind w:left="0" w:right="0" w:hanging="200"/>
              <w:jc w:val="left"/>
              <w:rPr/>
            </w:pPr>
            <w:r>
              <w:rPr/>
              <w:t> </w:t>
            </w:r>
            <w:bookmarkStart w:id="50" w:name="xdx_40D_eus-gaap--IntangibleAssetsNetExc"/>
            <w:bookmarkEnd w:id="50"/>
          </w:p>
        </w:tc>
      </w:tr>
      <w:tr>
        <w:trPr/>
        <w:tc>
          <w:tcPr>
            <w:tcW w:w="7420" w:type="dxa"/>
            <w:tcBorders/>
            <w:shd w:fill="EEEEEE" w:val="clear"/>
            <w:vAlign w:val="center"/>
          </w:tcPr>
          <w:p>
            <w:pPr>
              <w:pStyle w:val="TableContents"/>
              <w:bidi w:val="0"/>
              <w:spacing w:before="0" w:after="283"/>
              <w:jc w:val="left"/>
              <w:rPr/>
            </w:pPr>
            <w:r>
              <w:rPr/>
              <w:t>Intangible assets, net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4,442,414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4,929,442</w:t>
            </w:r>
          </w:p>
        </w:tc>
        <w:tc>
          <w:tcPr>
            <w:tcW w:w="90" w:type="dxa"/>
            <w:tcBorders/>
            <w:shd w:fill="EEEEEE" w:val="clear"/>
            <w:vAlign w:val="center"/>
          </w:tcPr>
          <w:p>
            <w:pPr>
              <w:pStyle w:val="TableContents"/>
              <w:bidi w:val="0"/>
              <w:spacing w:before="0" w:after="283"/>
              <w:ind w:left="0" w:right="0" w:hanging="200"/>
              <w:jc w:val="left"/>
              <w:rPr/>
            </w:pPr>
            <w:r>
              <w:rPr/>
              <w:t> </w:t>
            </w:r>
            <w:bookmarkStart w:id="51" w:name="xdx_40D_eus-gaap--OtherAssetsNoncurrent_"/>
            <w:bookmarkEnd w:id="51"/>
          </w:p>
        </w:tc>
      </w:tr>
      <w:tr>
        <w:trPr/>
        <w:tc>
          <w:tcPr>
            <w:tcW w:w="7420"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395,284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406,732</w:t>
            </w:r>
          </w:p>
        </w:tc>
        <w:tc>
          <w:tcPr>
            <w:tcW w:w="90" w:type="dxa"/>
            <w:tcBorders/>
            <w:shd w:fill="FFFFFF" w:val="clear"/>
            <w:vAlign w:val="center"/>
          </w:tcPr>
          <w:p>
            <w:pPr>
              <w:pStyle w:val="TableContents"/>
              <w:bidi w:val="0"/>
              <w:spacing w:before="0" w:after="283"/>
              <w:ind w:left="0" w:right="0" w:hanging="200"/>
              <w:jc w:val="left"/>
              <w:rPr/>
            </w:pPr>
            <w:r>
              <w:rPr/>
              <w:t> </w:t>
            </w:r>
            <w:bookmarkStart w:id="52" w:name="xdx_403_eus-gaap--AssetsNoncurrent_i01TI"/>
            <w:bookmarkEnd w:id="52"/>
          </w:p>
        </w:tc>
      </w:tr>
      <w:tr>
        <w:trPr/>
        <w:tc>
          <w:tcPr>
            <w:tcW w:w="7420" w:type="dxa"/>
            <w:tcBorders/>
            <w:shd w:fill="EEEEEE" w:val="clear"/>
            <w:vAlign w:val="center"/>
          </w:tcPr>
          <w:p>
            <w:pPr>
              <w:pStyle w:val="TableContents"/>
              <w:bidi w:val="0"/>
              <w:spacing w:before="0" w:after="283"/>
              <w:jc w:val="left"/>
              <w:rPr/>
            </w:pPr>
            <w:r>
              <w:rPr/>
              <w:t>Total non-current assets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19,137,247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23,397,242</w:t>
            </w:r>
          </w:p>
        </w:tc>
        <w:tc>
          <w:tcPr>
            <w:tcW w:w="90" w:type="dxa"/>
            <w:tcBorders/>
            <w:shd w:fill="EEEEEE"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200"/>
              <w:jc w:val="left"/>
              <w:rPr/>
            </w:pPr>
            <w:r>
              <w:rPr/>
              <w:t> </w:t>
            </w:r>
            <w:bookmarkStart w:id="53" w:name="xdx_405_eus-gaap--Assets_i01TI_mtCzb4R_z"/>
            <w:bookmarkEnd w:id="53"/>
          </w:p>
        </w:tc>
      </w:tr>
      <w:tr>
        <w:trPr/>
        <w:tc>
          <w:tcPr>
            <w:tcW w:w="7420" w:type="dxa"/>
            <w:tcBorders/>
            <w:shd w:fill="EEEEEE" w:val="clear"/>
            <w:vAlign w:val="center"/>
          </w:tcPr>
          <w:p>
            <w:pPr>
              <w:pStyle w:val="TableContents"/>
              <w:bidi w:val="0"/>
              <w:spacing w:before="0" w:after="283"/>
              <w:jc w:val="left"/>
              <w:rPr/>
            </w:pPr>
            <w:r>
              <w:rPr/>
              <w:t>Total assets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59,418,578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78,581,467</w:t>
            </w:r>
          </w:p>
        </w:tc>
        <w:tc>
          <w:tcPr>
            <w:tcW w:w="90" w:type="dxa"/>
            <w:tcBorders/>
            <w:shd w:fill="EEEEEE"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bookmarkStart w:id="54" w:name="xdx_40F_eus-gaap--LiabilitiesAndStockhol"/>
            <w:bookmarkEnd w:id="54"/>
          </w:p>
        </w:tc>
      </w:tr>
      <w:tr>
        <w:trPr/>
        <w:tc>
          <w:tcPr>
            <w:tcW w:w="7420" w:type="dxa"/>
            <w:tcBorders/>
            <w:shd w:fill="EEEEEE" w:val="clear"/>
            <w:vAlign w:val="center"/>
          </w:tcPr>
          <w:p>
            <w:pPr>
              <w:pStyle w:val="TableContents"/>
              <w:bidi w:val="0"/>
              <w:spacing w:before="0" w:after="283"/>
              <w:jc w:val="left"/>
              <w:rPr>
                <w:u w:val="single"/>
              </w:rPr>
            </w:pPr>
            <w:r>
              <w:rPr>
                <w:u w:val="single"/>
              </w:rPr>
              <w:t>LIABILITIES AND EQUITY</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0" w:type="dxa"/>
            <w:tcBorders/>
            <w:shd w:fill="EEEEEE" w:val="clear"/>
            <w:vAlign w:val="center"/>
          </w:tcPr>
          <w:p>
            <w:pPr>
              <w:pStyle w:val="TableContents"/>
              <w:bidi w:val="0"/>
              <w:spacing w:before="0" w:after="283"/>
              <w:ind w:left="0" w:right="0" w:hanging="200"/>
              <w:jc w:val="left"/>
              <w:rPr/>
            </w:pPr>
            <w:r>
              <w:rPr/>
              <w:t> </w:t>
            </w:r>
            <w:bookmarkStart w:id="55" w:name="xdx_403_eus-gaap--LiabilitiesCurrentAbst"/>
            <w:bookmarkEnd w:id="55"/>
          </w:p>
        </w:tc>
      </w:tr>
      <w:tr>
        <w:trPr/>
        <w:tc>
          <w:tcPr>
            <w:tcW w:w="7420"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200"/>
              <w:jc w:val="left"/>
              <w:rPr/>
            </w:pPr>
            <w:r>
              <w:rPr/>
              <w:t> </w:t>
            </w:r>
            <w:bookmarkStart w:id="56" w:name="xdx_40A_eus-gaap--AccountsPayableCurrent"/>
            <w:bookmarkEnd w:id="56"/>
          </w:p>
        </w:tc>
      </w:tr>
      <w:tr>
        <w:trPr/>
        <w:tc>
          <w:tcPr>
            <w:tcW w:w="7420" w:type="dxa"/>
            <w:tcBorders/>
            <w:shd w:fill="EEEEEE" w:val="clear"/>
            <w:vAlign w:val="center"/>
          </w:tcPr>
          <w:p>
            <w:pPr>
              <w:pStyle w:val="TableContents"/>
              <w:bidi w:val="0"/>
              <w:spacing w:before="0" w:after="283"/>
              <w:jc w:val="left"/>
              <w:rPr/>
            </w:pPr>
            <w:r>
              <w:rPr/>
              <w:t>Accounts payable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13,406,565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9,533,408</w:t>
            </w:r>
          </w:p>
        </w:tc>
        <w:tc>
          <w:tcPr>
            <w:tcW w:w="90" w:type="dxa"/>
            <w:tcBorders/>
            <w:shd w:fill="EEEEEE" w:val="clear"/>
            <w:vAlign w:val="center"/>
          </w:tcPr>
          <w:p>
            <w:pPr>
              <w:pStyle w:val="TableContents"/>
              <w:bidi w:val="0"/>
              <w:spacing w:before="0" w:after="283"/>
              <w:ind w:left="0" w:right="0" w:hanging="200"/>
              <w:jc w:val="left"/>
              <w:rPr/>
            </w:pPr>
            <w:r>
              <w:rPr/>
              <w:t> </w:t>
            </w:r>
            <w:bookmarkStart w:id="57" w:name="xdx_40A_eus-gaap--OtherAccountsPayableAn"/>
            <w:bookmarkEnd w:id="57"/>
          </w:p>
        </w:tc>
      </w:tr>
      <w:tr>
        <w:trPr/>
        <w:tc>
          <w:tcPr>
            <w:tcW w:w="7420" w:type="dxa"/>
            <w:tcBorders/>
            <w:shd w:fill="FFFFFF" w:val="clear"/>
            <w:vAlign w:val="center"/>
          </w:tcPr>
          <w:p>
            <w:pPr>
              <w:pStyle w:val="TableContents"/>
              <w:bidi w:val="0"/>
              <w:spacing w:before="0" w:after="283"/>
              <w:jc w:val="left"/>
              <w:rPr/>
            </w:pPr>
            <w:r>
              <w:rPr/>
              <w:t>Credit cards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296,847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807,687</w:t>
            </w:r>
          </w:p>
        </w:tc>
        <w:tc>
          <w:tcPr>
            <w:tcW w:w="90" w:type="dxa"/>
            <w:tcBorders/>
            <w:shd w:fill="FFFFFF" w:val="clear"/>
            <w:vAlign w:val="center"/>
          </w:tcPr>
          <w:p>
            <w:pPr>
              <w:pStyle w:val="TableContents"/>
              <w:bidi w:val="0"/>
              <w:spacing w:before="0" w:after="283"/>
              <w:ind w:left="0" w:right="0" w:hanging="200"/>
              <w:jc w:val="left"/>
              <w:rPr/>
            </w:pPr>
            <w:r>
              <w:rPr/>
              <w:t> </w:t>
            </w:r>
            <w:bookmarkStart w:id="58" w:name="xdx_40C_eus-gaap--ContractWithCustomerLi"/>
            <w:bookmarkEnd w:id="58"/>
          </w:p>
        </w:tc>
      </w:tr>
      <w:tr>
        <w:trPr/>
        <w:tc>
          <w:tcPr>
            <w:tcW w:w="7420" w:type="dxa"/>
            <w:tcBorders/>
            <w:shd w:fill="EEEEEE" w:val="clear"/>
            <w:vAlign w:val="center"/>
          </w:tcPr>
          <w:p>
            <w:pPr>
              <w:pStyle w:val="TableContents"/>
              <w:bidi w:val="0"/>
              <w:spacing w:before="0" w:after="283"/>
              <w:jc w:val="left"/>
              <w:rPr/>
            </w:pPr>
            <w:r>
              <w:rPr/>
              <w:t>Customer deposit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482,862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273,457</w:t>
            </w:r>
          </w:p>
        </w:tc>
        <w:tc>
          <w:tcPr>
            <w:tcW w:w="90" w:type="dxa"/>
            <w:tcBorders/>
            <w:shd w:fill="EEEEEE" w:val="clear"/>
            <w:vAlign w:val="center"/>
          </w:tcPr>
          <w:p>
            <w:pPr>
              <w:pStyle w:val="TableContents"/>
              <w:bidi w:val="0"/>
              <w:spacing w:before="0" w:after="283"/>
              <w:ind w:left="0" w:right="0" w:hanging="200"/>
              <w:jc w:val="left"/>
              <w:rPr/>
            </w:pPr>
            <w:r>
              <w:rPr/>
              <w:t> </w:t>
            </w:r>
            <w:bookmarkStart w:id="59" w:name="xdx_400_eus-gaap--AccountsPayableAndOthe"/>
            <w:bookmarkEnd w:id="59"/>
          </w:p>
        </w:tc>
      </w:tr>
      <w:tr>
        <w:trPr/>
        <w:tc>
          <w:tcPr>
            <w:tcW w:w="7420" w:type="dxa"/>
            <w:tcBorders/>
            <w:shd w:fill="FFFFFF" w:val="clear"/>
            <w:vAlign w:val="center"/>
          </w:tcPr>
          <w:p>
            <w:pPr>
              <w:pStyle w:val="TableContents"/>
              <w:bidi w:val="0"/>
              <w:spacing w:before="0" w:after="283"/>
              <w:jc w:val="left"/>
              <w:rPr/>
            </w:pPr>
            <w:r>
              <w:rPr/>
              <w:t>Other payables and accrued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2,442,105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5,915,220</w:t>
            </w:r>
          </w:p>
        </w:tc>
        <w:tc>
          <w:tcPr>
            <w:tcW w:w="90" w:type="dxa"/>
            <w:tcBorders/>
            <w:shd w:fill="FFFFFF" w:val="clear"/>
            <w:vAlign w:val="center"/>
          </w:tcPr>
          <w:p>
            <w:pPr>
              <w:pStyle w:val="TableContents"/>
              <w:bidi w:val="0"/>
              <w:spacing w:before="0" w:after="283"/>
              <w:ind w:left="0" w:right="0" w:hanging="200"/>
              <w:jc w:val="left"/>
              <w:rPr/>
            </w:pPr>
            <w:r>
              <w:rPr/>
              <w:t> </w:t>
            </w:r>
            <w:bookmarkStart w:id="60" w:name="xdx_407_ecustom--AdvanceFromShareholders"/>
            <w:bookmarkEnd w:id="60"/>
          </w:p>
        </w:tc>
      </w:tr>
      <w:tr>
        <w:trPr/>
        <w:tc>
          <w:tcPr>
            <w:tcW w:w="7420" w:type="dxa"/>
            <w:tcBorders/>
            <w:shd w:fill="EEEEEE" w:val="clear"/>
            <w:vAlign w:val="center"/>
          </w:tcPr>
          <w:p>
            <w:pPr>
              <w:pStyle w:val="TableContents"/>
              <w:bidi w:val="0"/>
              <w:spacing w:before="0" w:after="283"/>
              <w:jc w:val="left"/>
              <w:rPr/>
            </w:pPr>
            <w:r>
              <w:rPr/>
              <w:t>Advance from shareholders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89,968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92,246</w:t>
            </w:r>
          </w:p>
        </w:tc>
        <w:tc>
          <w:tcPr>
            <w:tcW w:w="90" w:type="dxa"/>
            <w:tcBorders/>
            <w:shd w:fill="EEEEEE" w:val="clear"/>
            <w:vAlign w:val="center"/>
          </w:tcPr>
          <w:p>
            <w:pPr>
              <w:pStyle w:val="TableContents"/>
              <w:bidi w:val="0"/>
              <w:spacing w:before="0" w:after="283"/>
              <w:ind w:left="0" w:right="0" w:hanging="200"/>
              <w:jc w:val="left"/>
              <w:rPr/>
            </w:pPr>
            <w:r>
              <w:rPr/>
              <w:t> </w:t>
            </w:r>
            <w:bookmarkStart w:id="61" w:name="xdx_40F_ecustom--InvestmentPayableCurren"/>
            <w:bookmarkEnd w:id="61"/>
          </w:p>
        </w:tc>
      </w:tr>
      <w:tr>
        <w:trPr/>
        <w:tc>
          <w:tcPr>
            <w:tcW w:w="7420" w:type="dxa"/>
            <w:tcBorders/>
            <w:shd w:fill="FFFFFF" w:val="clear"/>
            <w:vAlign w:val="center"/>
          </w:tcPr>
          <w:p>
            <w:pPr>
              <w:pStyle w:val="TableContents"/>
              <w:bidi w:val="0"/>
              <w:spacing w:before="0" w:after="283"/>
              <w:jc w:val="left"/>
              <w:rPr/>
            </w:pPr>
            <w:r>
              <w:rPr/>
              <w:t>Investment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1,500,000</w:t>
            </w:r>
          </w:p>
        </w:tc>
        <w:tc>
          <w:tcPr>
            <w:tcW w:w="90" w:type="dxa"/>
            <w:tcBorders/>
            <w:shd w:fill="FFFFFF" w:val="clear"/>
            <w:vAlign w:val="center"/>
          </w:tcPr>
          <w:p>
            <w:pPr>
              <w:pStyle w:val="TableContents"/>
              <w:bidi w:val="0"/>
              <w:spacing w:before="0" w:after="283"/>
              <w:ind w:left="0" w:right="0" w:hanging="200"/>
              <w:jc w:val="left"/>
              <w:rPr/>
            </w:pPr>
            <w:r>
              <w:rPr/>
              <w:t> </w:t>
            </w:r>
            <w:bookmarkStart w:id="62" w:name="xdx_400_eus-gaap--OperatingLeaseLiabilit"/>
            <w:bookmarkEnd w:id="62"/>
          </w:p>
        </w:tc>
      </w:tr>
      <w:tr>
        <w:trPr/>
        <w:tc>
          <w:tcPr>
            <w:tcW w:w="7420" w:type="dxa"/>
            <w:tcBorders/>
            <w:shd w:fill="EEEEEE" w:val="clear"/>
            <w:vAlign w:val="center"/>
          </w:tcPr>
          <w:p>
            <w:pPr>
              <w:pStyle w:val="TableContents"/>
              <w:bidi w:val="0"/>
              <w:spacing w:before="0" w:after="283"/>
              <w:jc w:val="left"/>
              <w:rPr/>
            </w:pPr>
            <w:r>
              <w:rPr/>
              <w:t>Lease liability - current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2,356,545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2,582,933</w:t>
            </w:r>
          </w:p>
        </w:tc>
        <w:tc>
          <w:tcPr>
            <w:tcW w:w="90" w:type="dxa"/>
            <w:tcBorders/>
            <w:shd w:fill="EEEEEE" w:val="clear"/>
            <w:vAlign w:val="center"/>
          </w:tcPr>
          <w:p>
            <w:pPr>
              <w:pStyle w:val="TableContents"/>
              <w:bidi w:val="0"/>
              <w:spacing w:before="0" w:after="283"/>
              <w:ind w:left="0" w:right="0" w:hanging="200"/>
              <w:jc w:val="left"/>
              <w:rPr/>
            </w:pPr>
            <w:r>
              <w:rPr/>
              <w:t> </w:t>
            </w:r>
            <w:bookmarkStart w:id="63" w:name="xdx_403_eus-gaap--OtherLongTermDebtCurre"/>
            <w:bookmarkEnd w:id="63"/>
          </w:p>
        </w:tc>
      </w:tr>
      <w:tr>
        <w:trPr/>
        <w:tc>
          <w:tcPr>
            <w:tcW w:w="7420" w:type="dxa"/>
            <w:tcBorders/>
            <w:shd w:fill="FFFFFF" w:val="clear"/>
            <w:vAlign w:val="center"/>
          </w:tcPr>
          <w:p>
            <w:pPr>
              <w:pStyle w:val="TableContents"/>
              <w:bidi w:val="0"/>
              <w:spacing w:before="0" w:after="283"/>
              <w:jc w:val="left"/>
              <w:rPr/>
            </w:pPr>
            <w:r>
              <w:rPr/>
              <w:t>Long-term promissory note payable - 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2,004,181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1,879,065</w:t>
            </w:r>
          </w:p>
        </w:tc>
        <w:tc>
          <w:tcPr>
            <w:tcW w:w="90" w:type="dxa"/>
            <w:tcBorders/>
            <w:shd w:fill="FFFFFF" w:val="clear"/>
            <w:vAlign w:val="center"/>
          </w:tcPr>
          <w:p>
            <w:pPr>
              <w:pStyle w:val="TableContents"/>
              <w:bidi w:val="0"/>
              <w:spacing w:before="0" w:after="283"/>
              <w:ind w:left="0" w:right="0" w:hanging="200"/>
              <w:jc w:val="left"/>
              <w:rPr/>
            </w:pPr>
            <w:r>
              <w:rPr/>
              <w:t> </w:t>
            </w:r>
            <w:bookmarkStart w:id="64" w:name="xdx_405_eus-gaap--TaxesPayableCurrent_i0"/>
            <w:bookmarkEnd w:id="64"/>
          </w:p>
        </w:tc>
      </w:tr>
      <w:tr>
        <w:trPr/>
        <w:tc>
          <w:tcPr>
            <w:tcW w:w="7420" w:type="dxa"/>
            <w:tcBorders/>
            <w:shd w:fill="EEEEEE" w:val="clear"/>
            <w:vAlign w:val="center"/>
          </w:tcPr>
          <w:p>
            <w:pPr>
              <w:pStyle w:val="TableContents"/>
              <w:bidi w:val="0"/>
              <w:spacing w:before="0" w:after="283"/>
              <w:jc w:val="left"/>
              <w:rPr/>
            </w:pPr>
            <w:r>
              <w:rPr/>
              <w:t>Income taxes payable</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389,126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299,563</w:t>
            </w:r>
          </w:p>
        </w:tc>
        <w:tc>
          <w:tcPr>
            <w:tcW w:w="90" w:type="dxa"/>
            <w:tcBorders/>
            <w:shd w:fill="EEEEEE" w:val="clear"/>
            <w:vAlign w:val="center"/>
          </w:tcPr>
          <w:p>
            <w:pPr>
              <w:pStyle w:val="TableContents"/>
              <w:bidi w:val="0"/>
              <w:spacing w:before="0" w:after="283"/>
              <w:ind w:left="0" w:right="0" w:hanging="200"/>
              <w:jc w:val="left"/>
              <w:rPr/>
            </w:pPr>
            <w:r>
              <w:rPr/>
              <w:t> </w:t>
            </w:r>
            <w:bookmarkStart w:id="65" w:name="xdx_408_eus-gaap--LiabilitiesCurrent_i01"/>
            <w:bookmarkEnd w:id="65"/>
          </w:p>
        </w:tc>
      </w:tr>
      <w:tr>
        <w:trPr/>
        <w:tc>
          <w:tcPr>
            <w:tcW w:w="742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21,468,199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22,883,579</w:t>
            </w:r>
          </w:p>
        </w:tc>
        <w:tc>
          <w:tcPr>
            <w:tcW w:w="90" w:type="dxa"/>
            <w:tcBorders/>
            <w:shd w:fill="FFFFFF" w:val="clear"/>
            <w:vAlign w:val="center"/>
          </w:tcPr>
          <w:p>
            <w:pPr>
              <w:pStyle w:val="TableContents"/>
              <w:bidi w:val="0"/>
              <w:spacing w:before="0" w:after="283"/>
              <w:jc w:val="left"/>
              <w:rPr/>
            </w:pPr>
            <w:r>
              <w:rPr/>
              <w:t> </w:t>
            </w:r>
          </w:p>
        </w:tc>
      </w:tr>
      <w:tr>
        <w:trPr/>
        <w:tc>
          <w:tcPr>
            <w:tcW w:w="742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0" w:type="dxa"/>
            <w:tcBorders/>
            <w:shd w:fill="EEEEEE" w:val="clear"/>
            <w:vAlign w:val="center"/>
          </w:tcPr>
          <w:p>
            <w:pPr>
              <w:pStyle w:val="TableContents"/>
              <w:bidi w:val="0"/>
              <w:spacing w:before="0" w:after="283"/>
              <w:jc w:val="left"/>
              <w:rPr/>
            </w:pPr>
            <w:r>
              <w:rPr/>
              <w:t> </w:t>
            </w:r>
            <w:bookmarkStart w:id="66" w:name="xdx_404_eus-gaap--LiabilitiesNoncurrentA"/>
            <w:bookmarkEnd w:id="66"/>
          </w:p>
        </w:tc>
      </w:tr>
      <w:tr>
        <w:trPr/>
        <w:tc>
          <w:tcPr>
            <w:tcW w:w="7420" w:type="dxa"/>
            <w:tcBorders/>
            <w:shd w:fill="FFFFFF" w:val="clear"/>
            <w:vAlign w:val="center"/>
          </w:tcPr>
          <w:p>
            <w:pPr>
              <w:pStyle w:val="TableContents"/>
              <w:bidi w:val="0"/>
              <w:spacing w:before="0" w:after="283"/>
              <w:jc w:val="left"/>
              <w:rPr/>
            </w:pPr>
            <w:r>
              <w:rPr/>
              <w:t>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ind w:left="0" w:right="0" w:hanging="200"/>
              <w:jc w:val="left"/>
              <w:rPr/>
            </w:pPr>
            <w:r>
              <w:rPr/>
              <w:t> </w:t>
            </w:r>
            <w:bookmarkStart w:id="67" w:name="xdx_405_eus-gaap--LongTermLineOfCredit_i"/>
            <w:bookmarkEnd w:id="67"/>
          </w:p>
        </w:tc>
      </w:tr>
      <w:tr>
        <w:trPr/>
        <w:tc>
          <w:tcPr>
            <w:tcW w:w="7420" w:type="dxa"/>
            <w:tcBorders/>
            <w:shd w:fill="EEEEEE" w:val="clear"/>
            <w:vAlign w:val="center"/>
          </w:tcPr>
          <w:p>
            <w:pPr>
              <w:pStyle w:val="TableContents"/>
              <w:bidi w:val="0"/>
              <w:spacing w:before="0" w:after="283"/>
              <w:jc w:val="left"/>
              <w:rPr/>
            </w:pPr>
            <w:r>
              <w:rPr/>
              <w:t>Long-term revolving loan payable, net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7,653,372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12,314,627</w:t>
            </w:r>
          </w:p>
        </w:tc>
        <w:tc>
          <w:tcPr>
            <w:tcW w:w="90" w:type="dxa"/>
            <w:tcBorders/>
            <w:shd w:fill="EEEEEE" w:val="clear"/>
            <w:vAlign w:val="center"/>
          </w:tcPr>
          <w:p>
            <w:pPr>
              <w:pStyle w:val="TableContents"/>
              <w:bidi w:val="0"/>
              <w:spacing w:before="0" w:after="283"/>
              <w:ind w:left="0" w:right="0" w:hanging="200"/>
              <w:jc w:val="left"/>
              <w:rPr/>
            </w:pPr>
            <w:r>
              <w:rPr/>
              <w:t> </w:t>
            </w:r>
            <w:bookmarkStart w:id="68" w:name="xdx_407_eus-gaap--SecuredLongTermDebt_i0"/>
            <w:bookmarkEnd w:id="68"/>
          </w:p>
        </w:tc>
      </w:tr>
      <w:tr>
        <w:trPr/>
        <w:tc>
          <w:tcPr>
            <w:tcW w:w="7420" w:type="dxa"/>
            <w:tcBorders/>
            <w:shd w:fill="FFFFFF" w:val="clear"/>
            <w:vAlign w:val="center"/>
          </w:tcPr>
          <w:p>
            <w:pPr>
              <w:pStyle w:val="TableContents"/>
              <w:bidi w:val="0"/>
              <w:spacing w:before="0" w:after="283"/>
              <w:jc w:val="left"/>
              <w:rPr/>
            </w:pPr>
            <w:r>
              <w:rPr/>
              <w:t>Long-term promissory note payable,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1,781,705</w:t>
            </w:r>
          </w:p>
        </w:tc>
        <w:tc>
          <w:tcPr>
            <w:tcW w:w="90" w:type="dxa"/>
            <w:tcBorders/>
            <w:shd w:fill="FFFFFF" w:val="clear"/>
            <w:vAlign w:val="center"/>
          </w:tcPr>
          <w:p>
            <w:pPr>
              <w:pStyle w:val="TableContents"/>
              <w:bidi w:val="0"/>
              <w:spacing w:before="0" w:after="283"/>
              <w:ind w:left="0" w:right="0" w:hanging="200"/>
              <w:jc w:val="left"/>
              <w:rPr/>
            </w:pPr>
            <w:r>
              <w:rPr/>
              <w:t> </w:t>
            </w:r>
            <w:bookmarkStart w:id="69" w:name="xdx_401_eus-gaap--DeferredTaxAndOtherLia"/>
            <w:bookmarkEnd w:id="69"/>
          </w:p>
        </w:tc>
      </w:tr>
      <w:tr>
        <w:trPr/>
        <w:tc>
          <w:tcPr>
            <w:tcW w:w="7420" w:type="dxa"/>
            <w:tcBorders/>
            <w:shd w:fill="EEEEEE" w:val="clear"/>
            <w:vAlign w:val="center"/>
          </w:tcPr>
          <w:p>
            <w:pPr>
              <w:pStyle w:val="TableContents"/>
              <w:bidi w:val="0"/>
              <w:spacing w:before="0" w:after="283"/>
              <w:jc w:val="left"/>
              <w:rPr/>
            </w:pPr>
            <w:r>
              <w:rPr/>
              <w:t>Deferred tax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939,115</w:t>
            </w:r>
          </w:p>
        </w:tc>
        <w:tc>
          <w:tcPr>
            <w:tcW w:w="90" w:type="dxa"/>
            <w:tcBorders/>
            <w:shd w:fill="EEEEEE" w:val="clear"/>
            <w:vAlign w:val="center"/>
          </w:tcPr>
          <w:p>
            <w:pPr>
              <w:pStyle w:val="TableContents"/>
              <w:bidi w:val="0"/>
              <w:spacing w:before="0" w:after="283"/>
              <w:ind w:left="0" w:right="0" w:hanging="200"/>
              <w:jc w:val="left"/>
              <w:rPr/>
            </w:pPr>
            <w:r>
              <w:rPr/>
              <w:t> </w:t>
            </w:r>
            <w:bookmarkStart w:id="70" w:name="xdx_40D_eus-gaap--OperatingLeaseLiabilit"/>
            <w:bookmarkEnd w:id="70"/>
          </w:p>
        </w:tc>
      </w:tr>
      <w:tr>
        <w:trPr/>
        <w:tc>
          <w:tcPr>
            <w:tcW w:w="7420" w:type="dxa"/>
            <w:tcBorders/>
            <w:shd w:fill="FFFFFF" w:val="clear"/>
            <w:vAlign w:val="center"/>
          </w:tcPr>
          <w:p>
            <w:pPr>
              <w:pStyle w:val="TableContents"/>
              <w:bidi w:val="0"/>
              <w:spacing w:before="0" w:after="283"/>
              <w:jc w:val="left"/>
              <w:rPr/>
            </w:pPr>
            <w:r>
              <w:rPr/>
              <w:t>Lease liability - non-current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6,571,404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8,265,611</w:t>
            </w:r>
          </w:p>
        </w:tc>
        <w:tc>
          <w:tcPr>
            <w:tcW w:w="90" w:type="dxa"/>
            <w:tcBorders/>
            <w:shd w:fill="FFFFFF" w:val="clear"/>
            <w:vAlign w:val="center"/>
          </w:tcPr>
          <w:p>
            <w:pPr>
              <w:pStyle w:val="TableContents"/>
              <w:bidi w:val="0"/>
              <w:spacing w:before="0" w:after="283"/>
              <w:ind w:left="0" w:right="0" w:hanging="200"/>
              <w:jc w:val="left"/>
              <w:rPr/>
            </w:pPr>
            <w:r>
              <w:rPr/>
              <w:t> </w:t>
            </w:r>
            <w:bookmarkStart w:id="71" w:name="xdx_400_eus-gaap--LiabilitiesNoncurrent_"/>
            <w:bookmarkEnd w:id="71"/>
          </w:p>
        </w:tc>
      </w:tr>
      <w:tr>
        <w:trPr/>
        <w:tc>
          <w:tcPr>
            <w:tcW w:w="7420" w:type="dxa"/>
            <w:tcBorders/>
            <w:shd w:fill="EEEEEE" w:val="clear"/>
            <w:vAlign w:val="center"/>
          </w:tcPr>
          <w:p>
            <w:pPr>
              <w:pStyle w:val="TableContents"/>
              <w:bidi w:val="0"/>
              <w:spacing w:before="0" w:after="283"/>
              <w:jc w:val="left"/>
              <w:rPr/>
            </w:pPr>
            <w:r>
              <w:rPr/>
              <w:t>Total non-current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14,224,776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23,301,058</w:t>
            </w:r>
          </w:p>
        </w:tc>
        <w:tc>
          <w:tcPr>
            <w:tcW w:w="90" w:type="dxa"/>
            <w:tcBorders/>
            <w:shd w:fill="EEEEEE"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bookmarkStart w:id="72" w:name="xdx_40E_eus-gaap--Liabilities_i01TI_mtCz"/>
            <w:bookmarkEnd w:id="72"/>
          </w:p>
        </w:tc>
      </w:tr>
      <w:tr>
        <w:trPr/>
        <w:tc>
          <w:tcPr>
            <w:tcW w:w="7420" w:type="dxa"/>
            <w:tcBorders/>
            <w:shd w:fill="EEEEEE" w:val="clear"/>
            <w:vAlign w:val="center"/>
          </w:tcPr>
          <w:p>
            <w:pPr>
              <w:pStyle w:val="TableContents"/>
              <w:bidi w:val="0"/>
              <w:spacing w:before="0" w:after="283"/>
              <w:jc w:val="left"/>
              <w:rPr/>
            </w:pPr>
            <w:r>
              <w:rPr/>
              <w:t>Total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35,692,975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46,184,637</w:t>
            </w:r>
          </w:p>
        </w:tc>
        <w:tc>
          <w:tcPr>
            <w:tcW w:w="90" w:type="dxa"/>
            <w:tcBorders/>
            <w:shd w:fill="EEEEEE"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bookmarkStart w:id="73" w:name="xdx_409_eus-gaap--CommitmentsAndContinge"/>
            <w:bookmarkEnd w:id="73"/>
          </w:p>
        </w:tc>
      </w:tr>
      <w:tr>
        <w:trPr/>
        <w:tc>
          <w:tcPr>
            <w:tcW w:w="7420" w:type="dxa"/>
            <w:tcBorders/>
            <w:shd w:fill="EEEEEE" w:val="clear"/>
            <w:vAlign w:val="center"/>
          </w:tcPr>
          <w:p>
            <w:pPr>
              <w:pStyle w:val="TableContents"/>
              <w:bidi w:val="0"/>
              <w:spacing w:before="0" w:after="283"/>
              <w:jc w:val="left"/>
              <w:rPr/>
            </w:pPr>
            <w:r>
              <w:rPr/>
              <w:t>Commitments and contingency</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90" w:type="dxa"/>
            <w:tcBorders/>
            <w:shd w:fill="EEEEEE" w:val="clear"/>
            <w:vAlign w:val="center"/>
          </w:tcPr>
          <w:p>
            <w:pPr>
              <w:pStyle w:val="TableContents"/>
              <w:bidi w:val="0"/>
              <w:spacing w:before="0" w:after="283"/>
              <w:jc w:val="left"/>
              <w:rPr/>
            </w:pPr>
            <w:r>
              <w:rPr/>
              <w:t> </w:t>
            </w:r>
          </w:p>
        </w:tc>
      </w:tr>
      <w:tr>
        <w:trPr/>
        <w:tc>
          <w:tcPr>
            <w:tcW w:w="7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left"/>
              <w:rPr/>
            </w:pPr>
            <w:r>
              <w:rPr/>
              <w:t> </w:t>
            </w:r>
            <w:bookmarkStart w:id="74" w:name="xdx_40B_eus-gaap--StockholdersEquityAbst"/>
            <w:bookmarkEnd w:id="74"/>
          </w:p>
        </w:tc>
      </w:tr>
      <w:tr>
        <w:trPr/>
        <w:tc>
          <w:tcPr>
            <w:tcW w:w="7420" w:type="dxa"/>
            <w:tcBorders/>
            <w:shd w:fill="EEEEEE" w:val="clear"/>
            <w:vAlign w:val="center"/>
          </w:tcPr>
          <w:p>
            <w:pPr>
              <w:pStyle w:val="TableContents"/>
              <w:bidi w:val="0"/>
              <w:spacing w:before="0" w:after="283"/>
              <w:jc w:val="left"/>
              <w:rPr/>
            </w:pPr>
            <w:r>
              <w:rPr/>
              <w:t>Stockholders' Equity</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0" w:type="dxa"/>
            <w:tcBorders/>
            <w:shd w:fill="EEEEEE" w:val="clear"/>
            <w:vAlign w:val="center"/>
          </w:tcPr>
          <w:p>
            <w:pPr>
              <w:pStyle w:val="TableContents"/>
              <w:bidi w:val="0"/>
              <w:spacing w:before="0" w:after="283"/>
              <w:ind w:left="0" w:right="0" w:hanging="200"/>
              <w:jc w:val="left"/>
              <w:rPr/>
            </w:pPr>
            <w:r>
              <w:rPr/>
              <w:t> </w:t>
            </w:r>
            <w:bookmarkStart w:id="75" w:name="xdx_406_eus-gaap--PreferredStockValue_i0"/>
            <w:bookmarkEnd w:id="75"/>
          </w:p>
        </w:tc>
      </w:tr>
      <w:tr>
        <w:trPr/>
        <w:tc>
          <w:tcPr>
            <w:tcW w:w="7420" w:type="dxa"/>
            <w:tcBorders/>
            <w:shd w:fill="FFFFFF" w:val="clear"/>
            <w:vAlign w:val="center"/>
          </w:tcPr>
          <w:p>
            <w:pPr>
              <w:pStyle w:val="TableContents"/>
              <w:bidi w:val="0"/>
              <w:spacing w:before="0" w:after="283"/>
              <w:jc w:val="left"/>
              <w:rPr/>
            </w:pPr>
            <w:r>
              <w:rPr/>
              <w:t>Preferred stock, $</w:t>
            </w:r>
            <w:bookmarkStart w:id="76" w:name="xdx_90C_eus-gaap--PreferredStockParOrSta"/>
            <w:bookmarkStart w:id="77" w:name="xdx_90D_eus-gaap--PreferredStockParOrSta"/>
            <w:bookmarkEnd w:id="76"/>
            <w:bookmarkEnd w:id="77"/>
            <w:r>
              <w:rPr/>
              <w:t xml:space="preserve">0.001 par value; </w:t>
            </w:r>
            <w:bookmarkStart w:id="78" w:name="xdx_90C_eus-gaap--PreferredStockSharesAu"/>
            <w:bookmarkStart w:id="79" w:name="xdx_905_eus-gaap--PreferredStockSharesAu"/>
            <w:bookmarkEnd w:id="78"/>
            <w:bookmarkEnd w:id="79"/>
            <w:r>
              <w:rPr/>
              <w:t xml:space="preserve">20,000,000 shares authorized; </w:t>
            </w:r>
            <w:bookmarkStart w:id="80" w:name="xdx_901_eus-gaap--PreferredStockSharesOu"/>
            <w:bookmarkStart w:id="81" w:name="xdx_90B_eus-gaap--PreferredStockSharesIs"/>
            <w:bookmarkStart w:id="82" w:name="xdx_90F_eus-gaap--PreferredStockSharesOu"/>
            <w:bookmarkStart w:id="83" w:name="xdx_90A_eus-gaap--PreferredStockSharesIs"/>
            <w:bookmarkEnd w:id="80"/>
            <w:bookmarkEnd w:id="81"/>
            <w:bookmarkEnd w:id="82"/>
            <w:bookmarkEnd w:id="83"/>
            <w:r>
              <w:rPr/>
              <w:t>0 shares issued and outstanding at March 31, 2023 and June 30, 2022</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0" w:type="dxa"/>
            <w:tcBorders/>
            <w:shd w:fill="FFFFFF" w:val="clear"/>
            <w:vAlign w:val="center"/>
          </w:tcPr>
          <w:p>
            <w:pPr>
              <w:pStyle w:val="TableContents"/>
              <w:bidi w:val="0"/>
              <w:spacing w:before="0" w:after="283"/>
              <w:ind w:left="0" w:right="0" w:hanging="200"/>
              <w:jc w:val="left"/>
              <w:rPr/>
            </w:pPr>
            <w:r>
              <w:rPr/>
              <w:t> </w:t>
            </w:r>
            <w:bookmarkStart w:id="84" w:name="xdx_404_eus-gaap--CommonStockValue_i01I_"/>
            <w:bookmarkEnd w:id="84"/>
          </w:p>
        </w:tc>
      </w:tr>
      <w:tr>
        <w:trPr/>
        <w:tc>
          <w:tcPr>
            <w:tcW w:w="7420" w:type="dxa"/>
            <w:tcBorders/>
            <w:shd w:fill="EEEEEE" w:val="clear"/>
            <w:vAlign w:val="center"/>
          </w:tcPr>
          <w:p>
            <w:pPr>
              <w:pStyle w:val="TableContents"/>
              <w:bidi w:val="0"/>
              <w:spacing w:before="0" w:after="283"/>
              <w:jc w:val="left"/>
              <w:rPr/>
            </w:pPr>
            <w:r>
              <w:rPr/>
              <w:t>Common stock, $</w:t>
            </w:r>
            <w:bookmarkStart w:id="85" w:name="xdx_904_eus-gaap--CommonStockParOrStated"/>
            <w:bookmarkStart w:id="86" w:name="xdx_902_eus-gaap--CommonStockParOrStated"/>
            <w:bookmarkEnd w:id="85"/>
            <w:bookmarkEnd w:id="86"/>
            <w:r>
              <w:rPr/>
              <w:t xml:space="preserve">0.001 par value; </w:t>
            </w:r>
            <w:bookmarkStart w:id="87" w:name="xdx_902_eus-gaap--CommonStockSharesAutho"/>
            <w:bookmarkStart w:id="88" w:name="xdx_908_eus-gaap--CommonStockSharesAutho"/>
            <w:bookmarkEnd w:id="87"/>
            <w:bookmarkEnd w:id="88"/>
            <w:r>
              <w:rPr/>
              <w:t xml:space="preserve">180,000,000 shares authorized; </w:t>
            </w:r>
            <w:bookmarkStart w:id="89" w:name="xdx_90F_eus-gaap--CommonStockSharesOutst"/>
            <w:bookmarkStart w:id="90" w:name="xdx_907_eus-gaap--CommonStockSharesIssue"/>
            <w:bookmarkEnd w:id="89"/>
            <w:bookmarkEnd w:id="90"/>
            <w:r>
              <w:rPr/>
              <w:t xml:space="preserve">29,572,382 and </w:t>
            </w:r>
            <w:bookmarkStart w:id="91" w:name="xdx_904_eus-gaap--CommonStockSharesOutst"/>
            <w:bookmarkStart w:id="92" w:name="xdx_909_eus-gaap--CommonStockSharesIssue"/>
            <w:bookmarkEnd w:id="91"/>
            <w:bookmarkEnd w:id="92"/>
            <w:r>
              <w:rPr/>
              <w:t>29,572,382 shares issued and outstanding at March 31, 2023 and June 30, 2022</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29,573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29,573</w:t>
            </w:r>
          </w:p>
        </w:tc>
        <w:tc>
          <w:tcPr>
            <w:tcW w:w="90" w:type="dxa"/>
            <w:tcBorders/>
            <w:shd w:fill="EEEEEE" w:val="clear"/>
            <w:vAlign w:val="center"/>
          </w:tcPr>
          <w:p>
            <w:pPr>
              <w:pStyle w:val="TableContents"/>
              <w:bidi w:val="0"/>
              <w:spacing w:before="0" w:after="283"/>
              <w:ind w:left="0" w:right="0" w:hanging="200"/>
              <w:jc w:val="left"/>
              <w:rPr/>
            </w:pPr>
            <w:r>
              <w:rPr/>
              <w:t> </w:t>
            </w:r>
            <w:bookmarkStart w:id="93" w:name="xdx_40E_eus-gaap--AdditionalPaidInCapita"/>
            <w:bookmarkEnd w:id="93"/>
          </w:p>
        </w:tc>
      </w:tr>
      <w:tr>
        <w:trPr/>
        <w:tc>
          <w:tcPr>
            <w:tcW w:w="7420" w:type="dxa"/>
            <w:tcBorders/>
            <w:shd w:fill="FFFFFF" w:val="clear"/>
            <w:vAlign w:val="center"/>
          </w:tcPr>
          <w:p>
            <w:pPr>
              <w:pStyle w:val="TableContents"/>
              <w:bidi w:val="0"/>
              <w:spacing w:before="0" w:after="283"/>
              <w:jc w:val="left"/>
              <w:rPr/>
            </w:pPr>
            <w:r>
              <w:rPr/>
              <w:t>Additional paid 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29,499,585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29,111,863</w:t>
            </w:r>
          </w:p>
        </w:tc>
        <w:tc>
          <w:tcPr>
            <w:tcW w:w="90" w:type="dxa"/>
            <w:tcBorders/>
            <w:shd w:fill="FFFFFF" w:val="clear"/>
            <w:vAlign w:val="center"/>
          </w:tcPr>
          <w:p>
            <w:pPr>
              <w:pStyle w:val="TableContents"/>
              <w:bidi w:val="0"/>
              <w:spacing w:before="0" w:after="283"/>
              <w:ind w:left="0" w:right="0" w:hanging="200"/>
              <w:jc w:val="left"/>
              <w:rPr/>
            </w:pPr>
            <w:r>
              <w:rPr/>
              <w:t> </w:t>
            </w:r>
            <w:bookmarkStart w:id="94" w:name="xdx_40B_eus-gaap--RetainedEarningsAccumu"/>
            <w:bookmarkEnd w:id="94"/>
          </w:p>
        </w:tc>
      </w:tr>
      <w:tr>
        <w:trPr/>
        <w:tc>
          <w:tcPr>
            <w:tcW w:w="7420" w:type="dxa"/>
            <w:tcBorders/>
            <w:shd w:fill="EEEEEE" w:val="clear"/>
            <w:vAlign w:val="center"/>
          </w:tcPr>
          <w:p>
            <w:pPr>
              <w:pStyle w:val="TableContents"/>
              <w:bidi w:val="0"/>
              <w:spacing w:before="0" w:after="283"/>
              <w:jc w:val="left"/>
              <w:rPr/>
            </w:pPr>
            <w:r>
              <w:rPr/>
              <w:t>(Accumulated deficits) Retained earnings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(5,740,401</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3,262,948</w:t>
            </w:r>
          </w:p>
        </w:tc>
        <w:tc>
          <w:tcPr>
            <w:tcW w:w="90" w:type="dxa"/>
            <w:tcBorders/>
            <w:shd w:fill="EEEEEE" w:val="clear"/>
            <w:vAlign w:val="center"/>
          </w:tcPr>
          <w:p>
            <w:pPr>
              <w:pStyle w:val="TableContents"/>
              <w:bidi w:val="0"/>
              <w:spacing w:before="0" w:after="283"/>
              <w:ind w:left="0" w:right="0" w:hanging="200"/>
              <w:jc w:val="left"/>
              <w:rPr/>
            </w:pPr>
            <w:r>
              <w:rPr/>
              <w:t> </w:t>
            </w:r>
            <w:bookmarkStart w:id="95" w:name="xdx_407_eus-gaap--MinorityInterest_i01I_"/>
            <w:bookmarkEnd w:id="95"/>
          </w:p>
        </w:tc>
      </w:tr>
      <w:tr>
        <w:trPr/>
        <w:tc>
          <w:tcPr>
            <w:tcW w:w="7420"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(22,110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(13,232</w:t>
            </w:r>
          </w:p>
        </w:tc>
        <w:tc>
          <w:tcPr>
            <w:tcW w:w="90" w:type="dxa"/>
            <w:tcBorders/>
            <w:shd w:fill="FFFFFF" w:val="clear"/>
            <w:vAlign w:val="center"/>
          </w:tcPr>
          <w:p>
            <w:pPr>
              <w:pStyle w:val="TableContents"/>
              <w:bidi w:val="0"/>
              <w:spacing w:before="0" w:after="283"/>
              <w:ind w:left="0" w:right="0" w:hanging="200"/>
              <w:jc w:val="left"/>
              <w:rPr/>
            </w:pPr>
            <w:r>
              <w:rPr/>
              <w:t>)</w:t>
            </w:r>
            <w:bookmarkStart w:id="96" w:name="xdx_40E_eus-gaap--AccumulatedOtherCompre"/>
            <w:bookmarkEnd w:id="96"/>
          </w:p>
        </w:tc>
      </w:tr>
      <w:tr>
        <w:trPr/>
        <w:tc>
          <w:tcPr>
            <w:tcW w:w="7420" w:type="dxa"/>
            <w:tcBorders/>
            <w:shd w:fill="EEEEEE" w:val="clear"/>
            <w:vAlign w:val="center"/>
          </w:tcPr>
          <w:p>
            <w:pPr>
              <w:pStyle w:val="TableContents"/>
              <w:bidi w:val="0"/>
              <w:spacing w:before="0" w:after="283"/>
              <w:jc w:val="left"/>
              <w:rPr/>
            </w:pPr>
            <w:r>
              <w:rPr/>
              <w:t>Accumulated other comprehensive income (loss)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(41,044</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5,678</w:t>
            </w:r>
          </w:p>
        </w:tc>
        <w:tc>
          <w:tcPr>
            <w:tcW w:w="90" w:type="dxa"/>
            <w:tcBorders/>
            <w:shd w:fill="EEEEEE" w:val="clear"/>
            <w:vAlign w:val="center"/>
          </w:tcPr>
          <w:p>
            <w:pPr>
              <w:pStyle w:val="TableContents"/>
              <w:bidi w:val="0"/>
              <w:spacing w:before="0" w:after="283"/>
              <w:ind w:left="0" w:right="0" w:hanging="200"/>
              <w:jc w:val="left"/>
              <w:rPr/>
            </w:pPr>
            <w:r>
              <w:rPr/>
              <w:t> </w:t>
            </w:r>
            <w:bookmarkStart w:id="97" w:name="xdx_40B_eus-gaap--StockholdersEquityIncl"/>
            <w:bookmarkEnd w:id="97"/>
          </w:p>
        </w:tc>
      </w:tr>
      <w:tr>
        <w:trPr/>
        <w:tc>
          <w:tcPr>
            <w:tcW w:w="7420" w:type="dxa"/>
            <w:tcBorders/>
            <w:shd w:fill="FFFFFF" w:val="clear"/>
            <w:vAlign w:val="center"/>
          </w:tcPr>
          <w:p>
            <w:pPr>
              <w:pStyle w:val="TableContents"/>
              <w:bidi w:val="0"/>
              <w:spacing w:before="0" w:after="283"/>
              <w:jc w:val="left"/>
              <w:rPr/>
            </w:pPr>
            <w:r>
              <w:rPr/>
              <w:t>Total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23,725,603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32,396,830</w:t>
            </w:r>
          </w:p>
        </w:tc>
        <w:tc>
          <w:tcPr>
            <w:tcW w:w="90" w:type="dxa"/>
            <w:tcBorders/>
            <w:shd w:fill="FFFFFF" w:val="clear"/>
            <w:vAlign w:val="center"/>
          </w:tcPr>
          <w:p>
            <w:pPr>
              <w:pStyle w:val="TableContents"/>
              <w:bidi w:val="0"/>
              <w:spacing w:before="0" w:after="283"/>
              <w:jc w:val="left"/>
              <w:rPr/>
            </w:pPr>
            <w:r>
              <w:rPr/>
              <w:t> </w:t>
            </w:r>
          </w:p>
        </w:tc>
      </w:tr>
      <w:tr>
        <w:trPr/>
        <w:tc>
          <w:tcPr>
            <w:tcW w:w="742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90" w:type="dxa"/>
            <w:tcBorders/>
            <w:shd w:fill="EEEEEE" w:val="clear"/>
            <w:vAlign w:val="center"/>
          </w:tcPr>
          <w:p>
            <w:pPr>
              <w:pStyle w:val="TableContents"/>
              <w:bidi w:val="0"/>
              <w:spacing w:before="0" w:after="283"/>
              <w:ind w:left="0" w:right="0" w:hanging="200"/>
              <w:jc w:val="left"/>
              <w:rPr/>
            </w:pPr>
            <w:r>
              <w:rPr/>
              <w:t> </w:t>
            </w:r>
            <w:bookmarkStart w:id="98" w:name="xdx_406_eus-gaap--LiabilitiesAndStockhol"/>
            <w:bookmarkEnd w:id="98"/>
          </w:p>
        </w:tc>
      </w:tr>
      <w:tr>
        <w:trPr/>
        <w:tc>
          <w:tcPr>
            <w:tcW w:w="7420" w:type="dxa"/>
            <w:tcBorders/>
            <w:shd w:fill="FFFFFF" w:val="clear"/>
            <w:vAlign w:val="center"/>
          </w:tcPr>
          <w:p>
            <w:pPr>
              <w:pStyle w:val="TableContents"/>
              <w:bidi w:val="0"/>
              <w:spacing w:before="0" w:after="283"/>
              <w:jc w:val="left"/>
              <w:rPr/>
            </w:pPr>
            <w:r>
              <w:rPr/>
              <w:t>Total liabilities and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59,418,578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78,581,467</w:t>
            </w:r>
          </w:p>
        </w:tc>
        <w:tc>
          <w:tcPr>
            <w:tcW w:w="9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9" w:name="q304"/>
      <w:bookmarkEnd w:id="99"/>
      <w:r>
        <w:rPr>
          <w:rFonts w:ascii="Times New Roman;Times;Serif" w:hAnsi="Times New Roman;Times;Serif"/>
          <w:b w:val="false"/>
          <w:i w:val="false"/>
          <w:caps w:val="false"/>
          <w:smallCaps w:val="false"/>
          <w:sz w:val="20"/>
        </w:rPr>
        <w:t>Unaudited Condensed Consolidated Statements of Operations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March 31, 2023 and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00" w:name="xdx_304_113_z1e8OarJ4jlg"/>
      <w:bookmarkStart w:id="101" w:name="xdx_304_113_z1e8OarJ4jlg"/>
      <w:bookmarkEnd w:id="101"/>
    </w:p>
    <w:tbl>
      <w:tblPr>
        <w:tblW w:w="10205" w:type="dxa"/>
        <w:jc w:val="left"/>
        <w:tblInd w:w="0" w:type="dxa"/>
        <w:tblLayout w:type="fixed"/>
        <w:tblCellMar>
          <w:top w:w="0" w:type="dxa"/>
          <w:left w:w="0" w:type="dxa"/>
          <w:bottom w:w="0" w:type="dxa"/>
          <w:right w:w="0" w:type="dxa"/>
        </w:tblCellMar>
      </w:tblPr>
      <w:tblGrid>
        <w:gridCol w:w="4447"/>
        <w:gridCol w:w="60"/>
        <w:gridCol w:w="144"/>
        <w:gridCol w:w="1132"/>
        <w:gridCol w:w="97"/>
        <w:gridCol w:w="61"/>
        <w:gridCol w:w="144"/>
        <w:gridCol w:w="1132"/>
        <w:gridCol w:w="95"/>
        <w:gridCol w:w="60"/>
        <w:gridCol w:w="140"/>
        <w:gridCol w:w="1179"/>
        <w:gridCol w:w="95"/>
        <w:gridCol w:w="60"/>
        <w:gridCol w:w="140"/>
        <w:gridCol w:w="1104"/>
        <w:gridCol w:w="115"/>
      </w:tblGrid>
      <w:tr>
        <w:trPr/>
        <w:tc>
          <w:tcPr>
            <w:tcW w:w="44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bookmarkStart w:id="102" w:name="xdx_496_20230101__20230331_z4rU1vW81smk"/>
            <w:bookmarkEnd w:id="102"/>
          </w:p>
        </w:tc>
        <w:tc>
          <w:tcPr>
            <w:tcW w:w="1132" w:type="dxa"/>
            <w:tcBorders/>
            <w:shd w:fill="FFFFFF" w:val="clear"/>
            <w:vAlign w:val="center"/>
          </w:tcPr>
          <w:p>
            <w:pPr>
              <w:pStyle w:val="TableContents"/>
              <w:bidi w:val="0"/>
              <w:spacing w:before="0" w:after="283"/>
              <w:jc w:val="center"/>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bookmarkStart w:id="103" w:name="xdx_493_20220101__20220331_zxeKJ99yE6ib"/>
            <w:bookmarkEnd w:id="103"/>
          </w:p>
        </w:tc>
        <w:tc>
          <w:tcPr>
            <w:tcW w:w="1132"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4" w:name="xdx_499_20220701_20230331"/>
            <w:bookmarkEnd w:id="104"/>
          </w:p>
        </w:tc>
        <w:tc>
          <w:tcPr>
            <w:tcW w:w="1179"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05" w:name="xdx_49E_20210701__20220331_zFiucrhvqvad"/>
            <w:bookmarkEnd w:id="105"/>
          </w:p>
        </w:tc>
        <w:tc>
          <w:tcPr>
            <w:tcW w:w="1104" w:type="dxa"/>
            <w:tcBorders/>
            <w:shd w:fill="FFFFFF" w:val="clear"/>
            <w:vAlign w:val="center"/>
          </w:tcPr>
          <w:p>
            <w:pPr>
              <w:pStyle w:val="TableContents"/>
              <w:bidi w:val="0"/>
              <w:spacing w:before="0" w:after="283"/>
              <w:jc w:val="center"/>
              <w:rPr/>
            </w:pPr>
            <w:r>
              <w:rPr/>
              <w:t> </w:t>
            </w:r>
          </w:p>
        </w:tc>
        <w:tc>
          <w:tcPr>
            <w:tcW w:w="115" w:type="dxa"/>
            <w:tcBorders/>
            <w:shd w:fill="FFFFFF" w:val="clear"/>
            <w:vAlign w:val="center"/>
          </w:tcPr>
          <w:p>
            <w:pPr>
              <w:pStyle w:val="TableContents"/>
              <w:bidi w:val="0"/>
              <w:spacing w:before="0" w:after="283"/>
              <w:jc w:val="left"/>
              <w:rPr/>
            </w:pPr>
            <w:r>
              <w:rPr/>
              <w:t> </w:t>
            </w:r>
          </w:p>
        </w:tc>
      </w:tr>
      <w:tr>
        <w:trPr/>
        <w:tc>
          <w:tcPr>
            <w:tcW w:w="44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0" w:type="dxa"/>
            <w:gridSpan w:val="6"/>
            <w:tcBorders>
              <w:bottom w:val="single" w:sz="8" w:space="0" w:color="000000"/>
            </w:tcBorders>
            <w:tcMar>
              <w:bottom w:w="28" w:type="dxa"/>
            </w:tcMar>
            <w:vAlign w:val="center"/>
          </w:tcPr>
          <w:p>
            <w:pPr>
              <w:pStyle w:val="TableContents"/>
              <w:bidi w:val="0"/>
              <w:spacing w:before="0" w:after="283"/>
              <w:jc w:val="center"/>
              <w:rPr/>
            </w:pPr>
            <w:r>
              <w:rPr/>
              <w:t xml:space="preserve">For the Three Months Ended </w:t>
              <w:b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18" w:type="dxa"/>
            <w:gridSpan w:val="6"/>
            <w:tcBorders>
              <w:bottom w:val="single" w:sz="8" w:space="0" w:color="000000"/>
            </w:tcBorders>
            <w:tcMar>
              <w:bottom w:w="28" w:type="dxa"/>
            </w:tcMar>
            <w:vAlign w:val="center"/>
          </w:tcPr>
          <w:p>
            <w:pPr>
              <w:pStyle w:val="TableContents"/>
              <w:bidi w:val="0"/>
              <w:spacing w:before="0" w:after="283"/>
              <w:jc w:val="center"/>
              <w:rPr/>
            </w:pPr>
            <w:r>
              <w:rPr/>
              <w:t xml:space="preserve">For the Nine Months Ended </w:t>
              <w:br/>
              <w:t>March 31,</w:t>
            </w:r>
          </w:p>
        </w:tc>
        <w:tc>
          <w:tcPr>
            <w:tcW w:w="115" w:type="dxa"/>
            <w:tcBorders/>
            <w:vAlign w:val="center"/>
          </w:tcPr>
          <w:p>
            <w:pPr>
              <w:pStyle w:val="TableContents"/>
              <w:bidi w:val="0"/>
              <w:spacing w:before="0" w:after="283"/>
              <w:jc w:val="left"/>
              <w:rPr/>
            </w:pPr>
            <w:r>
              <w:rPr/>
              <w:t> </w:t>
            </w:r>
          </w:p>
        </w:tc>
      </w:tr>
      <w:tr>
        <w:trPr/>
        <w:tc>
          <w:tcPr>
            <w:tcW w:w="44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6"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9"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4"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115" w:type="dxa"/>
            <w:tcBorders/>
            <w:vAlign w:val="center"/>
          </w:tcPr>
          <w:p>
            <w:pPr>
              <w:pStyle w:val="TableContents"/>
              <w:bidi w:val="0"/>
              <w:spacing w:before="0" w:after="283"/>
              <w:jc w:val="left"/>
              <w:rPr/>
            </w:pPr>
            <w:r>
              <w:rPr/>
              <w:t> </w:t>
            </w:r>
          </w:p>
        </w:tc>
      </w:tr>
      <w:tr>
        <w:trPr/>
        <w:tc>
          <w:tcPr>
            <w:tcW w:w="44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gridSpan w:val="2"/>
            <w:tcBorders/>
            <w:vAlign w:val="center"/>
          </w:tcPr>
          <w:p>
            <w:pPr>
              <w:pStyle w:val="TableContents"/>
              <w:bidi w:val="0"/>
              <w:spacing w:before="0" w:after="283"/>
              <w:jc w:val="center"/>
              <w:rPr/>
            </w:pPr>
            <w:r>
              <w:rPr/>
              <w:t>(Unaudited)</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6"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9" w:type="dxa"/>
            <w:gridSpan w:val="2"/>
            <w:tcBorders/>
            <w:vAlign w:val="center"/>
          </w:tcPr>
          <w:p>
            <w:pPr>
              <w:pStyle w:val="TableContents"/>
              <w:bidi w:val="0"/>
              <w:spacing w:before="0" w:after="283"/>
              <w:jc w:val="center"/>
              <w:rPr/>
            </w:pPr>
            <w:r>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4" w:type="dxa"/>
            <w:gridSpan w:val="2"/>
            <w:tcBorders/>
            <w:vAlign w:val="center"/>
          </w:tcPr>
          <w:p>
            <w:pPr>
              <w:pStyle w:val="TableContents"/>
              <w:bidi w:val="0"/>
              <w:spacing w:before="0" w:after="283"/>
              <w:jc w:val="center"/>
              <w:rPr/>
            </w:pPr>
            <w:r>
              <w:rPr/>
              <w:t>(Unaudited)</w:t>
            </w:r>
          </w:p>
        </w:tc>
        <w:tc>
          <w:tcPr>
            <w:tcW w:w="115" w:type="dxa"/>
            <w:tcBorders/>
            <w:vAlign w:val="center"/>
          </w:tcPr>
          <w:p>
            <w:pPr>
              <w:pStyle w:val="TableContents"/>
              <w:bidi w:val="0"/>
              <w:spacing w:before="0" w:after="283"/>
              <w:jc w:val="left"/>
              <w:rPr/>
            </w:pPr>
            <w:r>
              <w:rPr/>
              <w:t> </w:t>
            </w:r>
          </w:p>
        </w:tc>
      </w:tr>
      <w:tr>
        <w:trPr/>
        <w:tc>
          <w:tcPr>
            <w:tcW w:w="44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76" w:type="dxa"/>
            <w:gridSpan w:val="2"/>
            <w:tcBorders/>
            <w:vAlign w:val="center"/>
          </w:tcPr>
          <w:p>
            <w:pPr>
              <w:pStyle w:val="TableContents"/>
              <w:bidi w:val="0"/>
              <w:spacing w:before="0" w:after="283"/>
              <w:jc w:val="right"/>
              <w:rPr/>
            </w:pPr>
            <w:r>
              <w:rPr/>
              <w:t> </w:t>
            </w:r>
          </w:p>
        </w:tc>
        <w:tc>
          <w:tcPr>
            <w:tcW w:w="97"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1276"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9"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4" w:type="dxa"/>
            <w:gridSpan w:val="2"/>
            <w:tcBorders/>
            <w:vAlign w:val="center"/>
          </w:tcPr>
          <w:p>
            <w:pPr>
              <w:pStyle w:val="TableContents"/>
              <w:bidi w:val="0"/>
              <w:spacing w:before="0" w:after="283"/>
              <w:jc w:val="right"/>
              <w:rPr/>
            </w:pPr>
            <w:r>
              <w:rPr/>
              <w:t> </w:t>
            </w:r>
          </w:p>
        </w:tc>
        <w:tc>
          <w:tcPr>
            <w:tcW w:w="115" w:type="dxa"/>
            <w:tcBorders/>
            <w:vAlign w:val="center"/>
          </w:tcPr>
          <w:p>
            <w:pPr>
              <w:pStyle w:val="TableContents"/>
              <w:bidi w:val="0"/>
              <w:spacing w:before="0" w:after="283"/>
              <w:jc w:val="left"/>
              <w:rPr/>
            </w:pPr>
            <w:r>
              <w:rPr/>
              <w:t> </w:t>
            </w:r>
            <w:bookmarkStart w:id="106" w:name="xdx_404_eus-gaap--RevenueFromContractWit"/>
            <w:bookmarkEnd w:id="106"/>
          </w:p>
        </w:tc>
      </w:tr>
      <w:tr>
        <w:trPr/>
        <w:tc>
          <w:tcPr>
            <w:tcW w:w="4447" w:type="dxa"/>
            <w:tcBorders/>
            <w:shd w:fill="EEEEEE" w:val="clear"/>
            <w:vAlign w:val="center"/>
          </w:tcPr>
          <w:p>
            <w:pPr>
              <w:pStyle w:val="TableContents"/>
              <w:bidi w:val="0"/>
              <w:spacing w:before="0" w:after="283"/>
              <w:jc w:val="left"/>
              <w:rPr/>
            </w:pPr>
            <w:r>
              <w:rPr/>
              <w:t>REVENUES</w:t>
            </w:r>
          </w:p>
        </w:tc>
        <w:tc>
          <w:tcPr>
            <w:tcW w:w="60" w:type="dxa"/>
            <w:tcBorders/>
            <w:shd w:fill="EEEEEE" w:val="clear"/>
            <w:vAlign w:val="center"/>
          </w:tcPr>
          <w:p>
            <w:pPr>
              <w:pStyle w:val="TableContents"/>
              <w:bidi w:val="0"/>
              <w:spacing w:before="0" w:after="283"/>
              <w:jc w:val="left"/>
              <w:rPr/>
            </w:pPr>
            <w:r>
              <w:rPr/>
              <w:t> </w:t>
            </w:r>
          </w:p>
        </w:tc>
        <w:tc>
          <w:tcPr>
            <w:tcW w:w="144"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1132" w:type="dxa"/>
            <w:tcBorders>
              <w:bottom w:val="single" w:sz="8" w:space="0" w:color="000000"/>
            </w:tcBorders>
            <w:shd w:fill="EEEEEE" w:val="clear"/>
            <w:tcMar>
              <w:bottom w:w="28" w:type="dxa"/>
            </w:tcMar>
            <w:vAlign w:val="center"/>
          </w:tcPr>
          <w:p>
            <w:pPr>
              <w:pStyle w:val="TableContents"/>
              <w:bidi w:val="0"/>
              <w:spacing w:before="0" w:after="283"/>
              <w:jc w:val="right"/>
              <w:rPr/>
            </w:pPr>
            <w:r>
              <w:rPr/>
              <w:t>20,225,619</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1132" w:type="dxa"/>
            <w:tcBorders>
              <w:bottom w:val="single" w:sz="8" w:space="0" w:color="000000"/>
            </w:tcBorders>
            <w:shd w:fill="EEEEEE" w:val="clear"/>
            <w:tcMar>
              <w:bottom w:w="28" w:type="dxa"/>
            </w:tcMar>
            <w:vAlign w:val="center"/>
          </w:tcPr>
          <w:p>
            <w:pPr>
              <w:pStyle w:val="TableContents"/>
              <w:bidi w:val="0"/>
              <w:spacing w:before="0" w:after="283"/>
              <w:jc w:val="right"/>
              <w:rPr/>
            </w:pPr>
            <w:r>
              <w:rPr/>
              <w:t>22,808,214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1179" w:type="dxa"/>
            <w:tcBorders>
              <w:bottom w:val="single" w:sz="8" w:space="0" w:color="000000"/>
            </w:tcBorders>
            <w:shd w:fill="EEEEEE" w:val="clear"/>
            <w:tcMar>
              <w:bottom w:w="28" w:type="dxa"/>
            </w:tcMar>
            <w:vAlign w:val="center"/>
          </w:tcPr>
          <w:p>
            <w:pPr>
              <w:pStyle w:val="TableContents"/>
              <w:bidi w:val="0"/>
              <w:spacing w:before="0" w:after="283"/>
              <w:jc w:val="right"/>
              <w:rPr/>
            </w:pPr>
            <w:r>
              <w:rPr/>
              <w:t>65,502,882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p>
        </w:tc>
        <w:tc>
          <w:tcPr>
            <w:tcW w:w="1104" w:type="dxa"/>
            <w:tcBorders>
              <w:bottom w:val="single" w:sz="8" w:space="0" w:color="000000"/>
            </w:tcBorders>
            <w:shd w:fill="EEEEEE" w:val="clear"/>
            <w:tcMar>
              <w:bottom w:w="28" w:type="dxa"/>
            </w:tcMar>
            <w:vAlign w:val="center"/>
          </w:tcPr>
          <w:p>
            <w:pPr>
              <w:pStyle w:val="TableContents"/>
              <w:bidi w:val="0"/>
              <w:spacing w:before="0" w:after="283"/>
              <w:jc w:val="right"/>
              <w:rPr/>
            </w:pPr>
            <w:r>
              <w:rPr/>
              <w:t>57,300,642</w:t>
            </w:r>
          </w:p>
        </w:tc>
        <w:tc>
          <w:tcPr>
            <w:tcW w:w="115" w:type="dxa"/>
            <w:tcBorders/>
            <w:shd w:fill="EEEEEE"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07" w:name="xdx_408_eus-gaap--Revenues_iT_mtCzfiD_ma"/>
            <w:bookmarkEnd w:id="107"/>
          </w:p>
        </w:tc>
      </w:tr>
      <w:tr>
        <w:trPr/>
        <w:tc>
          <w:tcPr>
            <w:tcW w:w="4447" w:type="dxa"/>
            <w:tcBorders/>
            <w:shd w:fill="EEEEEE" w:val="clear"/>
            <w:vAlign w:val="center"/>
          </w:tcPr>
          <w:p>
            <w:pPr>
              <w:pStyle w:val="TableContents"/>
              <w:bidi w:val="0"/>
              <w:spacing w:before="0" w:after="283"/>
              <w:jc w:val="left"/>
              <w:rPr/>
            </w:pPr>
            <w:r>
              <w:rPr/>
              <w:t>TOTAL REVENUES</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20,225,619</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22,808,214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9" w:type="dxa"/>
            <w:tcBorders/>
            <w:shd w:fill="EEEEEE" w:val="clear"/>
            <w:vAlign w:val="center"/>
          </w:tcPr>
          <w:p>
            <w:pPr>
              <w:pStyle w:val="TableContents"/>
              <w:bidi w:val="0"/>
              <w:spacing w:before="0" w:after="283"/>
              <w:jc w:val="right"/>
              <w:rPr/>
            </w:pPr>
            <w:r>
              <w:rPr/>
              <w:t>65,502,882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4" w:type="dxa"/>
            <w:tcBorders/>
            <w:shd w:fill="EEEEEE" w:val="clear"/>
            <w:vAlign w:val="center"/>
          </w:tcPr>
          <w:p>
            <w:pPr>
              <w:pStyle w:val="TableContents"/>
              <w:bidi w:val="0"/>
              <w:spacing w:before="0" w:after="283"/>
              <w:jc w:val="right"/>
              <w:rPr/>
            </w:pPr>
            <w:r>
              <w:rPr/>
              <w:t>57,300,642</w:t>
            </w:r>
          </w:p>
        </w:tc>
        <w:tc>
          <w:tcPr>
            <w:tcW w:w="115" w:type="dxa"/>
            <w:tcBorders/>
            <w:shd w:fill="EEEEEE"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08" w:name="xdx_40C_eus-gaap--CostOfRevenue_msCzvXx_"/>
            <w:bookmarkEnd w:id="108"/>
          </w:p>
        </w:tc>
      </w:tr>
      <w:tr>
        <w:trPr/>
        <w:tc>
          <w:tcPr>
            <w:tcW w:w="4447" w:type="dxa"/>
            <w:tcBorders/>
            <w:shd w:fill="EEEEEE" w:val="clear"/>
            <w:vAlign w:val="center"/>
          </w:tcPr>
          <w:p>
            <w:pPr>
              <w:pStyle w:val="TableContents"/>
              <w:bidi w:val="0"/>
              <w:spacing w:before="0" w:after="283"/>
              <w:jc w:val="left"/>
              <w:rPr/>
            </w:pPr>
            <w:r>
              <w:rPr/>
              <w:t>COST OF REVENUES</w:t>
            </w:r>
          </w:p>
        </w:tc>
        <w:tc>
          <w:tcPr>
            <w:tcW w:w="60" w:type="dxa"/>
            <w:tcBorders/>
            <w:shd w:fill="EEEEEE" w:val="clear"/>
            <w:vAlign w:val="center"/>
          </w:tcPr>
          <w:p>
            <w:pPr>
              <w:pStyle w:val="TableContents"/>
              <w:bidi w:val="0"/>
              <w:spacing w:before="0" w:after="283"/>
              <w:jc w:val="left"/>
              <w:rPr/>
            </w:pPr>
            <w:r>
              <w:rPr/>
              <w:t> </w:t>
            </w:r>
          </w:p>
        </w:tc>
        <w:tc>
          <w:tcPr>
            <w:tcW w:w="1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EEEEEE" w:val="clear"/>
            <w:tcMar>
              <w:bottom w:w="28" w:type="dxa"/>
            </w:tcMar>
            <w:vAlign w:val="center"/>
          </w:tcPr>
          <w:p>
            <w:pPr>
              <w:pStyle w:val="TableContents"/>
              <w:bidi w:val="0"/>
              <w:spacing w:before="0" w:after="283"/>
              <w:jc w:val="right"/>
              <w:rPr/>
            </w:pPr>
            <w:r>
              <w:rPr/>
              <w:t>12,433,898</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EEEEEE" w:val="clear"/>
            <w:tcMar>
              <w:bottom w:w="28" w:type="dxa"/>
            </w:tcMar>
            <w:vAlign w:val="center"/>
          </w:tcPr>
          <w:p>
            <w:pPr>
              <w:pStyle w:val="TableContents"/>
              <w:bidi w:val="0"/>
              <w:spacing w:before="0" w:after="283"/>
              <w:jc w:val="right"/>
              <w:rPr/>
            </w:pPr>
            <w:r>
              <w:rPr/>
              <w:t>13,598,563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EEEEEE" w:val="clear"/>
            <w:tcMar>
              <w:bottom w:w="28" w:type="dxa"/>
            </w:tcMar>
            <w:vAlign w:val="center"/>
          </w:tcPr>
          <w:p>
            <w:pPr>
              <w:pStyle w:val="TableContents"/>
              <w:bidi w:val="0"/>
              <w:spacing w:before="0" w:after="283"/>
              <w:jc w:val="right"/>
              <w:rPr/>
            </w:pPr>
            <w:r>
              <w:rPr/>
              <w:t>39,755,919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EEEEEE" w:val="clear"/>
            <w:tcMar>
              <w:bottom w:w="28" w:type="dxa"/>
            </w:tcMar>
            <w:vAlign w:val="center"/>
          </w:tcPr>
          <w:p>
            <w:pPr>
              <w:pStyle w:val="TableContents"/>
              <w:bidi w:val="0"/>
              <w:spacing w:before="0" w:after="283"/>
              <w:jc w:val="right"/>
              <w:rPr/>
            </w:pPr>
            <w:r>
              <w:rPr/>
              <w:t>33,219,677</w:t>
            </w:r>
          </w:p>
        </w:tc>
        <w:tc>
          <w:tcPr>
            <w:tcW w:w="115" w:type="dxa"/>
            <w:tcBorders/>
            <w:shd w:fill="EEEEEE"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09" w:name="xdx_406_eus-gaap--GrossProfit_iT_mtCzvXx"/>
            <w:bookmarkEnd w:id="109"/>
          </w:p>
        </w:tc>
      </w:tr>
      <w:tr>
        <w:trPr/>
        <w:tc>
          <w:tcPr>
            <w:tcW w:w="4447" w:type="dxa"/>
            <w:tcBorders/>
            <w:shd w:fill="EEEEEE" w:val="clear"/>
            <w:vAlign w:val="center"/>
          </w:tcPr>
          <w:p>
            <w:pPr>
              <w:pStyle w:val="TableContents"/>
              <w:bidi w:val="0"/>
              <w:spacing w:before="0" w:after="283"/>
              <w:jc w:val="left"/>
              <w:rPr/>
            </w:pPr>
            <w:r>
              <w:rPr/>
              <w:t>GROSS PROFIT</w:t>
            </w:r>
          </w:p>
        </w:tc>
        <w:tc>
          <w:tcPr>
            <w:tcW w:w="60" w:type="dxa"/>
            <w:tcBorders/>
            <w:shd w:fill="EEEEEE" w:val="clear"/>
            <w:vAlign w:val="center"/>
          </w:tcPr>
          <w:p>
            <w:pPr>
              <w:pStyle w:val="TableContents"/>
              <w:bidi w:val="0"/>
              <w:spacing w:before="0" w:after="283"/>
              <w:jc w:val="left"/>
              <w:rPr/>
            </w:pPr>
            <w:r>
              <w:rPr/>
              <w:t> </w:t>
            </w:r>
          </w:p>
        </w:tc>
        <w:tc>
          <w:tcPr>
            <w:tcW w:w="1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EEEEEE" w:val="clear"/>
            <w:tcMar>
              <w:bottom w:w="28" w:type="dxa"/>
            </w:tcMar>
            <w:vAlign w:val="center"/>
          </w:tcPr>
          <w:p>
            <w:pPr>
              <w:pStyle w:val="TableContents"/>
              <w:bidi w:val="0"/>
              <w:spacing w:before="0" w:after="283"/>
              <w:jc w:val="right"/>
              <w:rPr/>
            </w:pPr>
            <w:r>
              <w:rPr/>
              <w:t>7,791,721</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EEEEEE" w:val="clear"/>
            <w:tcMar>
              <w:bottom w:w="28" w:type="dxa"/>
            </w:tcMar>
            <w:vAlign w:val="center"/>
          </w:tcPr>
          <w:p>
            <w:pPr>
              <w:pStyle w:val="TableContents"/>
              <w:bidi w:val="0"/>
              <w:spacing w:before="0" w:after="283"/>
              <w:jc w:val="right"/>
              <w:rPr/>
            </w:pPr>
            <w:r>
              <w:rPr/>
              <w:t>9,209,651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EEEEEE" w:val="clear"/>
            <w:tcMar>
              <w:bottom w:w="28" w:type="dxa"/>
            </w:tcMar>
            <w:vAlign w:val="center"/>
          </w:tcPr>
          <w:p>
            <w:pPr>
              <w:pStyle w:val="TableContents"/>
              <w:bidi w:val="0"/>
              <w:spacing w:before="0" w:after="283"/>
              <w:jc w:val="right"/>
              <w:rPr/>
            </w:pPr>
            <w:r>
              <w:rPr/>
              <w:t>25,746,963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EEEEEE" w:val="clear"/>
            <w:tcMar>
              <w:bottom w:w="28" w:type="dxa"/>
            </w:tcMar>
            <w:vAlign w:val="center"/>
          </w:tcPr>
          <w:p>
            <w:pPr>
              <w:pStyle w:val="TableContents"/>
              <w:bidi w:val="0"/>
              <w:spacing w:before="0" w:after="283"/>
              <w:jc w:val="right"/>
              <w:rPr/>
            </w:pPr>
            <w:r>
              <w:rPr/>
              <w:t>24,080,965</w:t>
            </w:r>
          </w:p>
        </w:tc>
        <w:tc>
          <w:tcPr>
            <w:tcW w:w="115" w:type="dxa"/>
            <w:tcBorders/>
            <w:shd w:fill="EEEEEE"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10" w:name="xdx_402_eus-gaap--OperatingExpensesAbstr"/>
            <w:bookmarkEnd w:id="110"/>
          </w:p>
        </w:tc>
      </w:tr>
      <w:tr>
        <w:trPr/>
        <w:tc>
          <w:tcPr>
            <w:tcW w:w="4447" w:type="dxa"/>
            <w:tcBorders/>
            <w:shd w:fill="EEEEEE" w:val="clear"/>
            <w:vAlign w:val="center"/>
          </w:tcPr>
          <w:p>
            <w:pPr>
              <w:pStyle w:val="TableContents"/>
              <w:bidi w:val="0"/>
              <w:spacing w:before="0" w:after="283"/>
              <w:jc w:val="left"/>
              <w:rPr/>
            </w:pPr>
            <w:r>
              <w:rPr/>
              <w:t>OPERATING EXPENSES:</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4"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ind w:left="0" w:right="0" w:hanging="200"/>
              <w:jc w:val="left"/>
              <w:rPr/>
            </w:pPr>
            <w:r>
              <w:rPr/>
              <w:t> </w:t>
            </w:r>
            <w:bookmarkStart w:id="111" w:name="xdx_407_ecustom--SellingAndFulfillment_i"/>
            <w:bookmarkEnd w:id="111"/>
          </w:p>
        </w:tc>
      </w:tr>
      <w:tr>
        <w:trPr/>
        <w:tc>
          <w:tcPr>
            <w:tcW w:w="4447" w:type="dxa"/>
            <w:tcBorders/>
            <w:shd w:fill="FFFFFF" w:val="clear"/>
            <w:vAlign w:val="center"/>
          </w:tcPr>
          <w:p>
            <w:pPr>
              <w:pStyle w:val="TableContents"/>
              <w:bidi w:val="0"/>
              <w:spacing w:before="0" w:after="283"/>
              <w:jc w:val="left"/>
              <w:rPr/>
            </w:pPr>
            <w:r>
              <w:rPr/>
              <w:t>Selling and fulfillment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6,537,124</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5,030,267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24,294,673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12,338,027</w:t>
            </w:r>
          </w:p>
        </w:tc>
        <w:tc>
          <w:tcPr>
            <w:tcW w:w="115" w:type="dxa"/>
            <w:tcBorders/>
            <w:shd w:fill="FFFFFF" w:val="clear"/>
            <w:vAlign w:val="center"/>
          </w:tcPr>
          <w:p>
            <w:pPr>
              <w:pStyle w:val="TableContents"/>
              <w:bidi w:val="0"/>
              <w:spacing w:before="0" w:after="283"/>
              <w:ind w:left="0" w:right="0" w:hanging="200"/>
              <w:jc w:val="left"/>
              <w:rPr/>
            </w:pPr>
            <w:r>
              <w:rPr/>
              <w:t> </w:t>
            </w:r>
            <w:bookmarkStart w:id="112" w:name="xdx_40E_eus-gaap--SellingGeneralAndAdmin"/>
            <w:bookmarkEnd w:id="112"/>
          </w:p>
        </w:tc>
      </w:tr>
      <w:tr>
        <w:trPr/>
        <w:tc>
          <w:tcPr>
            <w:tcW w:w="4447" w:type="dxa"/>
            <w:tcBorders/>
            <w:shd w:fill="EEEEEE" w:val="clear"/>
            <w:vAlign w:val="center"/>
          </w:tcPr>
          <w:p>
            <w:pPr>
              <w:pStyle w:val="TableContents"/>
              <w:bidi w:val="0"/>
              <w:spacing w:before="0" w:after="283"/>
              <w:jc w:val="left"/>
              <w:rPr/>
            </w:pPr>
            <w:r>
              <w:rPr/>
              <w:t>General and administrative</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3,065,795</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2,802,395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9" w:type="dxa"/>
            <w:tcBorders/>
            <w:shd w:fill="EEEEEE" w:val="clear"/>
            <w:vAlign w:val="center"/>
          </w:tcPr>
          <w:p>
            <w:pPr>
              <w:pStyle w:val="TableContents"/>
              <w:bidi w:val="0"/>
              <w:spacing w:before="0" w:after="283"/>
              <w:jc w:val="right"/>
              <w:rPr/>
            </w:pPr>
            <w:r>
              <w:rPr/>
              <w:t>8,879,326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4" w:type="dxa"/>
            <w:tcBorders/>
            <w:shd w:fill="EEEEEE" w:val="clear"/>
            <w:vAlign w:val="center"/>
          </w:tcPr>
          <w:p>
            <w:pPr>
              <w:pStyle w:val="TableContents"/>
              <w:bidi w:val="0"/>
              <w:spacing w:before="0" w:after="283"/>
              <w:jc w:val="right"/>
              <w:rPr/>
            </w:pPr>
            <w:r>
              <w:rPr/>
              <w:t>7,940,349</w:t>
            </w:r>
          </w:p>
        </w:tc>
        <w:tc>
          <w:tcPr>
            <w:tcW w:w="115" w:type="dxa"/>
            <w:tcBorders/>
            <w:shd w:fill="EEEEEE" w:val="clear"/>
            <w:vAlign w:val="center"/>
          </w:tcPr>
          <w:p>
            <w:pPr>
              <w:pStyle w:val="TableContents"/>
              <w:bidi w:val="0"/>
              <w:spacing w:before="0" w:after="283"/>
              <w:ind w:left="0" w:right="0" w:hanging="200"/>
              <w:jc w:val="left"/>
              <w:rPr/>
            </w:pPr>
            <w:r>
              <w:rPr/>
              <w:t> </w:t>
            </w:r>
            <w:bookmarkStart w:id="113" w:name="xdx_406_eus-gaap--GoodwillImpairmentLoss"/>
            <w:bookmarkEnd w:id="113"/>
          </w:p>
        </w:tc>
      </w:tr>
      <w:tr>
        <w:trPr/>
        <w:tc>
          <w:tcPr>
            <w:tcW w:w="4447" w:type="dxa"/>
            <w:tcBorders/>
            <w:shd w:fill="FFFFFF" w:val="clear"/>
            <w:vAlign w:val="center"/>
          </w:tcPr>
          <w:p>
            <w:pPr>
              <w:pStyle w:val="TableContents"/>
              <w:bidi w:val="0"/>
              <w:spacing w:before="0" w:after="283"/>
              <w:jc w:val="left"/>
              <w:rPr/>
            </w:pPr>
            <w:r>
              <w:rPr/>
              <w:t>Impairment loss - goodwill</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FFFFFF" w:val="clear"/>
            <w:tcMar>
              <w:bottom w:w="28" w:type="dxa"/>
            </w:tcMar>
            <w:vAlign w:val="center"/>
          </w:tcPr>
          <w:p>
            <w:pPr>
              <w:pStyle w:val="TableContents"/>
              <w:bidi w:val="0"/>
              <w:spacing w:before="0" w:after="283"/>
              <w:jc w:val="right"/>
              <w:rPr/>
            </w:pPr>
            <w:r>
              <w:rPr/>
              <w:t>3,060,034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5" w:type="dxa"/>
            <w:tcBorders/>
            <w:shd w:fill="FFFFFF" w:val="clear"/>
            <w:vAlign w:val="center"/>
          </w:tcPr>
          <w:p>
            <w:pPr>
              <w:pStyle w:val="TableContents"/>
              <w:bidi w:val="0"/>
              <w:spacing w:before="0" w:after="283"/>
              <w:ind w:left="0" w:right="0" w:hanging="200"/>
              <w:jc w:val="left"/>
              <w:rPr/>
            </w:pPr>
            <w:r>
              <w:rPr/>
              <w:t> </w:t>
            </w:r>
            <w:bookmarkStart w:id="114" w:name="xdx_40D_eus-gaap--OperatingExpenses_i01T"/>
            <w:bookmarkEnd w:id="114"/>
          </w:p>
        </w:tc>
      </w:tr>
      <w:tr>
        <w:trPr/>
        <w:tc>
          <w:tcPr>
            <w:tcW w:w="4447" w:type="dxa"/>
            <w:tcBorders/>
            <w:shd w:fill="EEEEEE" w:val="clear"/>
            <w:vAlign w:val="center"/>
          </w:tcPr>
          <w:p>
            <w:pPr>
              <w:pStyle w:val="TableContents"/>
              <w:bidi w:val="0"/>
              <w:spacing w:before="0" w:after="283"/>
              <w:jc w:val="left"/>
              <w:rPr/>
            </w:pPr>
            <w:r>
              <w:rPr/>
              <w:t>Total operating expenses</w:t>
            </w:r>
          </w:p>
        </w:tc>
        <w:tc>
          <w:tcPr>
            <w:tcW w:w="60" w:type="dxa"/>
            <w:tcBorders/>
            <w:shd w:fill="EEEEEE" w:val="clear"/>
            <w:vAlign w:val="center"/>
          </w:tcPr>
          <w:p>
            <w:pPr>
              <w:pStyle w:val="TableContents"/>
              <w:bidi w:val="0"/>
              <w:spacing w:before="0" w:after="283"/>
              <w:jc w:val="left"/>
              <w:rPr/>
            </w:pPr>
            <w:r>
              <w:rPr/>
              <w:t> </w:t>
            </w:r>
          </w:p>
        </w:tc>
        <w:tc>
          <w:tcPr>
            <w:tcW w:w="1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EEEEEE" w:val="clear"/>
            <w:tcMar>
              <w:bottom w:w="28" w:type="dxa"/>
            </w:tcMar>
            <w:vAlign w:val="center"/>
          </w:tcPr>
          <w:p>
            <w:pPr>
              <w:pStyle w:val="TableContents"/>
              <w:bidi w:val="0"/>
              <w:spacing w:before="0" w:after="283"/>
              <w:jc w:val="right"/>
              <w:rPr/>
            </w:pPr>
            <w:r>
              <w:rPr/>
              <w:t>9,602,919</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EEEEEE" w:val="clear"/>
            <w:tcMar>
              <w:bottom w:w="28" w:type="dxa"/>
            </w:tcMar>
            <w:vAlign w:val="center"/>
          </w:tcPr>
          <w:p>
            <w:pPr>
              <w:pStyle w:val="TableContents"/>
              <w:bidi w:val="0"/>
              <w:spacing w:before="0" w:after="283"/>
              <w:jc w:val="right"/>
              <w:rPr/>
            </w:pPr>
            <w:r>
              <w:rPr/>
              <w:t>7,832,662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EEEEEE" w:val="clear"/>
            <w:tcMar>
              <w:bottom w:w="28" w:type="dxa"/>
            </w:tcMar>
            <w:vAlign w:val="center"/>
          </w:tcPr>
          <w:p>
            <w:pPr>
              <w:pStyle w:val="TableContents"/>
              <w:bidi w:val="0"/>
              <w:spacing w:before="0" w:after="283"/>
              <w:jc w:val="right"/>
              <w:rPr/>
            </w:pPr>
            <w:r>
              <w:rPr/>
              <w:t>36,234,033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EEEEEE" w:val="clear"/>
            <w:tcMar>
              <w:bottom w:w="28" w:type="dxa"/>
            </w:tcMar>
            <w:vAlign w:val="center"/>
          </w:tcPr>
          <w:p>
            <w:pPr>
              <w:pStyle w:val="TableContents"/>
              <w:bidi w:val="0"/>
              <w:spacing w:before="0" w:after="283"/>
              <w:jc w:val="right"/>
              <w:rPr/>
            </w:pPr>
            <w:r>
              <w:rPr/>
              <w:t>20,278,376</w:t>
            </w:r>
          </w:p>
        </w:tc>
        <w:tc>
          <w:tcPr>
            <w:tcW w:w="115" w:type="dxa"/>
            <w:tcBorders/>
            <w:shd w:fill="EEEEEE"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15" w:name="xdx_402_eus-gaap--OperatingIncomeLoss_i0"/>
            <w:bookmarkEnd w:id="115"/>
          </w:p>
        </w:tc>
      </w:tr>
      <w:tr>
        <w:trPr/>
        <w:tc>
          <w:tcPr>
            <w:tcW w:w="4447" w:type="dxa"/>
            <w:tcBorders/>
            <w:shd w:fill="EEEEEE" w:val="clear"/>
            <w:vAlign w:val="center"/>
          </w:tcPr>
          <w:p>
            <w:pPr>
              <w:pStyle w:val="TableContents"/>
              <w:bidi w:val="0"/>
              <w:spacing w:before="0" w:after="283"/>
              <w:jc w:val="left"/>
              <w:rPr/>
            </w:pPr>
            <w:r>
              <w:rPr/>
              <w:t>(LOSS) INCOME FROM OPERATIONS</w:t>
            </w:r>
          </w:p>
        </w:tc>
        <w:tc>
          <w:tcPr>
            <w:tcW w:w="60" w:type="dxa"/>
            <w:tcBorders/>
            <w:shd w:fill="EEEEEE" w:val="clear"/>
            <w:vAlign w:val="center"/>
          </w:tcPr>
          <w:p>
            <w:pPr>
              <w:pStyle w:val="TableContents"/>
              <w:bidi w:val="0"/>
              <w:spacing w:before="0" w:after="283"/>
              <w:jc w:val="left"/>
              <w:rPr/>
            </w:pPr>
            <w:r>
              <w:rPr/>
              <w:t> </w:t>
            </w:r>
          </w:p>
        </w:tc>
        <w:tc>
          <w:tcPr>
            <w:tcW w:w="1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EEEEEE" w:val="clear"/>
            <w:tcMar>
              <w:bottom w:w="28" w:type="dxa"/>
            </w:tcMar>
            <w:vAlign w:val="center"/>
          </w:tcPr>
          <w:p>
            <w:pPr>
              <w:pStyle w:val="TableContents"/>
              <w:bidi w:val="0"/>
              <w:spacing w:before="0" w:after="283"/>
              <w:jc w:val="right"/>
              <w:rPr/>
            </w:pPr>
            <w:r>
              <w:rPr/>
              <w:t>(1,811,198</w:t>
            </w:r>
          </w:p>
        </w:tc>
        <w:tc>
          <w:tcPr>
            <w:tcW w:w="97"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1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EEEEEE" w:val="clear"/>
            <w:tcMar>
              <w:bottom w:w="28" w:type="dxa"/>
            </w:tcMar>
            <w:vAlign w:val="center"/>
          </w:tcPr>
          <w:p>
            <w:pPr>
              <w:pStyle w:val="TableContents"/>
              <w:bidi w:val="0"/>
              <w:spacing w:before="0" w:after="283"/>
              <w:jc w:val="right"/>
              <w:rPr/>
            </w:pPr>
            <w:r>
              <w:rPr/>
              <w:t>1,376,989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EEEEEE" w:val="clear"/>
            <w:tcMar>
              <w:bottom w:w="28" w:type="dxa"/>
            </w:tcMar>
            <w:vAlign w:val="center"/>
          </w:tcPr>
          <w:p>
            <w:pPr>
              <w:pStyle w:val="TableContents"/>
              <w:bidi w:val="0"/>
              <w:spacing w:before="0" w:after="283"/>
              <w:jc w:val="right"/>
              <w:rPr/>
            </w:pPr>
            <w:r>
              <w:rPr/>
              <w:t>(10,487,070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EEEEEE" w:val="clear"/>
            <w:tcMar>
              <w:bottom w:w="28" w:type="dxa"/>
            </w:tcMar>
            <w:vAlign w:val="center"/>
          </w:tcPr>
          <w:p>
            <w:pPr>
              <w:pStyle w:val="TableContents"/>
              <w:bidi w:val="0"/>
              <w:spacing w:before="0" w:after="283"/>
              <w:jc w:val="right"/>
              <w:rPr/>
            </w:pPr>
            <w:r>
              <w:rPr/>
              <w:t>3,802,589</w:t>
            </w:r>
          </w:p>
        </w:tc>
        <w:tc>
          <w:tcPr>
            <w:tcW w:w="115" w:type="dxa"/>
            <w:tcBorders/>
            <w:shd w:fill="EEEEEE"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16" w:name="xdx_403_eus-gaap--NonoperatingIncomeExpe"/>
            <w:bookmarkEnd w:id="116"/>
          </w:p>
        </w:tc>
      </w:tr>
      <w:tr>
        <w:trPr/>
        <w:tc>
          <w:tcPr>
            <w:tcW w:w="4447" w:type="dxa"/>
            <w:tcBorders/>
            <w:shd w:fill="EEEEEE" w:val="clear"/>
            <w:vAlign w:val="center"/>
          </w:tcPr>
          <w:p>
            <w:pPr>
              <w:pStyle w:val="TableContents"/>
              <w:bidi w:val="0"/>
              <w:spacing w:before="0" w:after="283"/>
              <w:jc w:val="left"/>
              <w:rPr/>
            </w:pPr>
            <w:r>
              <w:rPr/>
              <w:t>OTHER INCOME (EXPENSE)</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4"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ind w:left="0" w:right="0" w:hanging="200"/>
              <w:jc w:val="left"/>
              <w:rPr/>
            </w:pPr>
            <w:r>
              <w:rPr/>
              <w:t> </w:t>
            </w:r>
            <w:bookmarkStart w:id="117" w:name="xdx_401_eus-gaap--InterestIncomeExpenseN"/>
            <w:bookmarkEnd w:id="117"/>
          </w:p>
        </w:tc>
      </w:tr>
      <w:tr>
        <w:trPr/>
        <w:tc>
          <w:tcPr>
            <w:tcW w:w="4447" w:type="dxa"/>
            <w:tcBorders/>
            <w:shd w:fill="FFFFFF" w:val="clear"/>
            <w:vAlign w:val="center"/>
          </w:tcPr>
          <w:p>
            <w:pPr>
              <w:pStyle w:val="TableContents"/>
              <w:bidi w:val="0"/>
              <w:spacing w:before="0" w:after="283"/>
              <w:jc w:val="left"/>
              <w:rPr/>
            </w:pPr>
            <w:r>
              <w:rPr/>
              <w:t>Interest expenses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(238,623</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(152,030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(800,783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(227,142</w:t>
            </w:r>
          </w:p>
        </w:tc>
        <w:tc>
          <w:tcPr>
            <w:tcW w:w="115" w:type="dxa"/>
            <w:tcBorders/>
            <w:shd w:fill="FFFFFF" w:val="clear"/>
            <w:vAlign w:val="center"/>
          </w:tcPr>
          <w:p>
            <w:pPr>
              <w:pStyle w:val="TableContents"/>
              <w:bidi w:val="0"/>
              <w:spacing w:before="0" w:after="283"/>
              <w:ind w:left="0" w:right="0" w:hanging="200"/>
              <w:jc w:val="left"/>
              <w:rPr/>
            </w:pPr>
            <w:r>
              <w:rPr/>
              <w:t>)</w:t>
            </w:r>
            <w:bookmarkStart w:id="118" w:name="xdx_40E_ecustom--OtherFinancingExpenses_"/>
            <w:bookmarkEnd w:id="118"/>
          </w:p>
        </w:tc>
      </w:tr>
      <w:tr>
        <w:trPr/>
        <w:tc>
          <w:tcPr>
            <w:tcW w:w="4447" w:type="dxa"/>
            <w:tcBorders/>
            <w:shd w:fill="EEEEEE" w:val="clear"/>
            <w:vAlign w:val="center"/>
          </w:tcPr>
          <w:p>
            <w:pPr>
              <w:pStyle w:val="TableContents"/>
              <w:bidi w:val="0"/>
              <w:spacing w:before="0" w:after="283"/>
              <w:jc w:val="left"/>
              <w:rPr/>
            </w:pPr>
            <w:r>
              <w:rPr/>
              <w:t>Other financing expenses</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(71,010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9"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4" w:type="dxa"/>
            <w:tcBorders/>
            <w:shd w:fill="EEEEEE" w:val="clear"/>
            <w:vAlign w:val="center"/>
          </w:tcPr>
          <w:p>
            <w:pPr>
              <w:pStyle w:val="TableContents"/>
              <w:bidi w:val="0"/>
              <w:spacing w:before="0" w:after="283"/>
              <w:jc w:val="right"/>
              <w:rPr/>
            </w:pPr>
            <w:r>
              <w:rPr/>
              <w:t>(80,010</w:t>
            </w:r>
          </w:p>
        </w:tc>
        <w:tc>
          <w:tcPr>
            <w:tcW w:w="115" w:type="dxa"/>
            <w:tcBorders/>
            <w:shd w:fill="EEEEEE" w:val="clear"/>
            <w:vAlign w:val="center"/>
          </w:tcPr>
          <w:p>
            <w:pPr>
              <w:pStyle w:val="TableContents"/>
              <w:bidi w:val="0"/>
              <w:spacing w:before="0" w:after="283"/>
              <w:ind w:left="0" w:right="0" w:hanging="200"/>
              <w:jc w:val="left"/>
              <w:rPr/>
            </w:pPr>
            <w:r>
              <w:rPr/>
              <w:t>)</w:t>
            </w:r>
            <w:bookmarkStart w:id="119" w:name="xdx_401_eus-gaap--GainLossOnInvestments_"/>
            <w:bookmarkEnd w:id="119"/>
          </w:p>
        </w:tc>
      </w:tr>
      <w:tr>
        <w:trPr/>
        <w:tc>
          <w:tcPr>
            <w:tcW w:w="4447" w:type="dxa"/>
            <w:tcBorders/>
            <w:shd w:fill="FFFFFF" w:val="clear"/>
            <w:vAlign w:val="center"/>
          </w:tcPr>
          <w:p>
            <w:pPr>
              <w:pStyle w:val="TableContents"/>
              <w:bidi w:val="0"/>
              <w:spacing w:before="0" w:after="283"/>
              <w:jc w:val="left"/>
              <w:rPr/>
            </w:pPr>
            <w:r>
              <w:rPr/>
              <w:t>Loss on equity method investment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(1,297</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(12,289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(8,625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(12,289</w:t>
            </w:r>
          </w:p>
        </w:tc>
        <w:tc>
          <w:tcPr>
            <w:tcW w:w="115" w:type="dxa"/>
            <w:tcBorders/>
            <w:shd w:fill="FFFFFF" w:val="clear"/>
            <w:vAlign w:val="center"/>
          </w:tcPr>
          <w:p>
            <w:pPr>
              <w:pStyle w:val="TableContents"/>
              <w:bidi w:val="0"/>
              <w:spacing w:before="0" w:after="283"/>
              <w:ind w:left="0" w:right="0" w:hanging="200"/>
              <w:jc w:val="left"/>
              <w:rPr/>
            </w:pPr>
            <w:r>
              <w:rPr/>
              <w:t>)</w:t>
            </w:r>
            <w:bookmarkStart w:id="120" w:name="xdx_405_eus-gaap--OtherNonoperatingIncom"/>
            <w:bookmarkEnd w:id="120"/>
          </w:p>
        </w:tc>
      </w:tr>
      <w:tr>
        <w:trPr/>
        <w:tc>
          <w:tcPr>
            <w:tcW w:w="4447" w:type="dxa"/>
            <w:tcBorders/>
            <w:shd w:fill="EEEEEE" w:val="clear"/>
            <w:vAlign w:val="center"/>
          </w:tcPr>
          <w:p>
            <w:pPr>
              <w:pStyle w:val="TableContents"/>
              <w:bidi w:val="0"/>
              <w:spacing w:before="0" w:after="283"/>
              <w:jc w:val="left"/>
              <w:rPr/>
            </w:pPr>
            <w:r>
              <w:rPr/>
              <w:t>Other non-operating (expense) income</w:t>
            </w:r>
          </w:p>
        </w:tc>
        <w:tc>
          <w:tcPr>
            <w:tcW w:w="60" w:type="dxa"/>
            <w:tcBorders/>
            <w:shd w:fill="EEEEEE" w:val="clear"/>
            <w:vAlign w:val="center"/>
          </w:tcPr>
          <w:p>
            <w:pPr>
              <w:pStyle w:val="TableContents"/>
              <w:bidi w:val="0"/>
              <w:spacing w:before="0" w:after="283"/>
              <w:jc w:val="left"/>
              <w:rPr/>
            </w:pPr>
            <w:r>
              <w:rPr/>
              <w:t> </w:t>
            </w:r>
          </w:p>
        </w:tc>
        <w:tc>
          <w:tcPr>
            <w:tcW w:w="1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EEEEEE" w:val="clear"/>
            <w:tcMar>
              <w:bottom w:w="28" w:type="dxa"/>
            </w:tcMar>
            <w:vAlign w:val="center"/>
          </w:tcPr>
          <w:p>
            <w:pPr>
              <w:pStyle w:val="TableContents"/>
              <w:bidi w:val="0"/>
              <w:spacing w:before="0" w:after="283"/>
              <w:jc w:val="right"/>
              <w:rPr/>
            </w:pPr>
            <w:r>
              <w:rPr/>
              <w:t>(72,235</w:t>
            </w:r>
          </w:p>
        </w:tc>
        <w:tc>
          <w:tcPr>
            <w:tcW w:w="97"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1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EEEEEE" w:val="clear"/>
            <w:tcMar>
              <w:bottom w:w="28" w:type="dxa"/>
            </w:tcMar>
            <w:vAlign w:val="center"/>
          </w:tcPr>
          <w:p>
            <w:pPr>
              <w:pStyle w:val="TableContents"/>
              <w:bidi w:val="0"/>
              <w:spacing w:before="0" w:after="283"/>
              <w:jc w:val="right"/>
              <w:rPr/>
            </w:pPr>
            <w:r>
              <w:rPr/>
              <w:t>75,882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EEEEEE" w:val="clear"/>
            <w:tcMar>
              <w:bottom w:w="28" w:type="dxa"/>
            </w:tcMar>
            <w:vAlign w:val="center"/>
          </w:tcPr>
          <w:p>
            <w:pPr>
              <w:pStyle w:val="TableContents"/>
              <w:bidi w:val="0"/>
              <w:spacing w:before="0" w:after="283"/>
              <w:jc w:val="right"/>
              <w:rPr/>
            </w:pPr>
            <w:r>
              <w:rPr/>
              <w:t>199,125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EEEEEE" w:val="clear"/>
            <w:tcMar>
              <w:bottom w:w="28" w:type="dxa"/>
            </w:tcMar>
            <w:vAlign w:val="center"/>
          </w:tcPr>
          <w:p>
            <w:pPr>
              <w:pStyle w:val="TableContents"/>
              <w:bidi w:val="0"/>
              <w:spacing w:before="0" w:after="283"/>
              <w:jc w:val="right"/>
              <w:rPr/>
            </w:pPr>
            <w:r>
              <w:rPr/>
              <w:t>85,473</w:t>
            </w:r>
          </w:p>
        </w:tc>
        <w:tc>
          <w:tcPr>
            <w:tcW w:w="115" w:type="dxa"/>
            <w:tcBorders/>
            <w:shd w:fill="EEEEEE" w:val="clear"/>
            <w:vAlign w:val="center"/>
          </w:tcPr>
          <w:p>
            <w:pPr>
              <w:pStyle w:val="TableContents"/>
              <w:bidi w:val="0"/>
              <w:spacing w:before="0" w:after="283"/>
              <w:ind w:left="0" w:right="0" w:hanging="200"/>
              <w:jc w:val="left"/>
              <w:rPr/>
            </w:pPr>
            <w:r>
              <w:rPr/>
              <w:t> </w:t>
            </w:r>
            <w:bookmarkStart w:id="121" w:name="xdx_400_eus-gaap--NonoperatingIncomeExpe"/>
            <w:bookmarkEnd w:id="121"/>
          </w:p>
        </w:tc>
      </w:tr>
      <w:tr>
        <w:trPr/>
        <w:tc>
          <w:tcPr>
            <w:tcW w:w="4447" w:type="dxa"/>
            <w:tcBorders/>
            <w:shd w:fill="FFFFFF" w:val="clear"/>
            <w:vAlign w:val="center"/>
          </w:tcPr>
          <w:p>
            <w:pPr>
              <w:pStyle w:val="TableContents"/>
              <w:bidi w:val="0"/>
              <w:spacing w:before="0" w:after="283"/>
              <w:jc w:val="left"/>
              <w:rPr/>
            </w:pPr>
            <w:r>
              <w:rPr/>
              <w:t>Total other expenses, net</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(312,155</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(159,447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FFFFFF" w:val="clear"/>
            <w:tcMar>
              <w:bottom w:w="28" w:type="dxa"/>
            </w:tcMar>
            <w:vAlign w:val="center"/>
          </w:tcPr>
          <w:p>
            <w:pPr>
              <w:pStyle w:val="TableContents"/>
              <w:bidi w:val="0"/>
              <w:spacing w:before="0" w:after="283"/>
              <w:jc w:val="right"/>
              <w:rPr/>
            </w:pPr>
            <w:r>
              <w:rPr/>
              <w:t>(610,283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(233,968</w:t>
            </w:r>
          </w:p>
        </w:tc>
        <w:tc>
          <w:tcPr>
            <w:tcW w:w="115" w:type="dxa"/>
            <w:tcBorders/>
            <w:shd w:fill="FFFFFF" w:val="clear"/>
            <w:vAlign w:val="center"/>
          </w:tcPr>
          <w:p>
            <w:pPr>
              <w:pStyle w:val="TableContents"/>
              <w:bidi w:val="0"/>
              <w:spacing w:before="0" w:after="283"/>
              <w:jc w:val="left"/>
              <w:rPr/>
            </w:pPr>
            <w:r>
              <w:rPr/>
              <w:t>)</w:t>
            </w:r>
          </w:p>
        </w:tc>
      </w:tr>
      <w:tr>
        <w:trPr/>
        <w:tc>
          <w:tcPr>
            <w:tcW w:w="444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4"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jc w:val="left"/>
              <w:rPr/>
            </w:pPr>
            <w:r>
              <w:rPr/>
              <w:t> </w:t>
            </w:r>
            <w:bookmarkStart w:id="122" w:name="xdx_402_eus-gaap--IncomeLossFromContinui"/>
            <w:bookmarkEnd w:id="122"/>
          </w:p>
        </w:tc>
      </w:tr>
      <w:tr>
        <w:trPr/>
        <w:tc>
          <w:tcPr>
            <w:tcW w:w="4447" w:type="dxa"/>
            <w:tcBorders/>
            <w:shd w:fill="FFFFFF" w:val="clear"/>
            <w:vAlign w:val="center"/>
          </w:tcPr>
          <w:p>
            <w:pPr>
              <w:pStyle w:val="TableContents"/>
              <w:bidi w:val="0"/>
              <w:spacing w:before="0" w:after="283"/>
              <w:jc w:val="left"/>
              <w:rPr/>
            </w:pPr>
            <w:r>
              <w:rPr/>
              <w:t>(LOSS) INCOME BEFORE INCOME TAXES</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(2,123,353</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1,217,542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(11,097,353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3,568,621</w:t>
            </w:r>
          </w:p>
        </w:tc>
        <w:tc>
          <w:tcPr>
            <w:tcW w:w="115" w:type="dxa"/>
            <w:tcBorders/>
            <w:shd w:fill="FFFFFF" w:val="clear"/>
            <w:vAlign w:val="center"/>
          </w:tcPr>
          <w:p>
            <w:pPr>
              <w:pStyle w:val="TableContents"/>
              <w:bidi w:val="0"/>
              <w:spacing w:before="0" w:after="283"/>
              <w:jc w:val="left"/>
              <w:rPr/>
            </w:pPr>
            <w:r>
              <w:rPr/>
              <w:t> </w:t>
            </w:r>
          </w:p>
        </w:tc>
      </w:tr>
      <w:tr>
        <w:trPr/>
        <w:tc>
          <w:tcPr>
            <w:tcW w:w="444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4"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ind w:left="0" w:right="0" w:hanging="200"/>
              <w:jc w:val="left"/>
              <w:rPr/>
            </w:pPr>
            <w:r>
              <w:rPr/>
              <w:t> </w:t>
            </w:r>
            <w:bookmarkStart w:id="123" w:name="xdx_400_eus-gaap--IncomeTaxExpenseBenefi"/>
            <w:bookmarkEnd w:id="123"/>
          </w:p>
        </w:tc>
      </w:tr>
      <w:tr>
        <w:trPr/>
        <w:tc>
          <w:tcPr>
            <w:tcW w:w="4447" w:type="dxa"/>
            <w:tcBorders/>
            <w:shd w:fill="FFFFFF" w:val="clear"/>
            <w:vAlign w:val="center"/>
          </w:tcPr>
          <w:p>
            <w:pPr>
              <w:pStyle w:val="TableContents"/>
              <w:bidi w:val="0"/>
              <w:spacing w:before="0" w:after="283"/>
              <w:jc w:val="left"/>
              <w:rPr/>
            </w:pPr>
            <w:r>
              <w:rPr/>
              <w:t>PROVISION FOR INCOME TAX (BENEFIT) EXPENSE</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(589,581</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39,855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FFFFFF" w:val="clear"/>
            <w:tcMar>
              <w:bottom w:w="28" w:type="dxa"/>
            </w:tcMar>
            <w:vAlign w:val="center"/>
          </w:tcPr>
          <w:p>
            <w:pPr>
              <w:pStyle w:val="TableContents"/>
              <w:bidi w:val="0"/>
              <w:spacing w:before="0" w:after="283"/>
              <w:jc w:val="right"/>
              <w:rPr/>
            </w:pPr>
            <w:r>
              <w:rPr/>
              <w:t>(2,085,126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705,545</w:t>
            </w:r>
          </w:p>
        </w:tc>
        <w:tc>
          <w:tcPr>
            <w:tcW w:w="115" w:type="dxa"/>
            <w:tcBorders/>
            <w:shd w:fill="FFFFFF" w:val="clear"/>
            <w:vAlign w:val="center"/>
          </w:tcPr>
          <w:p>
            <w:pPr>
              <w:pStyle w:val="TableContents"/>
              <w:bidi w:val="0"/>
              <w:spacing w:before="0" w:after="283"/>
              <w:jc w:val="left"/>
              <w:rPr/>
            </w:pPr>
            <w:r>
              <w:rPr/>
              <w:t> </w:t>
            </w:r>
            <w:bookmarkStart w:id="124" w:name="xdx_40B_eus-gaap--IncomeLossFromContinui"/>
            <w:bookmarkEnd w:id="124"/>
          </w:p>
        </w:tc>
      </w:tr>
      <w:tr>
        <w:trPr/>
        <w:tc>
          <w:tcPr>
            <w:tcW w:w="4447" w:type="dxa"/>
            <w:tcBorders/>
            <w:shd w:fill="EEEEEE" w:val="clear"/>
            <w:vAlign w:val="center"/>
          </w:tcPr>
          <w:p>
            <w:pPr>
              <w:pStyle w:val="TableContents"/>
              <w:bidi w:val="0"/>
              <w:spacing w:before="0" w:after="283"/>
              <w:jc w:val="left"/>
              <w:rPr/>
            </w:pPr>
            <w:r>
              <w:rPr/>
              <w:t>NET (LOSS) INCOME</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(1,533,772</w:t>
            </w:r>
          </w:p>
        </w:tc>
        <w:tc>
          <w:tcPr>
            <w:tcW w:w="97"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1,177,687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9" w:type="dxa"/>
            <w:tcBorders/>
            <w:shd w:fill="EEEEEE" w:val="clear"/>
            <w:vAlign w:val="center"/>
          </w:tcPr>
          <w:p>
            <w:pPr>
              <w:pStyle w:val="TableContents"/>
              <w:bidi w:val="0"/>
              <w:spacing w:before="0" w:after="283"/>
              <w:jc w:val="right"/>
              <w:rPr/>
            </w:pPr>
            <w:r>
              <w:rPr/>
              <w:t>(9,012,227</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4" w:type="dxa"/>
            <w:tcBorders/>
            <w:shd w:fill="EEEEEE" w:val="clear"/>
            <w:vAlign w:val="center"/>
          </w:tcPr>
          <w:p>
            <w:pPr>
              <w:pStyle w:val="TableContents"/>
              <w:bidi w:val="0"/>
              <w:spacing w:before="0" w:after="283"/>
              <w:jc w:val="right"/>
              <w:rPr/>
            </w:pPr>
            <w:r>
              <w:rPr/>
              <w:t>2,863,076</w:t>
            </w:r>
          </w:p>
        </w:tc>
        <w:tc>
          <w:tcPr>
            <w:tcW w:w="115" w:type="dxa"/>
            <w:tcBorders/>
            <w:shd w:fill="EEEEEE"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200"/>
              <w:jc w:val="left"/>
              <w:rPr/>
            </w:pPr>
            <w:r>
              <w:rPr/>
              <w:t> </w:t>
            </w:r>
            <w:bookmarkStart w:id="125" w:name="xdx_404_eus-gaap--NetIncomeLossAttributa"/>
            <w:bookmarkEnd w:id="125"/>
          </w:p>
        </w:tc>
      </w:tr>
      <w:tr>
        <w:trPr/>
        <w:tc>
          <w:tcPr>
            <w:tcW w:w="4447" w:type="dxa"/>
            <w:tcBorders/>
            <w:shd w:fill="EEEEEE" w:val="clear"/>
            <w:vAlign w:val="center"/>
          </w:tcPr>
          <w:p>
            <w:pPr>
              <w:pStyle w:val="TableContents"/>
              <w:bidi w:val="0"/>
              <w:spacing w:before="0" w:after="283"/>
              <w:jc w:val="left"/>
              <w:rPr/>
            </w:pPr>
            <w:r>
              <w:rPr/>
              <w:t>Non-controlling interest</w:t>
            </w:r>
          </w:p>
        </w:tc>
        <w:tc>
          <w:tcPr>
            <w:tcW w:w="60" w:type="dxa"/>
            <w:tcBorders/>
            <w:shd w:fill="EEEEEE" w:val="clear"/>
            <w:vAlign w:val="center"/>
          </w:tcPr>
          <w:p>
            <w:pPr>
              <w:pStyle w:val="TableContents"/>
              <w:bidi w:val="0"/>
              <w:spacing w:before="0" w:after="283"/>
              <w:jc w:val="left"/>
              <w:rPr/>
            </w:pPr>
            <w:r>
              <w:rPr/>
              <w:t> </w:t>
            </w:r>
          </w:p>
        </w:tc>
        <w:tc>
          <w:tcPr>
            <w:tcW w:w="1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EEEEEE" w:val="clear"/>
            <w:tcMar>
              <w:bottom w:w="28" w:type="dxa"/>
            </w:tcMar>
            <w:vAlign w:val="center"/>
          </w:tcPr>
          <w:p>
            <w:pPr>
              <w:pStyle w:val="TableContents"/>
              <w:bidi w:val="0"/>
              <w:spacing w:before="0" w:after="283"/>
              <w:jc w:val="right"/>
              <w:rPr/>
            </w:pPr>
            <w:r>
              <w:rPr/>
              <w:t>(3,238</w:t>
            </w:r>
          </w:p>
        </w:tc>
        <w:tc>
          <w:tcPr>
            <w:tcW w:w="97"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14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EEEEEE" w:val="clear"/>
            <w:tcMar>
              <w:bottom w:w="28" w:type="dxa"/>
            </w:tcMar>
            <w:vAlign w:val="center"/>
          </w:tcPr>
          <w:p>
            <w:pPr>
              <w:pStyle w:val="TableContents"/>
              <w:bidi w:val="0"/>
              <w:spacing w:before="0" w:after="283"/>
              <w:jc w:val="right"/>
              <w:rPr/>
            </w:pPr>
            <w:r>
              <w:rPr/>
              <w:t>(4,070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EEEEEE" w:val="clear"/>
            <w:tcMar>
              <w:bottom w:w="28" w:type="dxa"/>
            </w:tcMar>
            <w:vAlign w:val="center"/>
          </w:tcPr>
          <w:p>
            <w:pPr>
              <w:pStyle w:val="TableContents"/>
              <w:bidi w:val="0"/>
              <w:spacing w:before="0" w:after="283"/>
              <w:jc w:val="right"/>
              <w:rPr/>
            </w:pPr>
            <w:r>
              <w:rPr/>
              <w:t>(8,878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EEEEEE" w:val="clear"/>
            <w:tcMar>
              <w:bottom w:w="28" w:type="dxa"/>
            </w:tcMar>
            <w:vAlign w:val="center"/>
          </w:tcPr>
          <w:p>
            <w:pPr>
              <w:pStyle w:val="TableContents"/>
              <w:bidi w:val="0"/>
              <w:spacing w:before="0" w:after="283"/>
              <w:jc w:val="right"/>
              <w:rPr/>
            </w:pPr>
            <w:r>
              <w:rPr/>
              <w:t>(4,070</w:t>
            </w:r>
          </w:p>
        </w:tc>
        <w:tc>
          <w:tcPr>
            <w:tcW w:w="115" w:type="dxa"/>
            <w:tcBorders/>
            <w:shd w:fill="EEEEEE" w:val="clear"/>
            <w:vAlign w:val="center"/>
          </w:tcPr>
          <w:p>
            <w:pPr>
              <w:pStyle w:val="TableContents"/>
              <w:bidi w:val="0"/>
              <w:spacing w:before="0" w:after="283"/>
              <w:jc w:val="left"/>
              <w:rPr/>
            </w:pPr>
            <w:r>
              <w:rPr/>
              <w:t>)</w:t>
            </w:r>
          </w:p>
        </w:tc>
      </w:tr>
      <w:tr>
        <w:trPr/>
        <w:tc>
          <w:tcPr>
            <w:tcW w:w="44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200"/>
              <w:jc w:val="left"/>
              <w:rPr/>
            </w:pPr>
            <w:r>
              <w:rPr/>
              <w:t> </w:t>
            </w:r>
            <w:bookmarkStart w:id="126" w:name="xdx_400_eus-gaap--NetIncomeLoss_iT_mtCzG"/>
            <w:bookmarkEnd w:id="126"/>
          </w:p>
        </w:tc>
      </w:tr>
      <w:tr>
        <w:trPr/>
        <w:tc>
          <w:tcPr>
            <w:tcW w:w="4447" w:type="dxa"/>
            <w:tcBorders/>
            <w:shd w:fill="EEEEEE" w:val="clear"/>
            <w:vAlign w:val="center"/>
          </w:tcPr>
          <w:p>
            <w:pPr>
              <w:pStyle w:val="TableContents"/>
              <w:bidi w:val="0"/>
              <w:spacing w:before="0" w:after="283"/>
              <w:jc w:val="left"/>
              <w:rPr/>
            </w:pPr>
            <w:r>
              <w:rPr/>
              <w:t>NET (LOSS) INCOME ATTRIBUTABLE TO IPOWER INC.</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(1,530,534</w:t>
            </w:r>
          </w:p>
        </w:tc>
        <w:tc>
          <w:tcPr>
            <w:tcW w:w="97" w:type="dxa"/>
            <w:tcBorders/>
            <w:shd w:fill="EEEEEE" w:val="clear"/>
            <w:vAlign w:val="center"/>
          </w:tcPr>
          <w:p>
            <w:pPr>
              <w:pStyle w:val="TableContents"/>
              <w:bidi w:val="0"/>
              <w:spacing w:before="0" w:after="283"/>
              <w:jc w:val="left"/>
              <w:rPr/>
            </w:pPr>
            <w:r>
              <w:rPr/>
              <w:t>)</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1,181,757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9" w:type="dxa"/>
            <w:tcBorders/>
            <w:shd w:fill="EEEEEE" w:val="clear"/>
            <w:vAlign w:val="center"/>
          </w:tcPr>
          <w:p>
            <w:pPr>
              <w:pStyle w:val="TableContents"/>
              <w:bidi w:val="0"/>
              <w:spacing w:before="0" w:after="283"/>
              <w:jc w:val="right"/>
              <w:rPr/>
            </w:pPr>
            <w:r>
              <w:rPr/>
              <w:t>(9,003,349</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4" w:type="dxa"/>
            <w:tcBorders/>
            <w:shd w:fill="EEEEEE" w:val="clear"/>
            <w:vAlign w:val="center"/>
          </w:tcPr>
          <w:p>
            <w:pPr>
              <w:pStyle w:val="TableContents"/>
              <w:bidi w:val="0"/>
              <w:spacing w:before="0" w:after="283"/>
              <w:jc w:val="right"/>
              <w:rPr/>
            </w:pPr>
            <w:r>
              <w:rPr/>
              <w:t>2,867,146</w:t>
            </w:r>
          </w:p>
        </w:tc>
        <w:tc>
          <w:tcPr>
            <w:tcW w:w="115" w:type="dxa"/>
            <w:tcBorders/>
            <w:shd w:fill="EEEEEE"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27" w:name="xdx_404_eus-gaap--OtherComprehensiveInco"/>
            <w:bookmarkEnd w:id="127"/>
          </w:p>
        </w:tc>
      </w:tr>
      <w:tr>
        <w:trPr/>
        <w:tc>
          <w:tcPr>
            <w:tcW w:w="4447" w:type="dxa"/>
            <w:tcBorders/>
            <w:shd w:fill="EEEEEE" w:val="clear"/>
            <w:vAlign w:val="center"/>
          </w:tcPr>
          <w:p>
            <w:pPr>
              <w:pStyle w:val="TableContents"/>
              <w:bidi w:val="0"/>
              <w:spacing w:before="0" w:after="283"/>
              <w:jc w:val="left"/>
              <w:rPr/>
            </w:pPr>
            <w:r>
              <w:rPr/>
              <w:t>OTHER COMPREHENSIVE LOSS</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4"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ind w:left="0" w:right="0" w:hanging="200"/>
              <w:jc w:val="left"/>
              <w:rPr/>
            </w:pPr>
            <w:r>
              <w:rPr/>
              <w:t> </w:t>
            </w:r>
            <w:bookmarkStart w:id="128" w:name="xdx_40A_eus-gaap--OtherComprehensiveInco"/>
            <w:bookmarkEnd w:id="128"/>
          </w:p>
        </w:tc>
      </w:tr>
      <w:tr>
        <w:trPr/>
        <w:tc>
          <w:tcPr>
            <w:tcW w:w="4447"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17,604</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(3,226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9" w:type="dxa"/>
            <w:tcBorders>
              <w:bottom w:val="single" w:sz="8" w:space="0" w:color="000000"/>
            </w:tcBorders>
            <w:shd w:fill="FFFFFF" w:val="clear"/>
            <w:tcMar>
              <w:bottom w:w="28" w:type="dxa"/>
            </w:tcMar>
            <w:vAlign w:val="center"/>
          </w:tcPr>
          <w:p>
            <w:pPr>
              <w:pStyle w:val="TableContents"/>
              <w:bidi w:val="0"/>
              <w:spacing w:before="0" w:after="283"/>
              <w:jc w:val="right"/>
              <w:rPr/>
            </w:pPr>
            <w:r>
              <w:rPr/>
              <w:t>(46,722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4" w:type="dxa"/>
            <w:tcBorders>
              <w:bottom w:val="single" w:sz="8" w:space="0" w:color="000000"/>
            </w:tcBorders>
            <w:shd w:fill="FFFFFF" w:val="clear"/>
            <w:tcMar>
              <w:bottom w:w="28" w:type="dxa"/>
            </w:tcMar>
            <w:vAlign w:val="center"/>
          </w:tcPr>
          <w:p>
            <w:pPr>
              <w:pStyle w:val="TableContents"/>
              <w:bidi w:val="0"/>
              <w:spacing w:before="0" w:after="283"/>
              <w:jc w:val="right"/>
              <w:rPr/>
            </w:pPr>
            <w:r>
              <w:rPr/>
              <w:t>(3,226</w:t>
            </w:r>
          </w:p>
        </w:tc>
        <w:tc>
          <w:tcPr>
            <w:tcW w:w="115" w:type="dxa"/>
            <w:tcBorders/>
            <w:shd w:fill="FFFFFF" w:val="clear"/>
            <w:vAlign w:val="center"/>
          </w:tcPr>
          <w:p>
            <w:pPr>
              <w:pStyle w:val="TableContents"/>
              <w:bidi w:val="0"/>
              <w:spacing w:before="0" w:after="283"/>
              <w:jc w:val="left"/>
              <w:rPr/>
            </w:pPr>
            <w:r>
              <w:rPr/>
              <w:t>)</w:t>
            </w:r>
          </w:p>
        </w:tc>
      </w:tr>
      <w:tr>
        <w:trPr/>
        <w:tc>
          <w:tcPr>
            <w:tcW w:w="444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4"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ind w:left="0" w:right="0" w:hanging="200"/>
              <w:jc w:val="left"/>
              <w:rPr/>
            </w:pPr>
            <w:r>
              <w:rPr/>
              <w:t> </w:t>
            </w:r>
            <w:bookmarkStart w:id="129" w:name="xdx_408_eus-gaap--ComprehensiveIncomeNet"/>
            <w:bookmarkEnd w:id="129"/>
          </w:p>
        </w:tc>
      </w:tr>
      <w:tr>
        <w:trPr/>
        <w:tc>
          <w:tcPr>
            <w:tcW w:w="4447" w:type="dxa"/>
            <w:tcBorders/>
            <w:shd w:fill="FFFFFF" w:val="clear"/>
            <w:vAlign w:val="center"/>
          </w:tcPr>
          <w:p>
            <w:pPr>
              <w:pStyle w:val="TableContents"/>
              <w:bidi w:val="0"/>
              <w:spacing w:before="0" w:after="283"/>
              <w:jc w:val="left"/>
              <w:rPr/>
            </w:pPr>
            <w:r>
              <w:rPr/>
              <w:t>COMPREHENSIVE (LOSS) INCOME ATTRIBUTABLE TO IPOWER INC.</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(1,512,930</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1,178,531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9" w:type="dxa"/>
            <w:tcBorders>
              <w:bottom w:val="double" w:sz="6" w:space="0" w:color="000000"/>
            </w:tcBorders>
            <w:shd w:fill="FFFFFF" w:val="clear"/>
            <w:tcMar>
              <w:bottom w:w="28" w:type="dxa"/>
            </w:tcMar>
            <w:vAlign w:val="center"/>
          </w:tcPr>
          <w:p>
            <w:pPr>
              <w:pStyle w:val="TableContents"/>
              <w:bidi w:val="0"/>
              <w:spacing w:before="0" w:after="283"/>
              <w:jc w:val="right"/>
              <w:rPr/>
            </w:pPr>
            <w:r>
              <w:rPr/>
              <w:t>(9,050,071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4" w:type="dxa"/>
            <w:tcBorders>
              <w:bottom w:val="double" w:sz="6" w:space="0" w:color="000000"/>
            </w:tcBorders>
            <w:shd w:fill="FFFFFF" w:val="clear"/>
            <w:tcMar>
              <w:bottom w:w="28" w:type="dxa"/>
            </w:tcMar>
            <w:vAlign w:val="center"/>
          </w:tcPr>
          <w:p>
            <w:pPr>
              <w:pStyle w:val="TableContents"/>
              <w:bidi w:val="0"/>
              <w:spacing w:before="0" w:after="283"/>
              <w:jc w:val="right"/>
              <w:rPr/>
            </w:pPr>
            <w:r>
              <w:rPr/>
              <w:t>2,863,920</w:t>
            </w:r>
          </w:p>
        </w:tc>
        <w:tc>
          <w:tcPr>
            <w:tcW w:w="115" w:type="dxa"/>
            <w:tcBorders/>
            <w:shd w:fill="FFFFFF" w:val="clear"/>
            <w:vAlign w:val="center"/>
          </w:tcPr>
          <w:p>
            <w:pPr>
              <w:pStyle w:val="TableContents"/>
              <w:bidi w:val="0"/>
              <w:spacing w:before="0" w:after="283"/>
              <w:jc w:val="left"/>
              <w:rPr/>
            </w:pPr>
            <w:r>
              <w:rPr/>
              <w:t> </w:t>
            </w:r>
          </w:p>
        </w:tc>
      </w:tr>
      <w:tr>
        <w:trPr/>
        <w:tc>
          <w:tcPr>
            <w:tcW w:w="444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4"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jc w:val="left"/>
              <w:rPr/>
            </w:pPr>
            <w:r>
              <w:rPr/>
              <w:t> </w:t>
            </w:r>
            <w:bookmarkStart w:id="130" w:name="xdx_403_eus-gaap--WeightedAverageNumberO"/>
            <w:bookmarkEnd w:id="130"/>
          </w:p>
        </w:tc>
      </w:tr>
      <w:tr>
        <w:trPr/>
        <w:tc>
          <w:tcPr>
            <w:tcW w:w="4447" w:type="dxa"/>
            <w:tcBorders/>
            <w:shd w:fill="FFFFFF" w:val="clear"/>
            <w:vAlign w:val="center"/>
          </w:tcPr>
          <w:p>
            <w:pPr>
              <w:pStyle w:val="TableContents"/>
              <w:bidi w:val="0"/>
              <w:spacing w:before="0" w:after="283"/>
              <w:jc w:val="left"/>
              <w:rPr/>
            </w:pPr>
            <w:r>
              <w:rPr/>
              <w:t>WEIGHTED AVERAGE NUMBER OF COMMON STOCK</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200"/>
              <w:jc w:val="left"/>
              <w:rPr/>
            </w:pPr>
            <w:r>
              <w:rPr/>
              <w:t> </w:t>
            </w:r>
            <w:bookmarkStart w:id="131" w:name="xdx_403_eus-gaap--WeightedAverageNumberO"/>
            <w:bookmarkEnd w:id="131"/>
          </w:p>
        </w:tc>
      </w:tr>
      <w:tr>
        <w:trPr/>
        <w:tc>
          <w:tcPr>
            <w:tcW w:w="4447" w:type="dxa"/>
            <w:tcBorders/>
            <w:shd w:fill="EEEEEE" w:val="clear"/>
            <w:vAlign w:val="center"/>
          </w:tcPr>
          <w:p>
            <w:pPr>
              <w:pStyle w:val="TableContents"/>
              <w:bidi w:val="0"/>
              <w:spacing w:before="0" w:after="283"/>
              <w:jc w:val="left"/>
              <w:rPr/>
            </w:pPr>
            <w:r>
              <w:rPr/>
              <w:t>Basic</w:t>
            </w:r>
          </w:p>
        </w:tc>
        <w:tc>
          <w:tcPr>
            <w:tcW w:w="60" w:type="dxa"/>
            <w:tcBorders/>
            <w:shd w:fill="EEEEEE" w:val="clear"/>
            <w:vAlign w:val="center"/>
          </w:tcPr>
          <w:p>
            <w:pPr>
              <w:pStyle w:val="TableContents"/>
              <w:bidi w:val="0"/>
              <w:spacing w:before="0" w:after="283"/>
              <w:jc w:val="left"/>
              <w:rPr/>
            </w:pPr>
            <w:r>
              <w:rPr/>
              <w:t> </w:t>
            </w:r>
          </w:p>
        </w:tc>
        <w:tc>
          <w:tcPr>
            <w:tcW w:w="14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32" w:type="dxa"/>
            <w:tcBorders>
              <w:bottom w:val="double" w:sz="6" w:space="0" w:color="000000"/>
            </w:tcBorders>
            <w:shd w:fill="EEEEEE" w:val="clear"/>
            <w:tcMar>
              <w:bottom w:w="28" w:type="dxa"/>
            </w:tcMar>
            <w:vAlign w:val="center"/>
          </w:tcPr>
          <w:p>
            <w:pPr>
              <w:pStyle w:val="TableContents"/>
              <w:bidi w:val="0"/>
              <w:spacing w:before="0" w:after="283"/>
              <w:jc w:val="right"/>
              <w:rPr/>
            </w:pPr>
            <w:r>
              <w:rPr/>
              <w:t>29,730,914</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32" w:type="dxa"/>
            <w:tcBorders>
              <w:bottom w:val="double" w:sz="6" w:space="0" w:color="000000"/>
            </w:tcBorders>
            <w:shd w:fill="EEEEEE" w:val="clear"/>
            <w:tcMar>
              <w:bottom w:w="28" w:type="dxa"/>
            </w:tcMar>
            <w:vAlign w:val="center"/>
          </w:tcPr>
          <w:p>
            <w:pPr>
              <w:pStyle w:val="TableContents"/>
              <w:bidi w:val="0"/>
              <w:spacing w:before="0" w:after="283"/>
              <w:jc w:val="right"/>
              <w:rPr/>
            </w:pPr>
            <w:r>
              <w:rPr/>
              <w:t>28,045,130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79" w:type="dxa"/>
            <w:tcBorders>
              <w:bottom w:val="double" w:sz="6" w:space="0" w:color="000000"/>
            </w:tcBorders>
            <w:shd w:fill="EEEEEE" w:val="clear"/>
            <w:tcMar>
              <w:bottom w:w="28" w:type="dxa"/>
            </w:tcMar>
            <w:vAlign w:val="center"/>
          </w:tcPr>
          <w:p>
            <w:pPr>
              <w:pStyle w:val="TableContents"/>
              <w:bidi w:val="0"/>
              <w:spacing w:before="0" w:after="283"/>
              <w:jc w:val="right"/>
              <w:rPr/>
            </w:pPr>
            <w:r>
              <w:rPr/>
              <w:t>29,702,014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04" w:type="dxa"/>
            <w:tcBorders>
              <w:bottom w:val="double" w:sz="6" w:space="0" w:color="000000"/>
            </w:tcBorders>
            <w:shd w:fill="EEEEEE" w:val="clear"/>
            <w:tcMar>
              <w:bottom w:w="28" w:type="dxa"/>
            </w:tcMar>
            <w:vAlign w:val="center"/>
          </w:tcPr>
          <w:p>
            <w:pPr>
              <w:pStyle w:val="TableContents"/>
              <w:bidi w:val="0"/>
              <w:spacing w:before="0" w:after="283"/>
              <w:jc w:val="right"/>
              <w:rPr/>
            </w:pPr>
            <w:r>
              <w:rPr/>
              <w:t>26,999,342</w:t>
            </w:r>
          </w:p>
        </w:tc>
        <w:tc>
          <w:tcPr>
            <w:tcW w:w="115" w:type="dxa"/>
            <w:tcBorders/>
            <w:shd w:fill="EEEEEE"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ind w:left="0" w:right="0" w:hanging="200"/>
              <w:jc w:val="left"/>
              <w:rPr/>
            </w:pPr>
            <w:r>
              <w:rPr/>
              <w:t> </w:t>
            </w:r>
            <w:bookmarkStart w:id="132" w:name="xdx_405_eus-gaap--WeightedAverageNumberO"/>
            <w:bookmarkEnd w:id="132"/>
          </w:p>
        </w:tc>
      </w:tr>
      <w:tr>
        <w:trPr/>
        <w:tc>
          <w:tcPr>
            <w:tcW w:w="4447" w:type="dxa"/>
            <w:tcBorders/>
            <w:shd w:fill="EEEEEE" w:val="clear"/>
            <w:vAlign w:val="center"/>
          </w:tcPr>
          <w:p>
            <w:pPr>
              <w:pStyle w:val="TableContents"/>
              <w:bidi w:val="0"/>
              <w:spacing w:before="0" w:after="283"/>
              <w:jc w:val="left"/>
              <w:rPr/>
            </w:pPr>
            <w:r>
              <w:rPr/>
              <w:t>Diluted</w:t>
            </w:r>
          </w:p>
        </w:tc>
        <w:tc>
          <w:tcPr>
            <w:tcW w:w="60" w:type="dxa"/>
            <w:tcBorders/>
            <w:shd w:fill="EEEEEE" w:val="clear"/>
            <w:vAlign w:val="center"/>
          </w:tcPr>
          <w:p>
            <w:pPr>
              <w:pStyle w:val="TableContents"/>
              <w:bidi w:val="0"/>
              <w:spacing w:before="0" w:after="283"/>
              <w:jc w:val="left"/>
              <w:rPr/>
            </w:pPr>
            <w:r>
              <w:rPr/>
              <w:t> </w:t>
            </w:r>
          </w:p>
        </w:tc>
        <w:tc>
          <w:tcPr>
            <w:tcW w:w="14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32" w:type="dxa"/>
            <w:tcBorders>
              <w:bottom w:val="double" w:sz="6" w:space="0" w:color="000000"/>
            </w:tcBorders>
            <w:shd w:fill="EEEEEE" w:val="clear"/>
            <w:tcMar>
              <w:bottom w:w="28" w:type="dxa"/>
            </w:tcMar>
            <w:vAlign w:val="center"/>
          </w:tcPr>
          <w:p>
            <w:pPr>
              <w:pStyle w:val="TableContents"/>
              <w:bidi w:val="0"/>
              <w:spacing w:before="0" w:after="283"/>
              <w:jc w:val="right"/>
              <w:rPr/>
            </w:pPr>
            <w:r>
              <w:rPr/>
              <w:t>29,730,914</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32" w:type="dxa"/>
            <w:tcBorders>
              <w:bottom w:val="double" w:sz="6" w:space="0" w:color="000000"/>
            </w:tcBorders>
            <w:shd w:fill="EEEEEE" w:val="clear"/>
            <w:tcMar>
              <w:bottom w:w="28" w:type="dxa"/>
            </w:tcMar>
            <w:vAlign w:val="center"/>
          </w:tcPr>
          <w:p>
            <w:pPr>
              <w:pStyle w:val="TableContents"/>
              <w:bidi w:val="0"/>
              <w:spacing w:before="0" w:after="283"/>
              <w:jc w:val="right"/>
              <w:rPr/>
            </w:pPr>
            <w:r>
              <w:rPr/>
              <w:t>28,045,130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79" w:type="dxa"/>
            <w:tcBorders>
              <w:bottom w:val="double" w:sz="6" w:space="0" w:color="000000"/>
            </w:tcBorders>
            <w:shd w:fill="EEEEEE" w:val="clear"/>
            <w:tcMar>
              <w:bottom w:w="28" w:type="dxa"/>
            </w:tcMar>
            <w:vAlign w:val="center"/>
          </w:tcPr>
          <w:p>
            <w:pPr>
              <w:pStyle w:val="TableContents"/>
              <w:bidi w:val="0"/>
              <w:spacing w:before="0" w:after="283"/>
              <w:jc w:val="right"/>
              <w:rPr/>
            </w:pPr>
            <w:r>
              <w:rPr/>
              <w:t>29,702,014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04" w:type="dxa"/>
            <w:tcBorders>
              <w:bottom w:val="double" w:sz="6" w:space="0" w:color="000000"/>
            </w:tcBorders>
            <w:shd w:fill="EEEEEE" w:val="clear"/>
            <w:tcMar>
              <w:bottom w:w="28" w:type="dxa"/>
            </w:tcMar>
            <w:vAlign w:val="center"/>
          </w:tcPr>
          <w:p>
            <w:pPr>
              <w:pStyle w:val="TableContents"/>
              <w:bidi w:val="0"/>
              <w:spacing w:before="0" w:after="283"/>
              <w:jc w:val="right"/>
              <w:rPr/>
            </w:pPr>
            <w:r>
              <w:rPr/>
              <w:t>26,999,342</w:t>
            </w:r>
          </w:p>
        </w:tc>
        <w:tc>
          <w:tcPr>
            <w:tcW w:w="115" w:type="dxa"/>
            <w:tcBorders/>
            <w:shd w:fill="EEEEEE" w:val="clear"/>
            <w:vAlign w:val="center"/>
          </w:tcPr>
          <w:p>
            <w:pPr>
              <w:pStyle w:val="TableContents"/>
              <w:bidi w:val="0"/>
              <w:spacing w:before="0" w:after="283"/>
              <w:jc w:val="left"/>
              <w:rPr/>
            </w:pPr>
            <w:r>
              <w:rPr/>
              <w:t> </w:t>
            </w:r>
          </w:p>
        </w:tc>
      </w:tr>
      <w:tr>
        <w:trPr/>
        <w:tc>
          <w:tcPr>
            <w:tcW w:w="444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4" w:type="dxa"/>
            <w:tcBorders/>
            <w:shd w:fill="FFFFFF" w:val="clear"/>
            <w:vAlign w:val="center"/>
          </w:tcPr>
          <w:p>
            <w:pPr>
              <w:pStyle w:val="TableContents"/>
              <w:bidi w:val="0"/>
              <w:spacing w:before="0" w:after="283"/>
              <w:jc w:val="right"/>
              <w:rPr/>
            </w:pPr>
            <w:r>
              <w:rPr/>
              <w:t> </w:t>
            </w:r>
          </w:p>
        </w:tc>
        <w:tc>
          <w:tcPr>
            <w:tcW w:w="115" w:type="dxa"/>
            <w:tcBorders/>
            <w:shd w:fill="FFFFFF" w:val="clear"/>
            <w:vAlign w:val="center"/>
          </w:tcPr>
          <w:p>
            <w:pPr>
              <w:pStyle w:val="TableContents"/>
              <w:bidi w:val="0"/>
              <w:spacing w:before="0" w:after="283"/>
              <w:jc w:val="left"/>
              <w:rPr/>
            </w:pPr>
            <w:r>
              <w:rPr/>
              <w:t> </w:t>
            </w:r>
            <w:bookmarkStart w:id="133" w:name="xdx_402_ecustom--EarningsLossesPerShareA"/>
            <w:bookmarkEnd w:id="133"/>
          </w:p>
        </w:tc>
      </w:tr>
      <w:tr>
        <w:trPr/>
        <w:tc>
          <w:tcPr>
            <w:tcW w:w="4447" w:type="dxa"/>
            <w:tcBorders/>
            <w:shd w:fill="EEEEEE" w:val="clear"/>
            <w:vAlign w:val="center"/>
          </w:tcPr>
          <w:p>
            <w:pPr>
              <w:pStyle w:val="TableContents"/>
              <w:bidi w:val="0"/>
              <w:spacing w:before="0" w:after="283"/>
              <w:jc w:val="left"/>
              <w:rPr/>
            </w:pPr>
            <w:r>
              <w:rPr/>
              <w:t>(LOSSES) EARNINGS PER SHARE</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4"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ind w:left="0" w:right="0" w:hanging="200"/>
              <w:jc w:val="left"/>
              <w:rPr/>
            </w:pPr>
            <w:r>
              <w:rPr/>
              <w:t> </w:t>
            </w:r>
            <w:bookmarkStart w:id="134" w:name="xdx_40E_eus-gaap--EarningsPerShareBasic_"/>
            <w:bookmarkEnd w:id="134"/>
          </w:p>
        </w:tc>
      </w:tr>
      <w:tr>
        <w:trPr/>
        <w:tc>
          <w:tcPr>
            <w:tcW w:w="4447"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(0.051</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0.042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9" w:type="dxa"/>
            <w:tcBorders>
              <w:bottom w:val="double" w:sz="6" w:space="0" w:color="000000"/>
            </w:tcBorders>
            <w:shd w:fill="FFFFFF" w:val="clear"/>
            <w:tcMar>
              <w:bottom w:w="28" w:type="dxa"/>
            </w:tcMar>
            <w:vAlign w:val="center"/>
          </w:tcPr>
          <w:p>
            <w:pPr>
              <w:pStyle w:val="TableContents"/>
              <w:bidi w:val="0"/>
              <w:spacing w:before="0" w:after="283"/>
              <w:jc w:val="right"/>
              <w:rPr/>
            </w:pPr>
            <w:r>
              <w:rPr/>
              <w:t>(0.303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4" w:type="dxa"/>
            <w:tcBorders>
              <w:bottom w:val="double" w:sz="6" w:space="0" w:color="000000"/>
            </w:tcBorders>
            <w:shd w:fill="FFFFFF" w:val="clear"/>
            <w:tcMar>
              <w:bottom w:w="28" w:type="dxa"/>
            </w:tcMar>
            <w:vAlign w:val="center"/>
          </w:tcPr>
          <w:p>
            <w:pPr>
              <w:pStyle w:val="TableContents"/>
              <w:bidi w:val="0"/>
              <w:spacing w:before="0" w:after="283"/>
              <w:jc w:val="right"/>
              <w:rPr/>
            </w:pPr>
            <w:r>
              <w:rPr/>
              <w:t>0.106</w:t>
            </w:r>
          </w:p>
        </w:tc>
        <w:tc>
          <w:tcPr>
            <w:tcW w:w="115" w:type="dxa"/>
            <w:tcBorders/>
            <w:shd w:fill="FFFFFF" w:val="clear"/>
            <w:vAlign w:val="center"/>
          </w:tcPr>
          <w:p>
            <w:pPr>
              <w:pStyle w:val="TableContents"/>
              <w:bidi w:val="0"/>
              <w:spacing w:before="0" w:after="283"/>
              <w:jc w:val="left"/>
              <w:rPr/>
            </w:pPr>
            <w:r>
              <w:rPr/>
              <w:t> </w:t>
            </w:r>
          </w:p>
        </w:tc>
      </w:tr>
      <w:tr>
        <w:trPr/>
        <w:tc>
          <w:tcPr>
            <w:tcW w:w="444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7" w:type="dxa"/>
            <w:tcBorders/>
            <w:shd w:fill="EEEEEE" w:val="clear"/>
            <w:vAlign w:val="center"/>
          </w:tcPr>
          <w:p>
            <w:pPr>
              <w:pStyle w:val="TableContents"/>
              <w:bidi w:val="0"/>
              <w:spacing w:before="0" w:after="283"/>
              <w:jc w:val="left"/>
              <w:rPr/>
            </w:pPr>
            <w:r>
              <w:rPr/>
              <w:t> </w:t>
            </w:r>
          </w:p>
        </w:tc>
        <w:tc>
          <w:tcPr>
            <w:tcW w:w="61" w:type="dxa"/>
            <w:tcBorders/>
            <w:shd w:fill="EEEEEE" w:val="clear"/>
            <w:vAlign w:val="center"/>
          </w:tcPr>
          <w:p>
            <w:pPr>
              <w:pStyle w:val="TableContents"/>
              <w:bidi w:val="0"/>
              <w:spacing w:before="0" w:after="283"/>
              <w:jc w:val="left"/>
              <w:rPr/>
            </w:pPr>
            <w:r>
              <w:rPr/>
              <w:t> </w:t>
            </w:r>
          </w:p>
        </w:tc>
        <w:tc>
          <w:tcPr>
            <w:tcW w:w="144" w:type="dxa"/>
            <w:tcBorders/>
            <w:shd w:fill="EEEEEE" w:val="clear"/>
            <w:vAlign w:val="center"/>
          </w:tcPr>
          <w:p>
            <w:pPr>
              <w:pStyle w:val="TableContents"/>
              <w:bidi w:val="0"/>
              <w:spacing w:before="0" w:after="283"/>
              <w:jc w:val="left"/>
              <w:rPr/>
            </w:pPr>
            <w:r>
              <w:rPr/>
              <w:t> </w:t>
            </w:r>
          </w:p>
        </w:tc>
        <w:tc>
          <w:tcPr>
            <w:tcW w:w="1132"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7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4" w:type="dxa"/>
            <w:tcBorders/>
            <w:shd w:fill="EEEEEE" w:val="clear"/>
            <w:vAlign w:val="center"/>
          </w:tcPr>
          <w:p>
            <w:pPr>
              <w:pStyle w:val="TableContents"/>
              <w:bidi w:val="0"/>
              <w:spacing w:before="0" w:after="283"/>
              <w:jc w:val="right"/>
              <w:rPr/>
            </w:pPr>
            <w:r>
              <w:rPr/>
              <w:t> </w:t>
            </w:r>
          </w:p>
        </w:tc>
        <w:tc>
          <w:tcPr>
            <w:tcW w:w="115" w:type="dxa"/>
            <w:tcBorders/>
            <w:shd w:fill="EEEEEE" w:val="clear"/>
            <w:vAlign w:val="center"/>
          </w:tcPr>
          <w:p>
            <w:pPr>
              <w:pStyle w:val="TableContents"/>
              <w:bidi w:val="0"/>
              <w:spacing w:before="0" w:after="283"/>
              <w:ind w:left="0" w:right="0" w:hanging="200"/>
              <w:jc w:val="left"/>
              <w:rPr/>
            </w:pPr>
            <w:r>
              <w:rPr/>
              <w:t> </w:t>
            </w:r>
            <w:bookmarkStart w:id="135" w:name="xdx_40D_eus-gaap--EarningsPerShareDilute"/>
            <w:bookmarkEnd w:id="135"/>
          </w:p>
        </w:tc>
      </w:tr>
      <w:tr>
        <w:trPr/>
        <w:tc>
          <w:tcPr>
            <w:tcW w:w="4447"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(0.051</w:t>
            </w:r>
          </w:p>
        </w:tc>
        <w:tc>
          <w:tcPr>
            <w:tcW w:w="97" w:type="dxa"/>
            <w:tcBorders/>
            <w:shd w:fill="FFFFFF" w:val="clear"/>
            <w:vAlign w:val="center"/>
          </w:tcPr>
          <w:p>
            <w:pPr>
              <w:pStyle w:val="TableContents"/>
              <w:bidi w:val="0"/>
              <w:spacing w:before="0" w:after="283"/>
              <w:jc w:val="left"/>
              <w:rPr/>
            </w:pPr>
            <w:r>
              <w:rPr/>
              <w:t>)</w:t>
            </w:r>
          </w:p>
        </w:tc>
        <w:tc>
          <w:tcPr>
            <w:tcW w:w="61" w:type="dxa"/>
            <w:tcBorders/>
            <w:shd w:fill="FFFFFF" w:val="clear"/>
            <w:vAlign w:val="center"/>
          </w:tcPr>
          <w:p>
            <w:pPr>
              <w:pStyle w:val="TableContents"/>
              <w:bidi w:val="0"/>
              <w:spacing w:before="0" w:after="283"/>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FFFFFF" w:val="clear"/>
            <w:tcMar>
              <w:bottom w:w="28" w:type="dxa"/>
            </w:tcMar>
            <w:vAlign w:val="center"/>
          </w:tcPr>
          <w:p>
            <w:pPr>
              <w:pStyle w:val="TableContents"/>
              <w:bidi w:val="0"/>
              <w:spacing w:before="0" w:after="283"/>
              <w:jc w:val="right"/>
              <w:rPr/>
            </w:pPr>
            <w:r>
              <w:rPr/>
              <w:t>0.042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9" w:type="dxa"/>
            <w:tcBorders>
              <w:bottom w:val="double" w:sz="6" w:space="0" w:color="000000"/>
            </w:tcBorders>
            <w:shd w:fill="FFFFFF" w:val="clear"/>
            <w:tcMar>
              <w:bottom w:w="28" w:type="dxa"/>
            </w:tcMar>
            <w:vAlign w:val="center"/>
          </w:tcPr>
          <w:p>
            <w:pPr>
              <w:pStyle w:val="TableContents"/>
              <w:bidi w:val="0"/>
              <w:spacing w:before="0" w:after="283"/>
              <w:jc w:val="right"/>
              <w:rPr/>
            </w:pPr>
            <w:r>
              <w:rPr/>
              <w:t>(0.303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4" w:type="dxa"/>
            <w:tcBorders>
              <w:bottom w:val="double" w:sz="6" w:space="0" w:color="000000"/>
            </w:tcBorders>
            <w:shd w:fill="FFFFFF" w:val="clear"/>
            <w:tcMar>
              <w:bottom w:w="28" w:type="dxa"/>
            </w:tcMar>
            <w:vAlign w:val="center"/>
          </w:tcPr>
          <w:p>
            <w:pPr>
              <w:pStyle w:val="TableContents"/>
              <w:bidi w:val="0"/>
              <w:spacing w:before="0" w:after="283"/>
              <w:jc w:val="right"/>
              <w:rPr/>
            </w:pPr>
            <w:r>
              <w:rPr/>
              <w:t>0.106</w:t>
            </w:r>
          </w:p>
        </w:tc>
        <w:tc>
          <w:tcPr>
            <w:tcW w:w="11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36" w:name="q305"/>
      <w:bookmarkEnd w:id="136"/>
      <w:r>
        <w:rPr>
          <w:rFonts w:ascii="Times New Roman;Times;Serif" w:hAnsi="Times New Roman;Times;Serif"/>
          <w:b w:val="false"/>
          <w:i w:val="false"/>
          <w:caps w:val="false"/>
          <w:smallCaps w:val="false"/>
          <w:sz w:val="20"/>
        </w:rPr>
        <w:t>Unaudited Condensed Consolidated Statements of Changes in Stockholders' Equity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March 31, 2023 and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37" w:name="xdx_308_114_zPQBH0yuNK97"/>
      <w:bookmarkStart w:id="138" w:name="xdx_308_114_zPQBH0yuNK97"/>
      <w:bookmarkEnd w:id="138"/>
    </w:p>
    <w:tbl>
      <w:tblPr>
        <w:tblW w:w="11400" w:type="dxa"/>
        <w:jc w:val="left"/>
        <w:tblInd w:w="0" w:type="dxa"/>
        <w:tblLayout w:type="fixed"/>
        <w:tblCellMar>
          <w:top w:w="0" w:type="dxa"/>
          <w:left w:w="0" w:type="dxa"/>
          <w:bottom w:w="0" w:type="dxa"/>
          <w:right w:w="0" w:type="dxa"/>
        </w:tblCellMar>
      </w:tblPr>
      <w:tblGrid>
        <w:gridCol w:w="1550"/>
        <w:gridCol w:w="60"/>
        <w:gridCol w:w="60"/>
        <w:gridCol w:w="1100"/>
        <w:gridCol w:w="60"/>
        <w:gridCol w:w="60"/>
        <w:gridCol w:w="140"/>
        <w:gridCol w:w="680"/>
        <w:gridCol w:w="60"/>
        <w:gridCol w:w="60"/>
        <w:gridCol w:w="140"/>
        <w:gridCol w:w="1100"/>
        <w:gridCol w:w="95"/>
        <w:gridCol w:w="60"/>
        <w:gridCol w:w="158"/>
        <w:gridCol w:w="1197"/>
        <w:gridCol w:w="95"/>
        <w:gridCol w:w="60"/>
        <w:gridCol w:w="240"/>
        <w:gridCol w:w="1295"/>
        <w:gridCol w:w="95"/>
        <w:gridCol w:w="60"/>
        <w:gridCol w:w="207"/>
        <w:gridCol w:w="1298"/>
        <w:gridCol w:w="95"/>
        <w:gridCol w:w="60"/>
        <w:gridCol w:w="140"/>
        <w:gridCol w:w="1100"/>
        <w:gridCol w:w="75"/>
      </w:tblGrid>
      <w:tr>
        <w:trPr/>
        <w:tc>
          <w:tcPr>
            <w:tcW w:w="1550" w:type="dxa"/>
            <w:tcBorders/>
            <w:shd w:fill="FFFFFF" w:val="clear"/>
            <w:vAlign w:val="center"/>
          </w:tcPr>
          <w:p>
            <w:pPr>
              <w:pStyle w:val="TableContents"/>
              <w:bidi w:val="0"/>
              <w:spacing w:before="0" w:after="283"/>
              <w:ind w:left="0" w:right="0" w:hanging="1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center"/>
              <w:rPr/>
            </w:pPr>
            <w:r>
              <w:rPr/>
              <w:t> </w:t>
            </w:r>
            <w:bookmarkStart w:id="139" w:name="xdx_4BE_us-gaap--StatementEquityComponen"/>
            <w:bookmarkEnd w:id="139"/>
          </w:p>
        </w:tc>
        <w:tc>
          <w:tcPr>
            <w:tcW w:w="68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40" w:name="xdx_4B7_us-gaap--StatementEquityComponen"/>
            <w:bookmarkEnd w:id="140"/>
          </w:p>
        </w:tc>
        <w:tc>
          <w:tcPr>
            <w:tcW w:w="1100"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bookmarkStart w:id="141" w:name="xdx_4BE_us-gaap--StatementEquityComponen"/>
            <w:bookmarkEnd w:id="141"/>
          </w:p>
        </w:tc>
        <w:tc>
          <w:tcPr>
            <w:tcW w:w="1197"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bookmarkStart w:id="142" w:name="xdx_4B9_us-gaap--StatementEquityComponen"/>
            <w:bookmarkEnd w:id="142"/>
          </w:p>
        </w:tc>
        <w:tc>
          <w:tcPr>
            <w:tcW w:w="1295"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bookmarkStart w:id="143" w:name="xdx_4BC_us-gaap--StatementEquityComponen"/>
            <w:bookmarkEnd w:id="143"/>
          </w:p>
        </w:tc>
        <w:tc>
          <w:tcPr>
            <w:tcW w:w="1298"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144" w:name="xdx_4B0_zBvl56VrBxVk"/>
            <w:bookmarkEnd w:id="144"/>
          </w:p>
        </w:tc>
        <w:tc>
          <w:tcPr>
            <w:tcW w:w="1100"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0" w:type="dxa"/>
            <w:gridSpan w:val="6"/>
            <w:tcBorders>
              <w:bottom w:val="single" w:sz="8" w:space="0" w:color="000000"/>
            </w:tcBorders>
            <w:tcMar>
              <w:bottom w:w="28" w:type="dxa"/>
            </w:tcMar>
            <w:vAlign w:val="center"/>
          </w:tcPr>
          <w:p>
            <w:pPr>
              <w:pStyle w:val="TableContents"/>
              <w:bidi w:val="0"/>
              <w:spacing w:before="0" w:after="283"/>
              <w:jc w:val="center"/>
              <w:rPr/>
            </w:pPr>
            <w:r>
              <w:rPr/>
              <w:t>Common Stock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center"/>
              <w:rPr/>
            </w:pPr>
            <w:r>
              <w:rPr/>
              <w:t xml:space="preserve">Additional </w:t>
              <w:br/>
              <w:t>Paid 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center"/>
              <w:rPr/>
            </w:pPr>
            <w:r>
              <w:rPr/>
              <w:t>Retained Earnings (Accumulated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center"/>
              <w:rPr/>
            </w:pPr>
            <w:r>
              <w:rPr/>
              <w:t>Non-controlling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center"/>
              <w:rPr/>
            </w:pPr>
            <w:r>
              <w:rPr/>
              <w:t>Accumulated other Comprehensive income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pPr>
            <w:r>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pPr>
            <w:r>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bottom w:val="single" w:sz="8" w:space="0" w:color="000000"/>
            </w:tcBorders>
            <w:tcMar>
              <w:bottom w:w="28" w:type="dxa"/>
            </w:tcMar>
            <w:vAlign w:val="center"/>
          </w:tcPr>
          <w:p>
            <w:pPr>
              <w:pStyle w:val="TableContents"/>
              <w:bidi w:val="0"/>
              <w:spacing w:before="0" w:after="283"/>
              <w:jc w:val="center"/>
              <w:rPr/>
            </w:pPr>
            <w:r>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bottom w:val="single" w:sz="8" w:space="0" w:color="000000"/>
            </w:tcBorders>
            <w:tcMar>
              <w:bottom w:w="28" w:type="dxa"/>
            </w:tcMar>
            <w:vAlign w:val="center"/>
          </w:tcPr>
          <w:p>
            <w:pPr>
              <w:pStyle w:val="TableContents"/>
              <w:bidi w:val="0"/>
              <w:spacing w:before="0" w:after="283"/>
              <w:jc w:val="center"/>
              <w:rPr/>
            </w:pPr>
            <w:r>
              <w:rPr/>
              <w:t>interest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bottom w:val="single" w:sz="8" w:space="0" w:color="000000"/>
            </w:tcBorders>
            <w:tcMar>
              <w:bottom w:w="28" w:type="dxa"/>
            </w:tcMar>
            <w:vAlign w:val="center"/>
          </w:tcPr>
          <w:p>
            <w:pPr>
              <w:pStyle w:val="TableContents"/>
              <w:bidi w:val="0"/>
              <w:spacing w:before="0" w:after="283"/>
              <w:jc w:val="center"/>
              <w:rPr/>
            </w:pPr>
            <w:r>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Total</w:t>
            </w:r>
          </w:p>
        </w:tc>
        <w:tc>
          <w:tcPr>
            <w:tcW w:w="75" w:type="dxa"/>
            <w:tcBorders/>
            <w:vAlign w:val="center"/>
          </w:tcPr>
          <w:p>
            <w:pPr>
              <w:pStyle w:val="TableContents"/>
              <w:bidi w:val="0"/>
              <w:spacing w:before="0" w:after="283"/>
              <w:jc w:val="left"/>
              <w:rPr/>
            </w:pPr>
            <w:r>
              <w:rPr/>
              <w:t> </w:t>
            </w:r>
          </w:p>
        </w:tc>
      </w:tr>
      <w:tr>
        <w:trPr/>
        <w:tc>
          <w:tcPr>
            <w:tcW w:w="15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3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5" w:type="dxa"/>
            <w:gridSpan w:val="2"/>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ind w:left="0" w:right="0" w:hanging="100"/>
              <w:jc w:val="left"/>
              <w:rPr/>
            </w:pPr>
            <w:r>
              <w:rPr/>
              <w:t> </w:t>
            </w:r>
            <w:bookmarkStart w:id="145" w:name="xdx_433_c20220701__20220930_eus-gaap--St"/>
            <w:bookmarkEnd w:id="145"/>
          </w:p>
        </w:tc>
      </w:tr>
      <w:tr>
        <w:trPr/>
        <w:tc>
          <w:tcPr>
            <w:tcW w:w="1550" w:type="dxa"/>
            <w:tcBorders/>
            <w:shd w:fill="EEEEEE" w:val="clear"/>
            <w:vAlign w:val="center"/>
          </w:tcPr>
          <w:p>
            <w:pPr>
              <w:pStyle w:val="TableContents"/>
              <w:bidi w:val="0"/>
              <w:spacing w:before="0" w:after="283"/>
              <w:jc w:val="left"/>
              <w:rPr/>
            </w:pPr>
            <w:r>
              <w:rPr/>
              <w:t>Balance, June 30, 2022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146" w:name="xdx_983_eus-gaap--SharesOutstanding_iS_c"/>
            <w:bookmarkEnd w:id="146"/>
          </w:p>
        </w:tc>
        <w:tc>
          <w:tcPr>
            <w:tcW w:w="1100" w:type="dxa"/>
            <w:tcBorders/>
            <w:shd w:fill="EEEEEE" w:val="clear"/>
            <w:vAlign w:val="center"/>
          </w:tcPr>
          <w:p>
            <w:pPr>
              <w:pStyle w:val="TableContents"/>
              <w:bidi w:val="0"/>
              <w:spacing w:before="0" w:after="283"/>
              <w:jc w:val="right"/>
              <w:rPr/>
            </w:pPr>
            <w:r>
              <w:rPr/>
              <w:t>29,572,382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680" w:type="dxa"/>
            <w:tcBorders/>
            <w:shd w:fill="EEEEEE" w:val="clear"/>
            <w:vAlign w:val="center"/>
          </w:tcPr>
          <w:p>
            <w:pPr>
              <w:pStyle w:val="TableContents"/>
              <w:bidi w:val="0"/>
              <w:spacing w:before="0" w:after="283"/>
              <w:jc w:val="right"/>
              <w:rPr/>
            </w:pPr>
            <w:r>
              <w:rPr/>
              <w:t>29,573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29,111,863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w:t>
            </w:r>
          </w:p>
        </w:tc>
        <w:tc>
          <w:tcPr>
            <w:tcW w:w="1197" w:type="dxa"/>
            <w:tcBorders/>
            <w:shd w:fill="EEEEEE" w:val="clear"/>
            <w:vAlign w:val="center"/>
          </w:tcPr>
          <w:p>
            <w:pPr>
              <w:pStyle w:val="TableContents"/>
              <w:bidi w:val="0"/>
              <w:spacing w:before="0" w:after="283"/>
              <w:jc w:val="right"/>
              <w:rPr/>
            </w:pPr>
            <w:r>
              <w:rPr/>
              <w:t>3,262,948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w:t>
            </w:r>
          </w:p>
        </w:tc>
        <w:tc>
          <w:tcPr>
            <w:tcW w:w="1295" w:type="dxa"/>
            <w:tcBorders/>
            <w:shd w:fill="EEEEEE" w:val="clear"/>
            <w:vAlign w:val="center"/>
          </w:tcPr>
          <w:p>
            <w:pPr>
              <w:pStyle w:val="TableContents"/>
              <w:bidi w:val="0"/>
              <w:spacing w:before="0" w:after="283"/>
              <w:jc w:val="right"/>
              <w:rPr/>
            </w:pPr>
            <w:r>
              <w:rPr/>
              <w:t>(13,232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298" w:type="dxa"/>
            <w:tcBorders/>
            <w:shd w:fill="EEEEEE" w:val="clear"/>
            <w:vAlign w:val="center"/>
          </w:tcPr>
          <w:p>
            <w:pPr>
              <w:pStyle w:val="TableContents"/>
              <w:bidi w:val="0"/>
              <w:spacing w:before="0" w:after="283"/>
              <w:jc w:val="right"/>
              <w:rPr/>
            </w:pPr>
            <w:r>
              <w:rPr/>
              <w:t>5,678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32,396,830</w:t>
            </w:r>
          </w:p>
        </w:tc>
        <w:tc>
          <w:tcPr>
            <w:tcW w:w="75" w:type="dxa"/>
            <w:tcBorders/>
            <w:shd w:fill="EEEEEE" w:val="clear"/>
            <w:vAlign w:val="center"/>
          </w:tcPr>
          <w:p>
            <w:pPr>
              <w:pStyle w:val="TableContents"/>
              <w:bidi w:val="0"/>
              <w:spacing w:before="0" w:after="283"/>
              <w:ind w:left="0" w:right="0" w:hanging="100"/>
              <w:jc w:val="left"/>
              <w:rPr/>
            </w:pPr>
            <w:r>
              <w:rPr/>
              <w:t> </w:t>
            </w:r>
            <w:bookmarkStart w:id="147" w:name="xdx_404_eus-gaap--ProfitLoss_i_pp0p0"/>
            <w:bookmarkEnd w:id="147"/>
          </w:p>
        </w:tc>
      </w:tr>
      <w:tr>
        <w:trPr/>
        <w:tc>
          <w:tcPr>
            <w:tcW w:w="155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(4,182,376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(2,805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(4,185,181</w:t>
            </w:r>
          </w:p>
        </w:tc>
        <w:tc>
          <w:tcPr>
            <w:tcW w:w="75" w:type="dxa"/>
            <w:tcBorders/>
            <w:shd w:fill="FFFFFF" w:val="clear"/>
            <w:vAlign w:val="center"/>
          </w:tcPr>
          <w:p>
            <w:pPr>
              <w:pStyle w:val="TableContents"/>
              <w:bidi w:val="0"/>
              <w:spacing w:before="0" w:after="283"/>
              <w:ind w:left="0" w:right="0" w:hanging="100"/>
              <w:jc w:val="left"/>
              <w:rPr/>
            </w:pPr>
            <w:r>
              <w:rPr/>
              <w:t>)</w:t>
            </w:r>
            <w:bookmarkStart w:id="148" w:name="xdx_409_eus-gaap--AdjustmentsToAdditiona"/>
            <w:bookmarkEnd w:id="148"/>
          </w:p>
        </w:tc>
      </w:tr>
      <w:tr>
        <w:trPr/>
        <w:tc>
          <w:tcPr>
            <w:tcW w:w="1550" w:type="dxa"/>
            <w:tcBorders/>
            <w:shd w:fill="EEEEEE" w:val="clear"/>
            <w:vAlign w:val="center"/>
          </w:tcPr>
          <w:p>
            <w:pPr>
              <w:pStyle w:val="TableContents"/>
              <w:bidi w:val="0"/>
              <w:spacing w:before="0" w:after="283"/>
              <w:jc w:val="left"/>
              <w:rPr/>
            </w:pPr>
            <w:r>
              <w:rPr/>
              <w:t>Stock-based compensation</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137,882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 </w:t>
            </w:r>
          </w:p>
        </w:tc>
        <w:tc>
          <w:tcPr>
            <w:tcW w:w="1197"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 </w:t>
            </w:r>
          </w:p>
        </w:tc>
        <w:tc>
          <w:tcPr>
            <w:tcW w:w="129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137,882</w:t>
            </w:r>
          </w:p>
        </w:tc>
        <w:tc>
          <w:tcPr>
            <w:tcW w:w="75" w:type="dxa"/>
            <w:tcBorders/>
            <w:shd w:fill="EEEEEE" w:val="clear"/>
            <w:vAlign w:val="center"/>
          </w:tcPr>
          <w:p>
            <w:pPr>
              <w:pStyle w:val="TableContents"/>
              <w:bidi w:val="0"/>
              <w:spacing w:before="0" w:after="283"/>
              <w:ind w:left="0" w:right="0" w:hanging="100"/>
              <w:jc w:val="left"/>
              <w:rPr/>
            </w:pPr>
            <w:r>
              <w:rPr/>
              <w:t> </w:t>
            </w:r>
            <w:bookmarkStart w:id="149" w:name="xdx_405_eus-gaap--OtherComprehensiveInco"/>
            <w:bookmarkEnd w:id="149"/>
          </w:p>
        </w:tc>
      </w:tr>
      <w:tr>
        <w:trPr/>
        <w:tc>
          <w:tcPr>
            <w:tcW w:w="155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FFFFFF" w:val="clear"/>
            <w:tcMar>
              <w:bottom w:w="28" w:type="dxa"/>
            </w:tcMar>
            <w:vAlign w:val="center"/>
          </w:tcPr>
          <w:p>
            <w:pPr>
              <w:pStyle w:val="TableContents"/>
              <w:bidi w:val="0"/>
              <w:spacing w:before="0" w:after="283"/>
              <w:jc w:val="right"/>
              <w:rPr/>
            </w:pPr>
            <w:r>
              <w:rPr/>
              <w:t>(111,475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(111,475</w:t>
            </w:r>
          </w:p>
        </w:tc>
        <w:tc>
          <w:tcPr>
            <w:tcW w:w="75" w:type="dxa"/>
            <w:tcBorders/>
            <w:shd w:fill="FFFFFF" w:val="clear"/>
            <w:vAlign w:val="center"/>
          </w:tcPr>
          <w:p>
            <w:pPr>
              <w:pStyle w:val="TableContents"/>
              <w:bidi w:val="0"/>
              <w:spacing w:before="0" w:after="283"/>
              <w:ind w:left="0" w:right="0" w:hanging="100"/>
              <w:jc w:val="left"/>
              <w:rPr/>
            </w:pPr>
            <w:r>
              <w:rPr/>
              <w:t>)</w:t>
            </w:r>
            <w:bookmarkStart w:id="150" w:name="xdx_43C_c20221001__20221231_eus-gaap--St"/>
            <w:bookmarkEnd w:id="150"/>
          </w:p>
        </w:tc>
      </w:tr>
      <w:tr>
        <w:trPr/>
        <w:tc>
          <w:tcPr>
            <w:tcW w:w="1550" w:type="dxa"/>
            <w:tcBorders/>
            <w:shd w:fill="EEEEEE" w:val="clear"/>
            <w:vAlign w:val="center"/>
          </w:tcPr>
          <w:p>
            <w:pPr>
              <w:pStyle w:val="TableContents"/>
              <w:bidi w:val="0"/>
              <w:spacing w:before="0" w:after="283"/>
              <w:jc w:val="left"/>
              <w:rPr/>
            </w:pPr>
            <w:r>
              <w:rPr/>
              <w:t>Balance, September 30, 2022, unaudited</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151" w:name="xdx_989_eus-gaap--SharesOutstanding_iS_c"/>
            <w:bookmarkEnd w:id="151"/>
          </w:p>
        </w:tc>
        <w:tc>
          <w:tcPr>
            <w:tcW w:w="1100" w:type="dxa"/>
            <w:tcBorders/>
            <w:shd w:fill="EEEEEE" w:val="clear"/>
            <w:vAlign w:val="center"/>
          </w:tcPr>
          <w:p>
            <w:pPr>
              <w:pStyle w:val="TableContents"/>
              <w:bidi w:val="0"/>
              <w:spacing w:before="0" w:after="283"/>
              <w:jc w:val="right"/>
              <w:rPr/>
            </w:pPr>
            <w:r>
              <w:rPr/>
              <w:t>29,572,382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29,573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29,249,745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 </w:t>
            </w:r>
          </w:p>
        </w:tc>
        <w:tc>
          <w:tcPr>
            <w:tcW w:w="1197" w:type="dxa"/>
            <w:tcBorders/>
            <w:shd w:fill="EEEEEE" w:val="clear"/>
            <w:vAlign w:val="center"/>
          </w:tcPr>
          <w:p>
            <w:pPr>
              <w:pStyle w:val="TableContents"/>
              <w:bidi w:val="0"/>
              <w:spacing w:before="0" w:after="283"/>
              <w:jc w:val="right"/>
              <w:rPr/>
            </w:pPr>
            <w:r>
              <w:rPr/>
              <w:t>(919,428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 </w:t>
            </w:r>
          </w:p>
        </w:tc>
        <w:tc>
          <w:tcPr>
            <w:tcW w:w="1295" w:type="dxa"/>
            <w:tcBorders/>
            <w:shd w:fill="EEEEEE" w:val="clear"/>
            <w:vAlign w:val="center"/>
          </w:tcPr>
          <w:p>
            <w:pPr>
              <w:pStyle w:val="TableContents"/>
              <w:bidi w:val="0"/>
              <w:spacing w:before="0" w:after="283"/>
              <w:jc w:val="right"/>
              <w:rPr/>
            </w:pPr>
            <w:r>
              <w:rPr/>
              <w:t>(16,037</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(105,797</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28,238,056</w:t>
            </w:r>
          </w:p>
        </w:tc>
        <w:tc>
          <w:tcPr>
            <w:tcW w:w="75" w:type="dxa"/>
            <w:tcBorders/>
            <w:shd w:fill="EEEEEE" w:val="clear"/>
            <w:vAlign w:val="center"/>
          </w:tcPr>
          <w:p>
            <w:pPr>
              <w:pStyle w:val="TableContents"/>
              <w:bidi w:val="0"/>
              <w:spacing w:before="0" w:after="283"/>
              <w:ind w:left="0" w:right="0" w:hanging="100"/>
              <w:jc w:val="left"/>
              <w:rPr/>
            </w:pPr>
            <w:r>
              <w:rPr/>
              <w:t> </w:t>
            </w:r>
            <w:bookmarkStart w:id="152" w:name="xdx_40F_eus-gaap--ProfitLoss_zkGIRdWvIYq"/>
            <w:bookmarkEnd w:id="152"/>
          </w:p>
        </w:tc>
      </w:tr>
      <w:tr>
        <w:trPr/>
        <w:tc>
          <w:tcPr>
            <w:tcW w:w="155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(3,290,439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(2,835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(3,293,274</w:t>
            </w:r>
          </w:p>
        </w:tc>
        <w:tc>
          <w:tcPr>
            <w:tcW w:w="75" w:type="dxa"/>
            <w:tcBorders/>
            <w:shd w:fill="FFFFFF" w:val="clear"/>
            <w:vAlign w:val="center"/>
          </w:tcPr>
          <w:p>
            <w:pPr>
              <w:pStyle w:val="TableContents"/>
              <w:bidi w:val="0"/>
              <w:spacing w:before="0" w:after="283"/>
              <w:ind w:left="0" w:right="0" w:hanging="100"/>
              <w:jc w:val="left"/>
              <w:rPr/>
            </w:pPr>
            <w:r>
              <w:rPr/>
              <w:t>)</w:t>
            </w:r>
            <w:bookmarkStart w:id="153" w:name="xdx_402_eus-gaap--AdjustmentsToAdditiona"/>
            <w:bookmarkEnd w:id="153"/>
          </w:p>
        </w:tc>
      </w:tr>
      <w:tr>
        <w:trPr/>
        <w:tc>
          <w:tcPr>
            <w:tcW w:w="1550" w:type="dxa"/>
            <w:tcBorders/>
            <w:shd w:fill="EEEEEE" w:val="clear"/>
            <w:vAlign w:val="center"/>
          </w:tcPr>
          <w:p>
            <w:pPr>
              <w:pStyle w:val="TableContents"/>
              <w:bidi w:val="0"/>
              <w:spacing w:before="0" w:after="283"/>
              <w:jc w:val="left"/>
              <w:rPr/>
            </w:pPr>
            <w:r>
              <w:rPr/>
              <w:t>Stock-based compensation</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132,266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 </w:t>
            </w:r>
          </w:p>
        </w:tc>
        <w:tc>
          <w:tcPr>
            <w:tcW w:w="1197"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 </w:t>
            </w:r>
          </w:p>
        </w:tc>
        <w:tc>
          <w:tcPr>
            <w:tcW w:w="129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132,266</w:t>
            </w:r>
          </w:p>
        </w:tc>
        <w:tc>
          <w:tcPr>
            <w:tcW w:w="75" w:type="dxa"/>
            <w:tcBorders/>
            <w:shd w:fill="EEEEEE" w:val="clear"/>
            <w:vAlign w:val="center"/>
          </w:tcPr>
          <w:p>
            <w:pPr>
              <w:pStyle w:val="TableContents"/>
              <w:bidi w:val="0"/>
              <w:spacing w:before="0" w:after="283"/>
              <w:ind w:left="0" w:right="0" w:hanging="100"/>
              <w:jc w:val="left"/>
              <w:rPr/>
            </w:pPr>
            <w:r>
              <w:rPr/>
              <w:t> </w:t>
            </w:r>
            <w:bookmarkStart w:id="154" w:name="xdx_40D_eus-gaap--OtherComprehensiveInco"/>
            <w:bookmarkEnd w:id="154"/>
          </w:p>
        </w:tc>
      </w:tr>
      <w:tr>
        <w:trPr/>
        <w:tc>
          <w:tcPr>
            <w:tcW w:w="155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FFFFFF" w:val="clear"/>
            <w:tcMar>
              <w:bottom w:w="28" w:type="dxa"/>
            </w:tcMar>
            <w:vAlign w:val="center"/>
          </w:tcPr>
          <w:p>
            <w:pPr>
              <w:pStyle w:val="TableContents"/>
              <w:bidi w:val="0"/>
              <w:spacing w:before="0" w:after="283"/>
              <w:jc w:val="right"/>
              <w:rPr/>
            </w:pPr>
            <w:r>
              <w:rPr/>
              <w:t>47,149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47,149</w:t>
            </w:r>
          </w:p>
        </w:tc>
        <w:tc>
          <w:tcPr>
            <w:tcW w:w="75" w:type="dxa"/>
            <w:tcBorders/>
            <w:shd w:fill="FFFFFF" w:val="clear"/>
            <w:vAlign w:val="center"/>
          </w:tcPr>
          <w:p>
            <w:pPr>
              <w:pStyle w:val="TableContents"/>
              <w:bidi w:val="0"/>
              <w:spacing w:before="0" w:after="283"/>
              <w:ind w:left="0" w:right="0" w:hanging="100"/>
              <w:jc w:val="left"/>
              <w:rPr/>
            </w:pPr>
            <w:r>
              <w:rPr/>
              <w:t> </w:t>
            </w:r>
            <w:bookmarkStart w:id="155" w:name="xdx_433_c20230101__20230331_eus-gaap--St"/>
            <w:bookmarkEnd w:id="155"/>
          </w:p>
        </w:tc>
      </w:tr>
      <w:tr>
        <w:trPr/>
        <w:tc>
          <w:tcPr>
            <w:tcW w:w="1550" w:type="dxa"/>
            <w:tcBorders/>
            <w:shd w:fill="EEEEEE" w:val="clear"/>
            <w:vAlign w:val="center"/>
          </w:tcPr>
          <w:p>
            <w:pPr>
              <w:pStyle w:val="TableContents"/>
              <w:bidi w:val="0"/>
              <w:spacing w:before="0" w:after="283"/>
              <w:jc w:val="left"/>
              <w:rPr/>
            </w:pPr>
            <w:r>
              <w:rPr/>
              <w:t>Balance, December 31, 2022, unaudited</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156" w:name="xdx_988_eus-gaap--SharesOutstanding_iS_c"/>
            <w:bookmarkEnd w:id="156"/>
          </w:p>
        </w:tc>
        <w:tc>
          <w:tcPr>
            <w:tcW w:w="1100" w:type="dxa"/>
            <w:tcBorders/>
            <w:shd w:fill="EEEEEE" w:val="clear"/>
            <w:vAlign w:val="center"/>
          </w:tcPr>
          <w:p>
            <w:pPr>
              <w:pStyle w:val="TableContents"/>
              <w:bidi w:val="0"/>
              <w:spacing w:before="0" w:after="283"/>
              <w:jc w:val="right"/>
              <w:rPr/>
            </w:pPr>
            <w:r>
              <w:rPr/>
              <w:t>29,572,382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29,573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29,382,011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 </w:t>
            </w:r>
          </w:p>
        </w:tc>
        <w:tc>
          <w:tcPr>
            <w:tcW w:w="1197" w:type="dxa"/>
            <w:tcBorders/>
            <w:shd w:fill="EEEEEE" w:val="clear"/>
            <w:vAlign w:val="center"/>
          </w:tcPr>
          <w:p>
            <w:pPr>
              <w:pStyle w:val="TableContents"/>
              <w:bidi w:val="0"/>
              <w:spacing w:before="0" w:after="283"/>
              <w:jc w:val="right"/>
              <w:rPr/>
            </w:pPr>
            <w:r>
              <w:rPr/>
              <w:t>(4,209,867</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 </w:t>
            </w:r>
          </w:p>
        </w:tc>
        <w:tc>
          <w:tcPr>
            <w:tcW w:w="1295" w:type="dxa"/>
            <w:tcBorders/>
            <w:shd w:fill="EEEEEE" w:val="clear"/>
            <w:vAlign w:val="center"/>
          </w:tcPr>
          <w:p>
            <w:pPr>
              <w:pStyle w:val="TableContents"/>
              <w:bidi w:val="0"/>
              <w:spacing w:before="0" w:after="283"/>
              <w:jc w:val="right"/>
              <w:rPr/>
            </w:pPr>
            <w:r>
              <w:rPr/>
              <w:t>(18,872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(58,648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25,124,197</w:t>
            </w:r>
          </w:p>
        </w:tc>
        <w:tc>
          <w:tcPr>
            <w:tcW w:w="75" w:type="dxa"/>
            <w:tcBorders/>
            <w:shd w:fill="EEEEEE" w:val="clear"/>
            <w:vAlign w:val="center"/>
          </w:tcPr>
          <w:p>
            <w:pPr>
              <w:pStyle w:val="TableContents"/>
              <w:bidi w:val="0"/>
              <w:spacing w:before="0" w:after="283"/>
              <w:ind w:left="0" w:right="0" w:hanging="100"/>
              <w:jc w:val="left"/>
              <w:rPr/>
            </w:pPr>
            <w:r>
              <w:rPr/>
              <w:t> </w:t>
            </w:r>
            <w:bookmarkStart w:id="157" w:name="xdx_404_eus-gaap--ProfitLoss_zC8h7wOymk0"/>
            <w:bookmarkEnd w:id="157"/>
          </w:p>
        </w:tc>
      </w:tr>
      <w:tr>
        <w:trPr/>
        <w:tc>
          <w:tcPr>
            <w:tcW w:w="155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(1,530,534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(3,238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(1,533,772</w:t>
            </w:r>
          </w:p>
        </w:tc>
        <w:tc>
          <w:tcPr>
            <w:tcW w:w="75" w:type="dxa"/>
            <w:tcBorders/>
            <w:shd w:fill="FFFFFF" w:val="clear"/>
            <w:vAlign w:val="center"/>
          </w:tcPr>
          <w:p>
            <w:pPr>
              <w:pStyle w:val="TableContents"/>
              <w:bidi w:val="0"/>
              <w:spacing w:before="0" w:after="283"/>
              <w:ind w:left="0" w:right="0" w:hanging="100"/>
              <w:jc w:val="left"/>
              <w:rPr/>
            </w:pPr>
            <w:r>
              <w:rPr/>
              <w:t>)</w:t>
            </w:r>
            <w:bookmarkStart w:id="158" w:name="xdx_40A_eus-gaap--AdjustmentsToAdditiona"/>
            <w:bookmarkEnd w:id="158"/>
          </w:p>
        </w:tc>
      </w:tr>
      <w:tr>
        <w:trPr/>
        <w:tc>
          <w:tcPr>
            <w:tcW w:w="1550" w:type="dxa"/>
            <w:tcBorders/>
            <w:shd w:fill="EEEEEE" w:val="clear"/>
            <w:vAlign w:val="center"/>
          </w:tcPr>
          <w:p>
            <w:pPr>
              <w:pStyle w:val="TableContents"/>
              <w:bidi w:val="0"/>
              <w:spacing w:before="0" w:after="283"/>
              <w:jc w:val="left"/>
              <w:rPr/>
            </w:pPr>
            <w:r>
              <w:rPr/>
              <w:t>Stock-based compensation</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117,574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 </w:t>
            </w:r>
          </w:p>
        </w:tc>
        <w:tc>
          <w:tcPr>
            <w:tcW w:w="1197"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 </w:t>
            </w:r>
          </w:p>
        </w:tc>
        <w:tc>
          <w:tcPr>
            <w:tcW w:w="129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117,574</w:t>
            </w:r>
          </w:p>
        </w:tc>
        <w:tc>
          <w:tcPr>
            <w:tcW w:w="75" w:type="dxa"/>
            <w:tcBorders/>
            <w:shd w:fill="EEEEEE" w:val="clear"/>
            <w:vAlign w:val="center"/>
          </w:tcPr>
          <w:p>
            <w:pPr>
              <w:pStyle w:val="TableContents"/>
              <w:bidi w:val="0"/>
              <w:spacing w:before="0" w:after="283"/>
              <w:ind w:left="0" w:right="0" w:hanging="100"/>
              <w:jc w:val="left"/>
              <w:rPr/>
            </w:pPr>
            <w:r>
              <w:rPr/>
              <w:t> </w:t>
            </w:r>
            <w:bookmarkStart w:id="159" w:name="xdx_402_eus-gaap--OtherComprehensiveInco"/>
            <w:bookmarkEnd w:id="159"/>
          </w:p>
        </w:tc>
      </w:tr>
      <w:tr>
        <w:trPr/>
        <w:tc>
          <w:tcPr>
            <w:tcW w:w="1550" w:type="dxa"/>
            <w:tcBorders/>
            <w:shd w:fill="FFFFFF" w:val="clear"/>
            <w:vAlign w:val="center"/>
          </w:tcPr>
          <w:p>
            <w:pPr>
              <w:pStyle w:val="TableContents"/>
              <w:bidi w:val="0"/>
              <w:spacing w:before="0" w:after="283"/>
              <w:jc w:val="left"/>
              <w:rPr/>
            </w:pPr>
            <w:r>
              <w:rPr/>
              <w:t>Foreign currency translation adjustments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FFFFFF" w:val="clear"/>
            <w:tcMar>
              <w:bottom w:w="28" w:type="dxa"/>
            </w:tcMar>
            <w:vAlign w:val="center"/>
          </w:tcPr>
          <w:p>
            <w:pPr>
              <w:pStyle w:val="TableContents"/>
              <w:bidi w:val="0"/>
              <w:spacing w:before="0" w:after="283"/>
              <w:jc w:val="right"/>
              <w:rPr/>
            </w:pPr>
            <w:r>
              <w:rPr/>
              <w:t>17,604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17,604</w:t>
            </w:r>
          </w:p>
        </w:tc>
        <w:tc>
          <w:tcPr>
            <w:tcW w:w="75" w:type="dxa"/>
            <w:tcBorders/>
            <w:shd w:fill="FFFFFF" w:val="clear"/>
            <w:vAlign w:val="center"/>
          </w:tcPr>
          <w:p>
            <w:pPr>
              <w:pStyle w:val="TableContents"/>
              <w:bidi w:val="0"/>
              <w:spacing w:before="0" w:after="283"/>
              <w:ind w:left="0" w:right="0" w:hanging="100"/>
              <w:jc w:val="left"/>
              <w:rPr/>
            </w:pPr>
            <w:r>
              <w:rPr/>
              <w:t> </w:t>
            </w:r>
            <w:bookmarkStart w:id="160" w:name="xdx_430_c20230101__20230331_eus-gaap--St"/>
            <w:bookmarkEnd w:id="160"/>
          </w:p>
        </w:tc>
      </w:tr>
      <w:tr>
        <w:trPr/>
        <w:tc>
          <w:tcPr>
            <w:tcW w:w="1550" w:type="dxa"/>
            <w:tcBorders/>
            <w:shd w:fill="EEEEEE" w:val="clear"/>
            <w:vAlign w:val="center"/>
          </w:tcPr>
          <w:p>
            <w:pPr>
              <w:pStyle w:val="TableContents"/>
              <w:bidi w:val="0"/>
              <w:spacing w:before="0" w:after="283"/>
              <w:jc w:val="left"/>
              <w:rPr/>
            </w:pPr>
            <w:r>
              <w:rPr/>
              <w:t>Balance, March 31, 2023, unaudited</w:t>
            </w:r>
          </w:p>
        </w:tc>
        <w:tc>
          <w:tcPr>
            <w:tcW w:w="60" w:type="dxa"/>
            <w:tcBorders/>
            <w:shd w:fill="EEEEEE" w:val="clear"/>
            <w:vAlign w:val="center"/>
          </w:tcPr>
          <w:p>
            <w:pPr>
              <w:pStyle w:val="TableContents"/>
              <w:bidi w:val="0"/>
              <w:spacing w:before="0" w:after="283"/>
              <w:jc w:val="left"/>
              <w:rPr/>
            </w:pPr>
            <w:r>
              <w:rPr/>
              <w:t> </w:t>
            </w:r>
          </w:p>
        </w:tc>
        <w:tc>
          <w:tcPr>
            <w:tcW w:w="60"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161" w:name="xdx_988_eus-gaap--SharesOutstanding_iE_c"/>
            <w:bookmarkEnd w:id="161"/>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29,572,382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EEEEEE" w:val="clear"/>
            <w:tcMar>
              <w:bottom w:w="28" w:type="dxa"/>
            </w:tcMar>
            <w:vAlign w:val="center"/>
          </w:tcPr>
          <w:p>
            <w:pPr>
              <w:pStyle w:val="TableContents"/>
              <w:bidi w:val="0"/>
              <w:spacing w:before="0" w:after="283"/>
              <w:jc w:val="right"/>
              <w:rPr/>
            </w:pPr>
            <w:r>
              <w:rPr/>
              <w:t>29,573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29,499,585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EEEEEE" w:val="clear"/>
            <w:tcMar>
              <w:bottom w:w="28" w:type="dxa"/>
            </w:tcMar>
            <w:vAlign w:val="center"/>
          </w:tcPr>
          <w:p>
            <w:pPr>
              <w:pStyle w:val="TableContents"/>
              <w:bidi w:val="0"/>
              <w:spacing w:before="0" w:after="283"/>
              <w:jc w:val="right"/>
              <w:rPr/>
            </w:pPr>
            <w:r>
              <w:rPr/>
              <w:t>(5,740,401</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EEEEEE" w:val="clear"/>
            <w:tcMar>
              <w:bottom w:w="28" w:type="dxa"/>
            </w:tcMar>
            <w:vAlign w:val="center"/>
          </w:tcPr>
          <w:p>
            <w:pPr>
              <w:pStyle w:val="TableContents"/>
              <w:bidi w:val="0"/>
              <w:spacing w:before="0" w:after="283"/>
              <w:jc w:val="right"/>
              <w:rPr/>
            </w:pPr>
            <w:r>
              <w:rPr/>
              <w:t>(22,110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207"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98" w:type="dxa"/>
            <w:tcBorders>
              <w:bottom w:val="double" w:sz="6" w:space="0" w:color="000000"/>
            </w:tcBorders>
            <w:shd w:fill="EEEEEE" w:val="clear"/>
            <w:tcMar>
              <w:bottom w:w="28" w:type="dxa"/>
            </w:tcMar>
            <w:vAlign w:val="center"/>
          </w:tcPr>
          <w:p>
            <w:pPr>
              <w:pStyle w:val="TableContents"/>
              <w:bidi w:val="0"/>
              <w:spacing w:before="0" w:after="283"/>
              <w:jc w:val="right"/>
              <w:rPr/>
            </w:pPr>
            <w:r>
              <w:rPr/>
              <w:t>(41,044</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23,725,603</w:t>
            </w:r>
          </w:p>
        </w:tc>
        <w:tc>
          <w:tcPr>
            <w:tcW w:w="75" w:type="dxa"/>
            <w:tcBorders/>
            <w:shd w:fill="EEEEEE" w:val="clear"/>
            <w:vAlign w:val="center"/>
          </w:tcPr>
          <w:p>
            <w:pPr>
              <w:pStyle w:val="TableContents"/>
              <w:bidi w:val="0"/>
              <w:spacing w:before="0" w:after="283"/>
              <w:jc w:val="left"/>
              <w:rPr/>
            </w:pPr>
            <w:r>
              <w:rPr/>
              <w:t> </w:t>
            </w:r>
          </w:p>
        </w:tc>
      </w:tr>
      <w:tr>
        <w:trPr/>
        <w:tc>
          <w:tcPr>
            <w:tcW w:w="15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00"/>
              <w:jc w:val="left"/>
              <w:rPr/>
            </w:pPr>
            <w:r>
              <w:rPr/>
              <w:t> </w:t>
            </w:r>
            <w:bookmarkStart w:id="162" w:name="xdx_430_c20210701__20210930_eus-gaap--St"/>
            <w:bookmarkEnd w:id="162"/>
          </w:p>
        </w:tc>
      </w:tr>
      <w:tr>
        <w:trPr/>
        <w:tc>
          <w:tcPr>
            <w:tcW w:w="1550" w:type="dxa"/>
            <w:tcBorders/>
            <w:shd w:fill="EEEEEE" w:val="clear"/>
            <w:vAlign w:val="center"/>
          </w:tcPr>
          <w:p>
            <w:pPr>
              <w:pStyle w:val="TableContents"/>
              <w:bidi w:val="0"/>
              <w:spacing w:before="0" w:after="283"/>
              <w:jc w:val="left"/>
              <w:rPr/>
            </w:pPr>
            <w:r>
              <w:rPr/>
              <w:t>Balance, June 30, 2021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bookmarkStart w:id="163" w:name="xdx_986_eus-gaap--SharesOutstanding_iS_c"/>
            <w:bookmarkEnd w:id="163"/>
          </w:p>
        </w:tc>
        <w:tc>
          <w:tcPr>
            <w:tcW w:w="1100" w:type="dxa"/>
            <w:tcBorders/>
            <w:shd w:fill="EEEEEE" w:val="clear"/>
            <w:vAlign w:val="center"/>
          </w:tcPr>
          <w:p>
            <w:pPr>
              <w:pStyle w:val="TableContents"/>
              <w:bidi w:val="0"/>
              <w:spacing w:before="0" w:after="283"/>
              <w:jc w:val="right"/>
              <w:rPr/>
            </w:pPr>
            <w:r>
              <w:rPr/>
              <w:t>26,448,663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680" w:type="dxa"/>
            <w:tcBorders/>
            <w:shd w:fill="EEEEEE" w:val="clear"/>
            <w:vAlign w:val="center"/>
          </w:tcPr>
          <w:p>
            <w:pPr>
              <w:pStyle w:val="TableContents"/>
              <w:bidi w:val="0"/>
              <w:spacing w:before="0" w:after="283"/>
              <w:jc w:val="right"/>
              <w:rPr/>
            </w:pPr>
            <w:r>
              <w:rPr/>
              <w:t>26,449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23,214,263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w:t>
            </w:r>
          </w:p>
        </w:tc>
        <w:tc>
          <w:tcPr>
            <w:tcW w:w="1197" w:type="dxa"/>
            <w:tcBorders/>
            <w:shd w:fill="EEEEEE" w:val="clear"/>
            <w:vAlign w:val="center"/>
          </w:tcPr>
          <w:p>
            <w:pPr>
              <w:pStyle w:val="TableContents"/>
              <w:bidi w:val="0"/>
              <w:spacing w:before="0" w:after="283"/>
              <w:jc w:val="right"/>
              <w:rPr/>
            </w:pPr>
            <w:r>
              <w:rPr/>
              <w:t>1,745,073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w:t>
            </w:r>
          </w:p>
        </w:tc>
        <w:tc>
          <w:tcPr>
            <w:tcW w:w="129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w:t>
            </w:r>
          </w:p>
        </w:tc>
        <w:tc>
          <w:tcPr>
            <w:tcW w:w="1298"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24,985,785</w:t>
            </w:r>
          </w:p>
        </w:tc>
        <w:tc>
          <w:tcPr>
            <w:tcW w:w="75" w:type="dxa"/>
            <w:tcBorders/>
            <w:shd w:fill="EEEEEE" w:val="clear"/>
            <w:vAlign w:val="center"/>
          </w:tcPr>
          <w:p>
            <w:pPr>
              <w:pStyle w:val="TableContents"/>
              <w:bidi w:val="0"/>
              <w:spacing w:before="0" w:after="283"/>
              <w:ind w:left="0" w:right="0" w:hanging="100"/>
              <w:jc w:val="left"/>
              <w:rPr/>
            </w:pPr>
            <w:r>
              <w:rPr/>
              <w:t> </w:t>
            </w:r>
            <w:bookmarkStart w:id="164" w:name="xdx_40A_eus-gaap--ProfitLoss_zW0MfrkVRoF"/>
            <w:bookmarkEnd w:id="164"/>
          </w:p>
        </w:tc>
      </w:tr>
      <w:tr>
        <w:trPr/>
        <w:tc>
          <w:tcPr>
            <w:tcW w:w="1550" w:type="dxa"/>
            <w:tcBorders/>
            <w:shd w:fill="FFFFFF" w:val="clear"/>
            <w:vAlign w:val="center"/>
          </w:tcPr>
          <w:p>
            <w:pPr>
              <w:pStyle w:val="TableContents"/>
              <w:bidi w:val="0"/>
              <w:spacing w:before="0" w:after="283"/>
              <w:jc w:val="left"/>
              <w:rPr/>
            </w:pPr>
            <w:r>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887,528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887,528</w:t>
            </w:r>
          </w:p>
        </w:tc>
        <w:tc>
          <w:tcPr>
            <w:tcW w:w="75" w:type="dxa"/>
            <w:tcBorders/>
            <w:shd w:fill="FFFFFF" w:val="clear"/>
            <w:vAlign w:val="center"/>
          </w:tcPr>
          <w:p>
            <w:pPr>
              <w:pStyle w:val="TableContents"/>
              <w:bidi w:val="0"/>
              <w:spacing w:before="0" w:after="283"/>
              <w:ind w:left="0" w:right="0" w:hanging="100"/>
              <w:jc w:val="left"/>
              <w:rPr/>
            </w:pPr>
            <w:r>
              <w:rPr/>
              <w:t> </w:t>
            </w:r>
            <w:bookmarkStart w:id="165" w:name="xdx_406_eus-gaap--RestrictedStockExpense"/>
            <w:bookmarkEnd w:id="165"/>
          </w:p>
        </w:tc>
      </w:tr>
      <w:tr>
        <w:trPr/>
        <w:tc>
          <w:tcPr>
            <w:tcW w:w="1550" w:type="dxa"/>
            <w:tcBorders/>
            <w:shd w:fill="EEEEEE" w:val="clear"/>
            <w:vAlign w:val="center"/>
          </w:tcPr>
          <w:p>
            <w:pPr>
              <w:pStyle w:val="TableContents"/>
              <w:bidi w:val="0"/>
              <w:spacing w:before="0" w:after="283"/>
              <w:jc w:val="left"/>
              <w:rPr/>
            </w:pPr>
            <w:r>
              <w:rPr/>
              <w:t>Restricted stock units vested</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103,054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103,054</w:t>
            </w:r>
          </w:p>
        </w:tc>
        <w:tc>
          <w:tcPr>
            <w:tcW w:w="75" w:type="dxa"/>
            <w:tcBorders/>
            <w:shd w:fill="EEEEEE" w:val="clear"/>
            <w:vAlign w:val="center"/>
          </w:tcPr>
          <w:p>
            <w:pPr>
              <w:pStyle w:val="TableContents"/>
              <w:bidi w:val="0"/>
              <w:spacing w:before="0" w:after="283"/>
              <w:ind w:left="0" w:right="0" w:hanging="100"/>
              <w:jc w:val="left"/>
              <w:rPr/>
            </w:pPr>
            <w:r>
              <w:rPr/>
              <w:t> </w:t>
            </w:r>
            <w:bookmarkStart w:id="166" w:name="xdx_433_c20211001__20211231_eus-gaap--St"/>
            <w:bookmarkEnd w:id="166"/>
          </w:p>
        </w:tc>
      </w:tr>
      <w:tr>
        <w:trPr/>
        <w:tc>
          <w:tcPr>
            <w:tcW w:w="1550" w:type="dxa"/>
            <w:tcBorders/>
            <w:shd w:fill="FFFFFF" w:val="clear"/>
            <w:vAlign w:val="center"/>
          </w:tcPr>
          <w:p>
            <w:pPr>
              <w:pStyle w:val="TableContents"/>
              <w:bidi w:val="0"/>
              <w:spacing w:before="0" w:after="283"/>
              <w:jc w:val="left"/>
              <w:rPr/>
            </w:pPr>
            <w:r>
              <w:rPr/>
              <w:t>Balance, September 30, 2021, unaudited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7" w:name="xdx_987_eus-gaap--SharesOutstanding_iS_c"/>
            <w:bookmarkEnd w:id="167"/>
          </w:p>
        </w:tc>
        <w:tc>
          <w:tcPr>
            <w:tcW w:w="1100" w:type="dxa"/>
            <w:tcBorders/>
            <w:shd w:fill="FFFFFF" w:val="clear"/>
            <w:vAlign w:val="center"/>
          </w:tcPr>
          <w:p>
            <w:pPr>
              <w:pStyle w:val="TableContents"/>
              <w:bidi w:val="0"/>
              <w:spacing w:before="0" w:after="283"/>
              <w:jc w:val="right"/>
              <w:rPr/>
            </w:pPr>
            <w:r>
              <w:rPr/>
              <w:t>26,448,663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26,449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23,317,317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2,632,601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25,976,367</w:t>
            </w:r>
          </w:p>
        </w:tc>
        <w:tc>
          <w:tcPr>
            <w:tcW w:w="75" w:type="dxa"/>
            <w:tcBorders/>
            <w:shd w:fill="FFFFFF" w:val="clear"/>
            <w:vAlign w:val="center"/>
          </w:tcPr>
          <w:p>
            <w:pPr>
              <w:pStyle w:val="TableContents"/>
              <w:bidi w:val="0"/>
              <w:spacing w:before="0" w:after="283"/>
              <w:ind w:left="0" w:right="0" w:hanging="100"/>
              <w:jc w:val="left"/>
              <w:rPr/>
            </w:pPr>
            <w:r>
              <w:rPr/>
              <w:t> </w:t>
            </w:r>
            <w:bookmarkStart w:id="168" w:name="xdx_409_eus-gaap--ProfitLoss_zVgeH6RP52g"/>
            <w:bookmarkEnd w:id="168"/>
          </w:p>
        </w:tc>
      </w:tr>
      <w:tr>
        <w:trPr/>
        <w:tc>
          <w:tcPr>
            <w:tcW w:w="1550" w:type="dxa"/>
            <w:tcBorders/>
            <w:shd w:fill="EEEEEE" w:val="clear"/>
            <w:vAlign w:val="center"/>
          </w:tcPr>
          <w:p>
            <w:pPr>
              <w:pStyle w:val="TableContents"/>
              <w:bidi w:val="0"/>
              <w:spacing w:before="0" w:after="283"/>
              <w:jc w:val="left"/>
              <w:rPr/>
            </w:pPr>
            <w:r>
              <w:rPr/>
              <w:t>Net income</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 </w:t>
            </w:r>
          </w:p>
        </w:tc>
        <w:tc>
          <w:tcPr>
            <w:tcW w:w="1197" w:type="dxa"/>
            <w:tcBorders/>
            <w:shd w:fill="EEEEEE" w:val="clear"/>
            <w:vAlign w:val="center"/>
          </w:tcPr>
          <w:p>
            <w:pPr>
              <w:pStyle w:val="TableContents"/>
              <w:bidi w:val="0"/>
              <w:spacing w:before="0" w:after="283"/>
              <w:jc w:val="right"/>
              <w:rPr/>
            </w:pPr>
            <w:r>
              <w:rPr/>
              <w:t>797,861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 </w:t>
            </w:r>
          </w:p>
        </w:tc>
        <w:tc>
          <w:tcPr>
            <w:tcW w:w="129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797,861</w:t>
            </w:r>
          </w:p>
        </w:tc>
        <w:tc>
          <w:tcPr>
            <w:tcW w:w="75" w:type="dxa"/>
            <w:tcBorders/>
            <w:shd w:fill="EEEEEE" w:val="clear"/>
            <w:vAlign w:val="center"/>
          </w:tcPr>
          <w:p>
            <w:pPr>
              <w:pStyle w:val="TableContents"/>
              <w:bidi w:val="0"/>
              <w:spacing w:before="0" w:after="283"/>
              <w:ind w:left="0" w:right="0" w:hanging="100"/>
              <w:jc w:val="left"/>
              <w:rPr/>
            </w:pPr>
            <w:r>
              <w:rPr/>
              <w:t> </w:t>
            </w:r>
            <w:bookmarkStart w:id="169" w:name="xdx_400_eus-gaap--StockIssuedDuringPerio"/>
            <w:bookmarkEnd w:id="169"/>
          </w:p>
        </w:tc>
      </w:tr>
      <w:tr>
        <w:trPr/>
        <w:tc>
          <w:tcPr>
            <w:tcW w:w="1550" w:type="dxa"/>
            <w:tcBorders/>
            <w:shd w:fill="FFFFFF" w:val="clear"/>
            <w:vAlign w:val="center"/>
          </w:tcPr>
          <w:p>
            <w:pPr>
              <w:pStyle w:val="TableContents"/>
              <w:bidi w:val="0"/>
              <w:spacing w:before="0" w:after="283"/>
              <w:jc w:val="left"/>
              <w:rPr/>
            </w:pPr>
            <w:r>
              <w:rPr/>
              <w:t>Restricted shares issued for vested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0" w:name="xdx_98E_ecustom--RestrictedSharesIssuedF"/>
            <w:bookmarkEnd w:id="170"/>
          </w:p>
        </w:tc>
        <w:tc>
          <w:tcPr>
            <w:tcW w:w="1100" w:type="dxa"/>
            <w:tcBorders/>
            <w:shd w:fill="FFFFFF" w:val="clear"/>
            <w:vAlign w:val="center"/>
          </w:tcPr>
          <w:p>
            <w:pPr>
              <w:pStyle w:val="TableContents"/>
              <w:bidi w:val="0"/>
              <w:spacing w:before="0" w:after="283"/>
              <w:jc w:val="right"/>
              <w:rPr/>
            </w:pPr>
            <w:r>
              <w:rPr/>
              <w:t>40,019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00"/>
              <w:jc w:val="left"/>
              <w:rPr/>
            </w:pPr>
            <w:r>
              <w:rPr/>
              <w:t> </w:t>
            </w:r>
            <w:bookmarkStart w:id="171" w:name="xdx_404_eus-gaap--RestrictedStockExpense"/>
            <w:bookmarkEnd w:id="171"/>
          </w:p>
        </w:tc>
      </w:tr>
      <w:tr>
        <w:trPr/>
        <w:tc>
          <w:tcPr>
            <w:tcW w:w="1550" w:type="dxa"/>
            <w:tcBorders/>
            <w:shd w:fill="EEEEEE" w:val="clear"/>
            <w:vAlign w:val="center"/>
          </w:tcPr>
          <w:p>
            <w:pPr>
              <w:pStyle w:val="TableContents"/>
              <w:bidi w:val="0"/>
              <w:spacing w:before="0" w:after="283"/>
              <w:jc w:val="left"/>
              <w:rPr/>
            </w:pPr>
            <w:r>
              <w:rPr/>
              <w:t>Restricted stock units vested</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54,435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54,435</w:t>
            </w:r>
          </w:p>
        </w:tc>
        <w:tc>
          <w:tcPr>
            <w:tcW w:w="75" w:type="dxa"/>
            <w:tcBorders/>
            <w:shd w:fill="EEEEEE" w:val="clear"/>
            <w:vAlign w:val="center"/>
          </w:tcPr>
          <w:p>
            <w:pPr>
              <w:pStyle w:val="TableContents"/>
              <w:bidi w:val="0"/>
              <w:spacing w:before="0" w:after="283"/>
              <w:ind w:left="0" w:right="0" w:hanging="100"/>
              <w:jc w:val="left"/>
              <w:rPr/>
            </w:pPr>
            <w:r>
              <w:rPr/>
              <w:t> </w:t>
            </w:r>
            <w:bookmarkStart w:id="172" w:name="xdx_439_c20220101__20220331_eus-gaap--St"/>
            <w:bookmarkEnd w:id="172"/>
          </w:p>
        </w:tc>
      </w:tr>
      <w:tr>
        <w:trPr/>
        <w:tc>
          <w:tcPr>
            <w:tcW w:w="1550" w:type="dxa"/>
            <w:tcBorders/>
            <w:shd w:fill="FFFFFF" w:val="clear"/>
            <w:vAlign w:val="center"/>
          </w:tcPr>
          <w:p>
            <w:pPr>
              <w:pStyle w:val="TableContents"/>
              <w:bidi w:val="0"/>
              <w:spacing w:before="0" w:after="283"/>
              <w:jc w:val="left"/>
              <w:rPr/>
            </w:pPr>
            <w:r>
              <w:rPr/>
              <w:t>Balance, December 31, 2021, unaudited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3" w:name="xdx_984_eus-gaap--SharesOutstanding_iS_c"/>
            <w:bookmarkEnd w:id="173"/>
          </w:p>
        </w:tc>
        <w:tc>
          <w:tcPr>
            <w:tcW w:w="1100" w:type="dxa"/>
            <w:tcBorders/>
            <w:shd w:fill="FFFFFF" w:val="clear"/>
            <w:vAlign w:val="center"/>
          </w:tcPr>
          <w:p>
            <w:pPr>
              <w:pStyle w:val="TableContents"/>
              <w:bidi w:val="0"/>
              <w:spacing w:before="0" w:after="283"/>
              <w:jc w:val="right"/>
              <w:rPr/>
            </w:pPr>
            <w:r>
              <w:rPr/>
              <w:t>26,488,682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26,489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23,371,712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3,430,462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26,828,663</w:t>
            </w:r>
          </w:p>
        </w:tc>
        <w:tc>
          <w:tcPr>
            <w:tcW w:w="75" w:type="dxa"/>
            <w:tcBorders/>
            <w:shd w:fill="FFFFFF" w:val="clear"/>
            <w:vAlign w:val="center"/>
          </w:tcPr>
          <w:p>
            <w:pPr>
              <w:pStyle w:val="TableContents"/>
              <w:bidi w:val="0"/>
              <w:spacing w:before="0" w:after="283"/>
              <w:ind w:left="0" w:right="0" w:hanging="100"/>
              <w:jc w:val="left"/>
              <w:rPr/>
            </w:pPr>
            <w:r>
              <w:rPr/>
              <w:t> </w:t>
            </w:r>
            <w:bookmarkStart w:id="174" w:name="xdx_404_eus-gaap--ProfitLoss_z3f3xeTV2QJ"/>
            <w:bookmarkEnd w:id="174"/>
          </w:p>
        </w:tc>
      </w:tr>
      <w:tr>
        <w:trPr/>
        <w:tc>
          <w:tcPr>
            <w:tcW w:w="1550" w:type="dxa"/>
            <w:tcBorders/>
            <w:shd w:fill="EEEEEE" w:val="clear"/>
            <w:vAlign w:val="center"/>
          </w:tcPr>
          <w:p>
            <w:pPr>
              <w:pStyle w:val="TableContents"/>
              <w:bidi w:val="0"/>
              <w:spacing w:before="0" w:after="283"/>
              <w:jc w:val="left"/>
              <w:rPr/>
            </w:pPr>
            <w:r>
              <w:rPr/>
              <w:t>Net income</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 </w:t>
            </w:r>
          </w:p>
        </w:tc>
        <w:tc>
          <w:tcPr>
            <w:tcW w:w="1197" w:type="dxa"/>
            <w:tcBorders/>
            <w:shd w:fill="EEEEEE" w:val="clear"/>
            <w:vAlign w:val="center"/>
          </w:tcPr>
          <w:p>
            <w:pPr>
              <w:pStyle w:val="TableContents"/>
              <w:bidi w:val="0"/>
              <w:spacing w:before="0" w:after="283"/>
              <w:jc w:val="right"/>
              <w:rPr/>
            </w:pPr>
            <w:r>
              <w:rPr/>
              <w:t>1,181,757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 </w:t>
            </w:r>
          </w:p>
        </w:tc>
        <w:tc>
          <w:tcPr>
            <w:tcW w:w="129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1,181,757</w:t>
            </w:r>
          </w:p>
        </w:tc>
        <w:tc>
          <w:tcPr>
            <w:tcW w:w="75" w:type="dxa"/>
            <w:tcBorders/>
            <w:shd w:fill="EEEEEE" w:val="clear"/>
            <w:vAlign w:val="center"/>
          </w:tcPr>
          <w:p>
            <w:pPr>
              <w:pStyle w:val="TableContents"/>
              <w:bidi w:val="0"/>
              <w:spacing w:before="0" w:after="283"/>
              <w:ind w:left="0" w:right="0" w:hanging="100"/>
              <w:jc w:val="left"/>
              <w:rPr/>
            </w:pPr>
            <w:r>
              <w:rPr/>
              <w:t> </w:t>
            </w:r>
            <w:bookmarkStart w:id="175" w:name="xdx_40F_eus-gaap--MinorityInterestChange"/>
            <w:bookmarkEnd w:id="175"/>
          </w:p>
        </w:tc>
      </w:tr>
      <w:tr>
        <w:trPr/>
        <w:tc>
          <w:tcPr>
            <w:tcW w:w="1550"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(4,070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(4,070</w:t>
            </w:r>
          </w:p>
        </w:tc>
        <w:tc>
          <w:tcPr>
            <w:tcW w:w="75" w:type="dxa"/>
            <w:tcBorders/>
            <w:shd w:fill="FFFFFF" w:val="clear"/>
            <w:vAlign w:val="center"/>
          </w:tcPr>
          <w:p>
            <w:pPr>
              <w:pStyle w:val="TableContents"/>
              <w:bidi w:val="0"/>
              <w:spacing w:before="0" w:after="283"/>
              <w:ind w:left="0" w:right="0" w:hanging="100"/>
              <w:jc w:val="left"/>
              <w:rPr/>
            </w:pPr>
            <w:r>
              <w:rPr/>
              <w:t>)</w:t>
            </w:r>
            <w:bookmarkStart w:id="176" w:name="xdx_407_eus-gaap--RestrictedStockExpense"/>
            <w:bookmarkEnd w:id="176"/>
          </w:p>
        </w:tc>
      </w:tr>
      <w:tr>
        <w:trPr/>
        <w:tc>
          <w:tcPr>
            <w:tcW w:w="1550" w:type="dxa"/>
            <w:tcBorders/>
            <w:shd w:fill="EEEEEE" w:val="clear"/>
            <w:vAlign w:val="center"/>
          </w:tcPr>
          <w:p>
            <w:pPr>
              <w:pStyle w:val="TableContents"/>
              <w:bidi w:val="0"/>
              <w:spacing w:before="0" w:after="283"/>
              <w:jc w:val="left"/>
              <w:rPr/>
            </w:pPr>
            <w:r>
              <w:rPr/>
              <w:t>Restricted stock units vested</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680"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149,299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shd w:fill="EEEEEE" w:val="clear"/>
            <w:vAlign w:val="center"/>
          </w:tcPr>
          <w:p>
            <w:pPr>
              <w:pStyle w:val="TableContents"/>
              <w:bidi w:val="0"/>
              <w:spacing w:before="0" w:after="283"/>
              <w:jc w:val="left"/>
              <w:rPr/>
            </w:pPr>
            <w:r>
              <w:rPr/>
              <w:t> </w:t>
            </w:r>
          </w:p>
        </w:tc>
        <w:tc>
          <w:tcPr>
            <w:tcW w:w="1197"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shd w:fill="EEEEEE" w:val="clear"/>
            <w:vAlign w:val="center"/>
          </w:tcPr>
          <w:p>
            <w:pPr>
              <w:pStyle w:val="TableContents"/>
              <w:bidi w:val="0"/>
              <w:spacing w:before="0" w:after="283"/>
              <w:jc w:val="left"/>
              <w:rPr/>
            </w:pPr>
            <w:r>
              <w:rPr/>
              <w:t> </w:t>
            </w:r>
          </w:p>
        </w:tc>
        <w:tc>
          <w:tcPr>
            <w:tcW w:w="1295"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shd w:fill="EEEEEE" w:val="clear"/>
            <w:vAlign w:val="center"/>
          </w:tcPr>
          <w:p>
            <w:pPr>
              <w:pStyle w:val="TableContents"/>
              <w:bidi w:val="0"/>
              <w:spacing w:before="0" w:after="283"/>
              <w:jc w:val="left"/>
              <w:rPr/>
            </w:pPr>
            <w:r>
              <w:rPr/>
              <w:t> </w:t>
            </w:r>
          </w:p>
        </w:tc>
        <w:tc>
          <w:tcPr>
            <w:tcW w:w="1298"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149,299</w:t>
            </w:r>
          </w:p>
        </w:tc>
        <w:tc>
          <w:tcPr>
            <w:tcW w:w="75" w:type="dxa"/>
            <w:tcBorders/>
            <w:shd w:fill="EEEEEE" w:val="clear"/>
            <w:vAlign w:val="center"/>
          </w:tcPr>
          <w:p>
            <w:pPr>
              <w:pStyle w:val="TableContents"/>
              <w:bidi w:val="0"/>
              <w:spacing w:before="0" w:after="283"/>
              <w:ind w:left="0" w:right="0" w:hanging="100"/>
              <w:jc w:val="left"/>
              <w:rPr/>
            </w:pPr>
            <w:r>
              <w:rPr/>
              <w:t> </w:t>
            </w:r>
            <w:bookmarkStart w:id="177" w:name="xdx_40B_eus-gaap--StockIssuedDuringPerio"/>
            <w:bookmarkEnd w:id="177"/>
          </w:p>
        </w:tc>
      </w:tr>
      <w:tr>
        <w:trPr/>
        <w:tc>
          <w:tcPr>
            <w:tcW w:w="1550" w:type="dxa"/>
            <w:tcBorders/>
            <w:shd w:fill="FFFFFF" w:val="clear"/>
            <w:vAlign w:val="center"/>
          </w:tcPr>
          <w:p>
            <w:pPr>
              <w:pStyle w:val="TableContents"/>
              <w:bidi w:val="0"/>
              <w:spacing w:before="0" w:after="283"/>
              <w:jc w:val="left"/>
              <w:rPr/>
            </w:pPr>
            <w:r>
              <w:rPr/>
              <w:t>Shares issued for acquisition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78" w:name="xdx_981_eus-gaap--StockIssuedDuringPerio"/>
            <w:bookmarkEnd w:id="178"/>
          </w:p>
        </w:tc>
        <w:tc>
          <w:tcPr>
            <w:tcW w:w="1100" w:type="dxa"/>
            <w:tcBorders/>
            <w:shd w:fill="FFFFFF" w:val="clear"/>
            <w:vAlign w:val="center"/>
          </w:tcPr>
          <w:p>
            <w:pPr>
              <w:pStyle w:val="TableContents"/>
              <w:bidi w:val="0"/>
              <w:spacing w:before="0" w:after="283"/>
              <w:jc w:val="right"/>
              <w:rPr/>
            </w:pPr>
            <w:r>
              <w:rPr/>
              <w:t>3,083,700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5,525,289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129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5,528,373</w:t>
            </w:r>
          </w:p>
        </w:tc>
        <w:tc>
          <w:tcPr>
            <w:tcW w:w="75" w:type="dxa"/>
            <w:tcBorders/>
            <w:shd w:fill="FFFFFF" w:val="clear"/>
            <w:vAlign w:val="center"/>
          </w:tcPr>
          <w:p>
            <w:pPr>
              <w:pStyle w:val="TableContents"/>
              <w:bidi w:val="0"/>
              <w:spacing w:before="0" w:after="283"/>
              <w:ind w:left="0" w:right="0" w:hanging="100"/>
              <w:jc w:val="left"/>
              <w:rPr/>
            </w:pPr>
            <w:r>
              <w:rPr/>
              <w:t> </w:t>
            </w:r>
            <w:bookmarkStart w:id="179" w:name="xdx_40C_eus-gaap--OtherComprehensiveInco"/>
            <w:bookmarkEnd w:id="179"/>
          </w:p>
        </w:tc>
      </w:tr>
      <w:tr>
        <w:trPr/>
        <w:tc>
          <w:tcPr>
            <w:tcW w:w="1550" w:type="dxa"/>
            <w:tcBorders/>
            <w:shd w:fill="EEEEEE" w:val="clear"/>
            <w:vAlign w:val="center"/>
          </w:tcPr>
          <w:p>
            <w:pPr>
              <w:pStyle w:val="TableContents"/>
              <w:bidi w:val="0"/>
              <w:spacing w:before="0" w:after="283"/>
              <w:jc w:val="left"/>
              <w:rPr/>
            </w:pPr>
            <w:r>
              <w:rPr/>
              <w:t>Foreign currency translation adjustments</w:t>
            </w:r>
          </w:p>
        </w:tc>
        <w:tc>
          <w:tcPr>
            <w:tcW w:w="60" w:type="dxa"/>
            <w:tcBorders/>
            <w:shd w:fill="EEEEEE" w:val="clear"/>
            <w:vAlign w:val="center"/>
          </w:tcPr>
          <w:p>
            <w:pPr>
              <w:pStyle w:val="TableContents"/>
              <w:bidi w:val="0"/>
              <w:spacing w:before="0" w:after="283"/>
              <w:jc w:val="left"/>
              <w:rPr/>
            </w:pPr>
            <w:r>
              <w:rPr/>
              <w:t> </w:t>
            </w:r>
          </w:p>
        </w:tc>
        <w:tc>
          <w:tcPr>
            <w:tcW w:w="6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5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5"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EEEEEE" w:val="clear"/>
            <w:tcMar>
              <w:bottom w:w="28" w:type="dxa"/>
            </w:tcMar>
            <w:vAlign w:val="center"/>
          </w:tcPr>
          <w:p>
            <w:pPr>
              <w:pStyle w:val="TableContents"/>
              <w:bidi w:val="0"/>
              <w:spacing w:before="0" w:after="283"/>
              <w:jc w:val="right"/>
              <w:rPr/>
            </w:pPr>
            <w:r>
              <w:rPr/>
              <w:t>(3,226</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(3,226</w:t>
            </w:r>
          </w:p>
        </w:tc>
        <w:tc>
          <w:tcPr>
            <w:tcW w:w="75" w:type="dxa"/>
            <w:tcBorders/>
            <w:shd w:fill="EEEEEE" w:val="clear"/>
            <w:vAlign w:val="center"/>
          </w:tcPr>
          <w:p>
            <w:pPr>
              <w:pStyle w:val="TableContents"/>
              <w:bidi w:val="0"/>
              <w:spacing w:before="0" w:after="283"/>
              <w:ind w:left="0" w:right="0" w:hanging="100"/>
              <w:jc w:val="left"/>
              <w:rPr/>
            </w:pPr>
            <w:r>
              <w:rPr/>
              <w:t>)</w:t>
            </w:r>
            <w:bookmarkStart w:id="180" w:name="xdx_432_c20220101__20220331_eus-gaap--St"/>
            <w:bookmarkEnd w:id="180"/>
          </w:p>
        </w:tc>
      </w:tr>
      <w:tr>
        <w:trPr/>
        <w:tc>
          <w:tcPr>
            <w:tcW w:w="1550" w:type="dxa"/>
            <w:tcBorders/>
            <w:shd w:fill="FFFFFF" w:val="clear"/>
            <w:vAlign w:val="center"/>
          </w:tcPr>
          <w:p>
            <w:pPr>
              <w:pStyle w:val="TableContents"/>
              <w:bidi w:val="0"/>
              <w:spacing w:before="0" w:after="283"/>
              <w:jc w:val="left"/>
              <w:rPr/>
            </w:pPr>
            <w:r>
              <w:rPr/>
              <w:t>Balance, March 31, 2022, unaudited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1" w:name="xdx_98E_eus-gaap--SharesOutstanding_iE_c"/>
            <w:bookmarkEnd w:id="181"/>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29,572,382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29,573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29,046,300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FFFFFF" w:val="clear"/>
            <w:tcMar>
              <w:bottom w:w="28" w:type="dxa"/>
            </w:tcMar>
            <w:vAlign w:val="center"/>
          </w:tcPr>
          <w:p>
            <w:pPr>
              <w:pStyle w:val="TableContents"/>
              <w:bidi w:val="0"/>
              <w:spacing w:before="0" w:after="283"/>
              <w:jc w:val="right"/>
              <w:rPr/>
            </w:pPr>
            <w:r>
              <w:rPr/>
              <w:t>4,612,219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5" w:type="dxa"/>
            <w:tcBorders>
              <w:bottom w:val="double" w:sz="6" w:space="0" w:color="000000"/>
            </w:tcBorders>
            <w:shd w:fill="FFFFFF" w:val="clear"/>
            <w:tcMar>
              <w:bottom w:w="28" w:type="dxa"/>
            </w:tcMar>
            <w:vAlign w:val="center"/>
          </w:tcPr>
          <w:p>
            <w:pPr>
              <w:pStyle w:val="TableContents"/>
              <w:bidi w:val="0"/>
              <w:spacing w:before="0" w:after="283"/>
              <w:jc w:val="right"/>
              <w:rPr/>
            </w:pPr>
            <w:r>
              <w:rPr/>
              <w:t>(4,070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8" w:type="dxa"/>
            <w:tcBorders>
              <w:bottom w:val="double" w:sz="6" w:space="0" w:color="000000"/>
            </w:tcBorders>
            <w:shd w:fill="FFFFFF" w:val="clear"/>
            <w:tcMar>
              <w:bottom w:w="28" w:type="dxa"/>
            </w:tcMar>
            <w:vAlign w:val="center"/>
          </w:tcPr>
          <w:p>
            <w:pPr>
              <w:pStyle w:val="TableContents"/>
              <w:bidi w:val="0"/>
              <w:spacing w:before="0" w:after="283"/>
              <w:jc w:val="right"/>
              <w:rPr/>
            </w:pPr>
            <w:r>
              <w:rPr/>
              <w:t>(3,226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33,680,796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and Subsidiaries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82" w:name="q306"/>
      <w:bookmarkEnd w:id="182"/>
      <w:r>
        <w:rPr>
          <w:rFonts w:ascii="Times New Roman;Times;Serif" w:hAnsi="Times New Roman;Times;Serif"/>
          <w:b w:val="false"/>
          <w:i w:val="false"/>
          <w:caps w:val="false"/>
          <w:smallCaps w:val="false"/>
          <w:sz w:val="20"/>
        </w:rPr>
        <w:t>Unaudited Condensed Consolidated Statements of Cash Flows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March 31, 2023 and 2022</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83" w:name="xdx_303_112_zdHzYSyihei9"/>
      <w:bookmarkStart w:id="184" w:name="xdx_303_112_zdHzYSyihei9"/>
      <w:bookmarkEnd w:id="184"/>
    </w:p>
    <w:tbl>
      <w:tblPr>
        <w:tblW w:w="10205" w:type="dxa"/>
        <w:jc w:val="left"/>
        <w:tblInd w:w="0" w:type="dxa"/>
        <w:tblLayout w:type="fixed"/>
        <w:tblCellMar>
          <w:top w:w="0" w:type="dxa"/>
          <w:left w:w="0" w:type="dxa"/>
          <w:bottom w:w="0" w:type="dxa"/>
          <w:right w:w="0" w:type="dxa"/>
        </w:tblCellMar>
      </w:tblPr>
      <w:tblGrid>
        <w:gridCol w:w="6635"/>
        <w:gridCol w:w="60"/>
        <w:gridCol w:w="175"/>
        <w:gridCol w:w="1379"/>
        <w:gridCol w:w="119"/>
        <w:gridCol w:w="75"/>
        <w:gridCol w:w="175"/>
        <w:gridCol w:w="1474"/>
        <w:gridCol w:w="113"/>
      </w:tblGrid>
      <w:tr>
        <w:trPr/>
        <w:tc>
          <w:tcPr>
            <w:tcW w:w="6635" w:type="dxa"/>
            <w:tcBorders/>
            <w:shd w:fill="FFFFFF" w:val="clear"/>
            <w:vAlign w:val="center"/>
          </w:tcPr>
          <w:p>
            <w:pPr>
              <w:pStyle w:val="TableContents"/>
              <w:bidi w:val="0"/>
              <w:spacing w:before="0" w:after="283"/>
              <w:ind w:left="0" w:right="0" w:hanging="2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185" w:name="xdx_490_20220701__20230331_zkViY7XQ0Dqf"/>
            <w:bookmarkEnd w:id="185"/>
          </w:p>
        </w:tc>
        <w:tc>
          <w:tcPr>
            <w:tcW w:w="1379" w:type="dxa"/>
            <w:tcBorders/>
            <w:shd w:fill="FFFFFF" w:val="clear"/>
            <w:vAlign w:val="center"/>
          </w:tcPr>
          <w:p>
            <w:pPr>
              <w:pStyle w:val="TableContents"/>
              <w:bidi w:val="0"/>
              <w:spacing w:before="0" w:after="283"/>
              <w:jc w:val="center"/>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186" w:name="xdx_49B_20210701__20220331_z1kntB1h7FZf"/>
            <w:bookmarkEnd w:id="186"/>
          </w:p>
        </w:tc>
        <w:tc>
          <w:tcPr>
            <w:tcW w:w="1474" w:type="dxa"/>
            <w:tcBorders/>
            <w:shd w:fill="FFFFFF" w:val="clear"/>
            <w:vAlign w:val="center"/>
          </w:tcPr>
          <w:p>
            <w:pPr>
              <w:pStyle w:val="TableContents"/>
              <w:bidi w:val="0"/>
              <w:spacing w:before="0" w:after="283"/>
              <w:jc w:val="center"/>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97" w:type="dxa"/>
            <w:gridSpan w:val="6"/>
            <w:tcBorders>
              <w:bottom w:val="single" w:sz="8" w:space="0" w:color="000000"/>
            </w:tcBorders>
            <w:tcMar>
              <w:bottom w:w="28" w:type="dxa"/>
            </w:tcMar>
            <w:vAlign w:val="center"/>
          </w:tcPr>
          <w:p>
            <w:pPr>
              <w:pStyle w:val="TableContents"/>
              <w:bidi w:val="0"/>
              <w:spacing w:before="0" w:after="283"/>
              <w:jc w:val="center"/>
              <w:rPr/>
            </w:pPr>
            <w:r>
              <w:rPr/>
              <w:t>For the Nine Months Ended March 31,</w:t>
            </w:r>
          </w:p>
        </w:tc>
        <w:tc>
          <w:tcPr>
            <w:tcW w:w="113"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4"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649"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113"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4" w:type="dxa"/>
            <w:gridSpan w:val="2"/>
            <w:tcBorders/>
            <w:vAlign w:val="center"/>
          </w:tcPr>
          <w:p>
            <w:pPr>
              <w:pStyle w:val="TableContents"/>
              <w:bidi w:val="0"/>
              <w:spacing w:before="0" w:after="283"/>
              <w:jc w:val="center"/>
              <w:rPr/>
            </w:pPr>
            <w:r>
              <w:rPr/>
              <w:t>(Unaudited)</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649" w:type="dxa"/>
            <w:gridSpan w:val="2"/>
            <w:tcBorders/>
            <w:vAlign w:val="center"/>
          </w:tcPr>
          <w:p>
            <w:pPr>
              <w:pStyle w:val="TableContents"/>
              <w:bidi w:val="0"/>
              <w:spacing w:before="0" w:after="283"/>
              <w:jc w:val="center"/>
              <w:rPr/>
            </w:pPr>
            <w:r>
              <w:rPr/>
              <w:t>(Unaudited)</w:t>
            </w:r>
          </w:p>
        </w:tc>
        <w:tc>
          <w:tcPr>
            <w:tcW w:w="113"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54" w:type="dxa"/>
            <w:gridSpan w:val="2"/>
            <w:tcBorders/>
            <w:vAlign w:val="center"/>
          </w:tcPr>
          <w:p>
            <w:pPr>
              <w:pStyle w:val="TableContents"/>
              <w:bidi w:val="0"/>
              <w:spacing w:before="0" w:after="283"/>
              <w:jc w:val="left"/>
              <w:rPr/>
            </w:pPr>
            <w:r>
              <w:rPr/>
              <w:t> </w:t>
            </w:r>
          </w:p>
        </w:tc>
        <w:tc>
          <w:tcPr>
            <w:tcW w:w="119"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649"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bookmarkStart w:id="187" w:name="xdx_403_eus-gaap--NetCashProvidedByUsedI"/>
            <w:bookmarkEnd w:id="187"/>
          </w:p>
        </w:tc>
      </w:tr>
      <w:tr>
        <w:trPr/>
        <w:tc>
          <w:tcPr>
            <w:tcW w:w="6635" w:type="dxa"/>
            <w:tcBorders/>
            <w:shd w:fill="EEEEEE" w:val="clear"/>
            <w:vAlign w:val="center"/>
          </w:tcPr>
          <w:p>
            <w:pPr>
              <w:pStyle w:val="TableContents"/>
              <w:bidi w:val="0"/>
              <w:spacing w:before="0" w:after="283"/>
              <w:jc w:val="left"/>
              <w:rPr/>
            </w:pPr>
            <w:r>
              <w:rPr/>
              <w:t>CASH FLOWS FROM OPERATING ACTIVITIES:</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 </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 </w:t>
            </w:r>
          </w:p>
        </w:tc>
        <w:tc>
          <w:tcPr>
            <w:tcW w:w="113" w:type="dxa"/>
            <w:tcBorders/>
            <w:shd w:fill="EEEEEE" w:val="clear"/>
            <w:vAlign w:val="center"/>
          </w:tcPr>
          <w:p>
            <w:pPr>
              <w:pStyle w:val="TableContents"/>
              <w:bidi w:val="0"/>
              <w:spacing w:before="0" w:after="283"/>
              <w:ind w:left="0" w:right="0" w:hanging="200"/>
              <w:jc w:val="left"/>
              <w:rPr/>
            </w:pPr>
            <w:r>
              <w:rPr/>
              <w:t> </w:t>
            </w:r>
            <w:bookmarkStart w:id="188" w:name="xdx_401_ecustom--NetIncomeLoss1_i01N_di_"/>
            <w:bookmarkEnd w:id="188"/>
          </w:p>
        </w:tc>
      </w:tr>
      <w:tr>
        <w:trPr/>
        <w:tc>
          <w:tcPr>
            <w:tcW w:w="6635" w:type="dxa"/>
            <w:tcBorders/>
            <w:shd w:fill="FFFFFF" w:val="clear"/>
            <w:vAlign w:val="center"/>
          </w:tcPr>
          <w:p>
            <w:pPr>
              <w:pStyle w:val="TableContents"/>
              <w:bidi w:val="0"/>
              <w:spacing w:before="0" w:after="283"/>
              <w:jc w:val="left"/>
              <w:rPr/>
            </w:pPr>
            <w:r>
              <w:rPr/>
              <w:t>Net (loss) income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1379" w:type="dxa"/>
            <w:tcBorders/>
            <w:shd w:fill="FFFFFF" w:val="clear"/>
            <w:vAlign w:val="center"/>
          </w:tcPr>
          <w:p>
            <w:pPr>
              <w:pStyle w:val="TableContents"/>
              <w:bidi w:val="0"/>
              <w:spacing w:before="0" w:after="283"/>
              <w:jc w:val="right"/>
              <w:rPr/>
            </w:pPr>
            <w:r>
              <w:rPr/>
              <w:t>(9,012,227</w:t>
            </w:r>
          </w:p>
        </w:tc>
        <w:tc>
          <w:tcPr>
            <w:tcW w:w="119"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1474" w:type="dxa"/>
            <w:tcBorders/>
            <w:shd w:fill="FFFFFF" w:val="clear"/>
            <w:vAlign w:val="center"/>
          </w:tcPr>
          <w:p>
            <w:pPr>
              <w:pStyle w:val="TableContents"/>
              <w:bidi w:val="0"/>
              <w:spacing w:before="0" w:after="283"/>
              <w:jc w:val="right"/>
              <w:rPr/>
            </w:pPr>
            <w:r>
              <w:rPr/>
              <w:t>2,867,146</w:t>
            </w:r>
          </w:p>
        </w:tc>
        <w:tc>
          <w:tcPr>
            <w:tcW w:w="113" w:type="dxa"/>
            <w:tcBorders/>
            <w:shd w:fill="FFFFFF" w:val="clear"/>
            <w:vAlign w:val="center"/>
          </w:tcPr>
          <w:p>
            <w:pPr>
              <w:pStyle w:val="TableContents"/>
              <w:bidi w:val="0"/>
              <w:spacing w:before="0" w:after="283"/>
              <w:ind w:left="0" w:right="0" w:hanging="200"/>
              <w:jc w:val="left"/>
              <w:rPr/>
            </w:pPr>
            <w:r>
              <w:rPr/>
              <w:t> </w:t>
            </w:r>
            <w:bookmarkStart w:id="189" w:name="xdx_409_eus-gaap--AdjustmentsToReconcile"/>
            <w:bookmarkEnd w:id="189"/>
          </w:p>
        </w:tc>
      </w:tr>
      <w:tr>
        <w:trPr/>
        <w:tc>
          <w:tcPr>
            <w:tcW w:w="6635" w:type="dxa"/>
            <w:tcBorders/>
            <w:shd w:fill="EEEEEE" w:val="clear"/>
            <w:vAlign w:val="center"/>
          </w:tcPr>
          <w:p>
            <w:pPr>
              <w:pStyle w:val="TableContents"/>
              <w:bidi w:val="0"/>
              <w:spacing w:before="0" w:after="283"/>
              <w:jc w:val="left"/>
              <w:rPr/>
            </w:pPr>
            <w:r>
              <w:rPr/>
              <w:t>Adjustments to reconcile net (loss) income to cash provided by (used in) operating activities:</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 </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 </w:t>
            </w:r>
          </w:p>
        </w:tc>
        <w:tc>
          <w:tcPr>
            <w:tcW w:w="113" w:type="dxa"/>
            <w:tcBorders/>
            <w:shd w:fill="EEEEEE" w:val="clear"/>
            <w:vAlign w:val="center"/>
          </w:tcPr>
          <w:p>
            <w:pPr>
              <w:pStyle w:val="TableContents"/>
              <w:bidi w:val="0"/>
              <w:spacing w:before="0" w:after="283"/>
              <w:ind w:left="0" w:right="0" w:hanging="200"/>
              <w:jc w:val="left"/>
              <w:rPr/>
            </w:pPr>
            <w:r>
              <w:rPr/>
              <w:t> </w:t>
            </w:r>
            <w:bookmarkStart w:id="190" w:name="xdx_408_eus-gaap--DepreciationAndAmortiz"/>
            <w:bookmarkEnd w:id="190"/>
          </w:p>
        </w:tc>
      </w:tr>
      <w:tr>
        <w:trPr/>
        <w:tc>
          <w:tcPr>
            <w:tcW w:w="6635" w:type="dxa"/>
            <w:tcBorders/>
            <w:shd w:fill="FFFFFF" w:val="clear"/>
            <w:vAlign w:val="center"/>
          </w:tcPr>
          <w:p>
            <w:pPr>
              <w:pStyle w:val="TableContents"/>
              <w:bidi w:val="0"/>
              <w:spacing w:before="0" w:after="283"/>
              <w:jc w:val="left"/>
              <w:rPr/>
            </w:pPr>
            <w:r>
              <w:rPr/>
              <w:t>Depreciation and amortization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594,718</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95,325</w:t>
            </w:r>
          </w:p>
        </w:tc>
        <w:tc>
          <w:tcPr>
            <w:tcW w:w="113" w:type="dxa"/>
            <w:tcBorders/>
            <w:shd w:fill="FFFFFF" w:val="clear"/>
            <w:vAlign w:val="center"/>
          </w:tcPr>
          <w:p>
            <w:pPr>
              <w:pStyle w:val="TableContents"/>
              <w:bidi w:val="0"/>
              <w:spacing w:before="0" w:after="283"/>
              <w:ind w:left="0" w:right="0" w:hanging="200"/>
              <w:jc w:val="left"/>
              <w:rPr/>
            </w:pPr>
            <w:r>
              <w:rPr/>
              <w:t> </w:t>
            </w:r>
            <w:bookmarkStart w:id="191" w:name="xdx_405_eus-gaap--InventoryLIFOReservePe"/>
            <w:bookmarkEnd w:id="191"/>
          </w:p>
        </w:tc>
      </w:tr>
      <w:tr>
        <w:trPr/>
        <w:tc>
          <w:tcPr>
            <w:tcW w:w="6635" w:type="dxa"/>
            <w:tcBorders/>
            <w:shd w:fill="EEEEEE" w:val="clear"/>
            <w:vAlign w:val="center"/>
          </w:tcPr>
          <w:p>
            <w:pPr>
              <w:pStyle w:val="TableContents"/>
              <w:bidi w:val="0"/>
              <w:spacing w:before="0" w:after="283"/>
              <w:jc w:val="left"/>
              <w:rPr/>
            </w:pPr>
            <w:r>
              <w:rPr/>
              <w:t>Inventory reserve</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238,899</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92,659</w:t>
            </w:r>
          </w:p>
        </w:tc>
        <w:tc>
          <w:tcPr>
            <w:tcW w:w="113" w:type="dxa"/>
            <w:tcBorders/>
            <w:shd w:fill="EEEEEE" w:val="clear"/>
            <w:vAlign w:val="center"/>
          </w:tcPr>
          <w:p>
            <w:pPr>
              <w:pStyle w:val="TableContents"/>
              <w:bidi w:val="0"/>
              <w:spacing w:before="0" w:after="283"/>
              <w:ind w:left="0" w:right="0" w:hanging="200"/>
              <w:jc w:val="left"/>
              <w:rPr/>
            </w:pPr>
            <w:r>
              <w:rPr/>
              <w:t> </w:t>
            </w:r>
            <w:bookmarkStart w:id="192" w:name="xdx_409_eus-gaap--ProvisionForDoubtfulAc"/>
            <w:bookmarkEnd w:id="192"/>
          </w:p>
        </w:tc>
      </w:tr>
      <w:tr>
        <w:trPr/>
        <w:tc>
          <w:tcPr>
            <w:tcW w:w="6635" w:type="dxa"/>
            <w:tcBorders/>
            <w:shd w:fill="FFFFFF" w:val="clear"/>
            <w:vAlign w:val="center"/>
          </w:tcPr>
          <w:p>
            <w:pPr>
              <w:pStyle w:val="TableContents"/>
              <w:bidi w:val="0"/>
              <w:spacing w:before="0" w:after="283"/>
              <w:jc w:val="left"/>
              <w:rPr/>
            </w:pPr>
            <w:r>
              <w:rPr/>
              <w:t>Credit loss reserve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70,000</w:t>
            </w:r>
          </w:p>
        </w:tc>
        <w:tc>
          <w:tcPr>
            <w:tcW w:w="113" w:type="dxa"/>
            <w:tcBorders/>
            <w:shd w:fill="FFFFFF" w:val="clear"/>
            <w:vAlign w:val="center"/>
          </w:tcPr>
          <w:p>
            <w:pPr>
              <w:pStyle w:val="TableContents"/>
              <w:bidi w:val="0"/>
              <w:spacing w:before="0" w:after="283"/>
              <w:ind w:left="0" w:right="0" w:hanging="200"/>
              <w:jc w:val="left"/>
              <w:rPr/>
            </w:pPr>
            <w:r>
              <w:rPr/>
              <w:t> </w:t>
            </w:r>
            <w:bookmarkStart w:id="193" w:name="xdx_40F_eus-gaap--GainLossOnInvestments_"/>
            <w:bookmarkEnd w:id="193"/>
          </w:p>
        </w:tc>
      </w:tr>
      <w:tr>
        <w:trPr/>
        <w:tc>
          <w:tcPr>
            <w:tcW w:w="6635" w:type="dxa"/>
            <w:tcBorders/>
            <w:shd w:fill="EEEEEE" w:val="clear"/>
            <w:vAlign w:val="center"/>
          </w:tcPr>
          <w:p>
            <w:pPr>
              <w:pStyle w:val="TableContents"/>
              <w:bidi w:val="0"/>
              <w:spacing w:before="0" w:after="283"/>
              <w:jc w:val="left"/>
              <w:rPr/>
            </w:pPr>
            <w:r>
              <w:rPr/>
              <w:t>Loss on equity method investment</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8,625</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12,289</w:t>
            </w:r>
          </w:p>
        </w:tc>
        <w:tc>
          <w:tcPr>
            <w:tcW w:w="113" w:type="dxa"/>
            <w:tcBorders/>
            <w:shd w:fill="EEEEEE" w:val="clear"/>
            <w:vAlign w:val="center"/>
          </w:tcPr>
          <w:p>
            <w:pPr>
              <w:pStyle w:val="TableContents"/>
              <w:bidi w:val="0"/>
              <w:spacing w:before="0" w:after="283"/>
              <w:ind w:left="0" w:right="0" w:hanging="200"/>
              <w:jc w:val="left"/>
              <w:rPr/>
            </w:pPr>
            <w:r>
              <w:rPr/>
              <w:t> </w:t>
            </w:r>
            <w:bookmarkStart w:id="194" w:name="xdx_40A_eus-gaap--GoodwillImpairmentLoss"/>
            <w:bookmarkEnd w:id="194"/>
          </w:p>
        </w:tc>
      </w:tr>
      <w:tr>
        <w:trPr/>
        <w:tc>
          <w:tcPr>
            <w:tcW w:w="6635" w:type="dxa"/>
            <w:tcBorders/>
            <w:shd w:fill="FFFFFF" w:val="clear"/>
            <w:vAlign w:val="center"/>
          </w:tcPr>
          <w:p>
            <w:pPr>
              <w:pStyle w:val="TableContents"/>
              <w:bidi w:val="0"/>
              <w:spacing w:before="0" w:after="283"/>
              <w:jc w:val="left"/>
              <w:rPr/>
            </w:pPr>
            <w:r>
              <w:rPr/>
              <w:t>Impairment loss - goodwill</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3,060,034</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200"/>
              <w:jc w:val="left"/>
              <w:rPr/>
            </w:pPr>
            <w:r>
              <w:rPr/>
              <w:t> </w:t>
            </w:r>
            <w:bookmarkStart w:id="195" w:name="xdx_405_eus-gaap--ShareBasedCompensation"/>
            <w:bookmarkEnd w:id="195"/>
          </w:p>
        </w:tc>
      </w:tr>
      <w:tr>
        <w:trPr/>
        <w:tc>
          <w:tcPr>
            <w:tcW w:w="6635" w:type="dxa"/>
            <w:tcBorders/>
            <w:shd w:fill="EEEEEE" w:val="clear"/>
            <w:vAlign w:val="center"/>
          </w:tcPr>
          <w:p>
            <w:pPr>
              <w:pStyle w:val="TableContents"/>
              <w:bidi w:val="0"/>
              <w:spacing w:before="0" w:after="283"/>
              <w:jc w:val="left"/>
              <w:rPr/>
            </w:pPr>
            <w:r>
              <w:rPr/>
              <w:t>Stock-based compensation expense</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387,722</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306,788</w:t>
            </w:r>
          </w:p>
        </w:tc>
        <w:tc>
          <w:tcPr>
            <w:tcW w:w="113" w:type="dxa"/>
            <w:tcBorders/>
            <w:shd w:fill="EEEEEE" w:val="clear"/>
            <w:vAlign w:val="center"/>
          </w:tcPr>
          <w:p>
            <w:pPr>
              <w:pStyle w:val="TableContents"/>
              <w:bidi w:val="0"/>
              <w:spacing w:before="0" w:after="283"/>
              <w:ind w:left="0" w:right="0" w:hanging="200"/>
              <w:jc w:val="left"/>
              <w:rPr/>
            </w:pPr>
            <w:r>
              <w:rPr/>
              <w:t> </w:t>
            </w:r>
            <w:bookmarkStart w:id="196" w:name="xdx_40B_ecustom--NoncashFinancingExpense"/>
            <w:bookmarkEnd w:id="196"/>
          </w:p>
        </w:tc>
      </w:tr>
      <w:tr>
        <w:trPr/>
        <w:tc>
          <w:tcPr>
            <w:tcW w:w="6635" w:type="dxa"/>
            <w:tcBorders/>
            <w:shd w:fill="FFFFFF" w:val="clear"/>
            <w:vAlign w:val="center"/>
          </w:tcPr>
          <w:p>
            <w:pPr>
              <w:pStyle w:val="TableContents"/>
              <w:bidi w:val="0"/>
              <w:spacing w:before="0" w:after="283"/>
              <w:jc w:val="left"/>
              <w:rPr/>
            </w:pPr>
            <w:r>
              <w:rPr/>
              <w:t>Non-cash operating lease expense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27,874</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181,781</w:t>
            </w:r>
          </w:p>
        </w:tc>
        <w:tc>
          <w:tcPr>
            <w:tcW w:w="113" w:type="dxa"/>
            <w:tcBorders/>
            <w:shd w:fill="FFFFFF" w:val="clear"/>
            <w:vAlign w:val="center"/>
          </w:tcPr>
          <w:p>
            <w:pPr>
              <w:pStyle w:val="TableContents"/>
              <w:bidi w:val="0"/>
              <w:spacing w:before="0" w:after="283"/>
              <w:ind w:left="0" w:right="0" w:hanging="200"/>
              <w:jc w:val="left"/>
              <w:rPr/>
            </w:pPr>
            <w:r>
              <w:rPr/>
              <w:t> </w:t>
            </w:r>
            <w:bookmarkStart w:id="197" w:name="xdx_40A_eus-gaap--AmortizationOfDebtDisc"/>
            <w:bookmarkEnd w:id="197"/>
          </w:p>
        </w:tc>
      </w:tr>
      <w:tr>
        <w:trPr/>
        <w:tc>
          <w:tcPr>
            <w:tcW w:w="6635" w:type="dxa"/>
            <w:tcBorders/>
            <w:shd w:fill="EEEEEE" w:val="clear"/>
            <w:vAlign w:val="center"/>
          </w:tcPr>
          <w:p>
            <w:pPr>
              <w:pStyle w:val="TableContents"/>
              <w:bidi w:val="0"/>
              <w:spacing w:before="0" w:after="283"/>
              <w:jc w:val="left"/>
              <w:rPr/>
            </w:pPr>
            <w:r>
              <w:rPr/>
              <w:t>Amortization of debt premium / discount and non-cash financing costs</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161,074</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113,016</w:t>
            </w:r>
          </w:p>
        </w:tc>
        <w:tc>
          <w:tcPr>
            <w:tcW w:w="113" w:type="dxa"/>
            <w:tcBorders/>
            <w:shd w:fill="EEEEEE" w:val="clear"/>
            <w:vAlign w:val="center"/>
          </w:tcPr>
          <w:p>
            <w:pPr>
              <w:pStyle w:val="TableContents"/>
              <w:bidi w:val="0"/>
              <w:spacing w:before="0" w:after="283"/>
              <w:ind w:left="0" w:right="0" w:hanging="200"/>
              <w:jc w:val="left"/>
              <w:rPr/>
            </w:pPr>
            <w:r>
              <w:rPr/>
              <w:t> </w:t>
            </w:r>
            <w:bookmarkStart w:id="198" w:name="xdx_403_eus-gaap--IncreaseDecreaseInOper"/>
            <w:bookmarkEnd w:id="198"/>
          </w:p>
        </w:tc>
      </w:tr>
      <w:tr>
        <w:trPr/>
        <w:tc>
          <w:tcPr>
            <w:tcW w:w="6635" w:type="dxa"/>
            <w:tcBorders/>
            <w:shd w:fill="FFFFFF" w:val="clear"/>
            <w:vAlign w:val="center"/>
          </w:tcPr>
          <w:p>
            <w:pPr>
              <w:pStyle w:val="TableContents"/>
              <w:bidi w:val="0"/>
              <w:spacing w:before="0" w:after="283"/>
              <w:jc w:val="left"/>
              <w:rPr/>
            </w:pPr>
            <w:r>
              <w:rPr/>
              <w:t>Change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bookmarkStart w:id="199" w:name="xdx_40F_eus-gaap--IncreaseDecreaseInAcco"/>
            <w:bookmarkEnd w:id="199"/>
          </w:p>
        </w:tc>
      </w:tr>
      <w:tr>
        <w:trPr/>
        <w:tc>
          <w:tcPr>
            <w:tcW w:w="6635" w:type="dxa"/>
            <w:tcBorders/>
            <w:shd w:fill="EEEEEE" w:val="clear"/>
            <w:vAlign w:val="center"/>
          </w:tcPr>
          <w:p>
            <w:pPr>
              <w:pStyle w:val="TableContents"/>
              <w:bidi w:val="0"/>
              <w:spacing w:before="0" w:after="283"/>
              <w:jc w:val="left"/>
              <w:rPr/>
            </w:pPr>
            <w:r>
              <w:rPr/>
              <w:t>Accounts receivable</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1,727,405</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(11,257,207</w:t>
            </w:r>
          </w:p>
        </w:tc>
        <w:tc>
          <w:tcPr>
            <w:tcW w:w="113" w:type="dxa"/>
            <w:tcBorders/>
            <w:shd w:fill="EEEEEE" w:val="clear"/>
            <w:vAlign w:val="center"/>
          </w:tcPr>
          <w:p>
            <w:pPr>
              <w:pStyle w:val="TableContents"/>
              <w:bidi w:val="0"/>
              <w:spacing w:before="0" w:after="283"/>
              <w:ind w:left="0" w:right="0" w:hanging="200"/>
              <w:jc w:val="left"/>
              <w:rPr/>
            </w:pPr>
            <w:r>
              <w:rPr/>
              <w:t>)</w:t>
            </w:r>
            <w:bookmarkStart w:id="200" w:name="xdx_407_eus-gaap--IncreaseDecreaseInInve"/>
            <w:bookmarkEnd w:id="200"/>
          </w:p>
        </w:tc>
      </w:tr>
      <w:tr>
        <w:trPr/>
        <w:tc>
          <w:tcPr>
            <w:tcW w:w="6635" w:type="dxa"/>
            <w:tcBorders/>
            <w:shd w:fill="FFFFFF" w:val="clear"/>
            <w:vAlign w:val="center"/>
          </w:tcPr>
          <w:p>
            <w:pPr>
              <w:pStyle w:val="TableContents"/>
              <w:bidi w:val="0"/>
              <w:spacing w:before="0" w:after="283"/>
              <w:jc w:val="left"/>
              <w:rPr/>
            </w:pPr>
            <w:r>
              <w:rPr/>
              <w:t>Inventories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10,547,933</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(9,437,854</w:t>
            </w:r>
          </w:p>
        </w:tc>
        <w:tc>
          <w:tcPr>
            <w:tcW w:w="113" w:type="dxa"/>
            <w:tcBorders/>
            <w:shd w:fill="FFFFFF" w:val="clear"/>
            <w:vAlign w:val="center"/>
          </w:tcPr>
          <w:p>
            <w:pPr>
              <w:pStyle w:val="TableContents"/>
              <w:bidi w:val="0"/>
              <w:spacing w:before="0" w:after="283"/>
              <w:ind w:left="0" w:right="0" w:hanging="200"/>
              <w:jc w:val="left"/>
              <w:rPr/>
            </w:pPr>
            <w:r>
              <w:rPr/>
              <w:t>)</w:t>
            </w:r>
            <w:bookmarkStart w:id="201" w:name="xdx_401_ecustom--IncreaseDecreaseInDefer"/>
            <w:bookmarkEnd w:id="201"/>
          </w:p>
        </w:tc>
      </w:tr>
      <w:tr>
        <w:trPr/>
        <w:tc>
          <w:tcPr>
            <w:tcW w:w="6635" w:type="dxa"/>
            <w:tcBorders/>
            <w:shd w:fill="EEEEEE" w:val="clear"/>
            <w:vAlign w:val="center"/>
          </w:tcPr>
          <w:p>
            <w:pPr>
              <w:pStyle w:val="TableContents"/>
              <w:bidi w:val="0"/>
              <w:spacing w:before="0" w:after="283"/>
              <w:jc w:val="left"/>
              <w:rPr/>
            </w:pPr>
            <w:r>
              <w:rPr/>
              <w:t>Deferred tax assets/liabilities</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(2,485,274</w:t>
            </w:r>
          </w:p>
        </w:tc>
        <w:tc>
          <w:tcPr>
            <w:tcW w:w="119" w:type="dxa"/>
            <w:tcBorders/>
            <w:shd w:fill="EEEEEE" w:val="clear"/>
            <w:vAlign w:val="center"/>
          </w:tcPr>
          <w:p>
            <w:pPr>
              <w:pStyle w:val="TableContents"/>
              <w:bidi w:val="0"/>
              <w:spacing w:before="0" w:after="283"/>
              <w:jc w:val="left"/>
              <w:rPr/>
            </w:pPr>
            <w:r>
              <w:rPr/>
              <w:t>)</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(552,783</w:t>
            </w:r>
          </w:p>
        </w:tc>
        <w:tc>
          <w:tcPr>
            <w:tcW w:w="113" w:type="dxa"/>
            <w:tcBorders/>
            <w:shd w:fill="EEEEEE" w:val="clear"/>
            <w:vAlign w:val="center"/>
          </w:tcPr>
          <w:p>
            <w:pPr>
              <w:pStyle w:val="TableContents"/>
              <w:bidi w:val="0"/>
              <w:spacing w:before="0" w:after="283"/>
              <w:ind w:left="0" w:right="0" w:hanging="200"/>
              <w:jc w:val="left"/>
              <w:rPr/>
            </w:pPr>
            <w:r>
              <w:rPr/>
              <w:t>)</w:t>
            </w:r>
            <w:bookmarkStart w:id="202" w:name="xdx_403_eus-gaap--IncreaseDecreaseInPrep"/>
            <w:bookmarkEnd w:id="202"/>
          </w:p>
        </w:tc>
      </w:tr>
      <w:tr>
        <w:trPr/>
        <w:tc>
          <w:tcPr>
            <w:tcW w:w="6635" w:type="dxa"/>
            <w:tcBorders/>
            <w:shd w:fill="FFFFFF" w:val="clear"/>
            <w:vAlign w:val="center"/>
          </w:tcPr>
          <w:p>
            <w:pPr>
              <w:pStyle w:val="TableContents"/>
              <w:bidi w:val="0"/>
              <w:spacing w:before="0" w:after="283"/>
              <w:jc w:val="left"/>
              <w:rPr/>
            </w:pPr>
            <w:r>
              <w:rPr/>
              <w:t>Prepayments and other current assets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1,974,296</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(2,502,967</w:t>
            </w:r>
          </w:p>
        </w:tc>
        <w:tc>
          <w:tcPr>
            <w:tcW w:w="113" w:type="dxa"/>
            <w:tcBorders/>
            <w:shd w:fill="FFFFFF" w:val="clear"/>
            <w:vAlign w:val="center"/>
          </w:tcPr>
          <w:p>
            <w:pPr>
              <w:pStyle w:val="TableContents"/>
              <w:bidi w:val="0"/>
              <w:spacing w:before="0" w:after="283"/>
              <w:ind w:left="0" w:right="0" w:hanging="200"/>
              <w:jc w:val="left"/>
              <w:rPr/>
            </w:pPr>
            <w:r>
              <w:rPr/>
              <w:t>)</w:t>
            </w:r>
            <w:bookmarkStart w:id="203" w:name="xdx_401_ecustom--IncreaseDecreaseInNoncu"/>
            <w:bookmarkEnd w:id="203"/>
          </w:p>
        </w:tc>
      </w:tr>
      <w:tr>
        <w:trPr/>
        <w:tc>
          <w:tcPr>
            <w:tcW w:w="6635" w:type="dxa"/>
            <w:tcBorders/>
            <w:shd w:fill="EEEEEE" w:val="clear"/>
            <w:vAlign w:val="center"/>
          </w:tcPr>
          <w:p>
            <w:pPr>
              <w:pStyle w:val="TableContents"/>
              <w:bidi w:val="0"/>
              <w:spacing w:before="0" w:after="283"/>
              <w:jc w:val="left"/>
              <w:rPr/>
            </w:pPr>
            <w:r>
              <w:rPr/>
              <w:t>Non-current prepayments</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323,751</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323,751</w:t>
            </w:r>
          </w:p>
        </w:tc>
        <w:tc>
          <w:tcPr>
            <w:tcW w:w="113" w:type="dxa"/>
            <w:tcBorders/>
            <w:shd w:fill="EEEEEE" w:val="clear"/>
            <w:vAlign w:val="center"/>
          </w:tcPr>
          <w:p>
            <w:pPr>
              <w:pStyle w:val="TableContents"/>
              <w:bidi w:val="0"/>
              <w:spacing w:before="0" w:after="283"/>
              <w:ind w:left="0" w:right="0" w:hanging="200"/>
              <w:jc w:val="left"/>
              <w:rPr/>
            </w:pPr>
            <w:r>
              <w:rPr/>
              <w:t> </w:t>
            </w:r>
            <w:bookmarkStart w:id="204" w:name="xdx_40C_eus-gaap--IncreaseDecreaseInOthe"/>
            <w:bookmarkEnd w:id="204"/>
          </w:p>
        </w:tc>
      </w:tr>
      <w:tr>
        <w:trPr/>
        <w:tc>
          <w:tcPr>
            <w:tcW w:w="6635"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11,448</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(200,701</w:t>
            </w:r>
          </w:p>
        </w:tc>
        <w:tc>
          <w:tcPr>
            <w:tcW w:w="113" w:type="dxa"/>
            <w:tcBorders/>
            <w:shd w:fill="FFFFFF" w:val="clear"/>
            <w:vAlign w:val="center"/>
          </w:tcPr>
          <w:p>
            <w:pPr>
              <w:pStyle w:val="TableContents"/>
              <w:bidi w:val="0"/>
              <w:spacing w:before="0" w:after="283"/>
              <w:ind w:left="0" w:right="0" w:hanging="200"/>
              <w:jc w:val="left"/>
              <w:rPr/>
            </w:pPr>
            <w:r>
              <w:rPr/>
              <w:t>)</w:t>
            </w:r>
            <w:bookmarkStart w:id="205" w:name="xdx_401_eus-gaap--IncreaseDecreaseInAcco"/>
            <w:bookmarkEnd w:id="205"/>
          </w:p>
        </w:tc>
      </w:tr>
      <w:tr>
        <w:trPr/>
        <w:tc>
          <w:tcPr>
            <w:tcW w:w="6635" w:type="dxa"/>
            <w:tcBorders/>
            <w:shd w:fill="EEEEEE" w:val="clear"/>
            <w:vAlign w:val="center"/>
          </w:tcPr>
          <w:p>
            <w:pPr>
              <w:pStyle w:val="TableContents"/>
              <w:bidi w:val="0"/>
              <w:spacing w:before="0" w:after="283"/>
              <w:jc w:val="left"/>
              <w:rPr/>
            </w:pPr>
            <w:r>
              <w:rPr/>
              <w:t>Accounts payable</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3,904,541</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2,401,872</w:t>
            </w:r>
          </w:p>
        </w:tc>
        <w:tc>
          <w:tcPr>
            <w:tcW w:w="113" w:type="dxa"/>
            <w:tcBorders/>
            <w:shd w:fill="EEEEEE" w:val="clear"/>
            <w:vAlign w:val="center"/>
          </w:tcPr>
          <w:p>
            <w:pPr>
              <w:pStyle w:val="TableContents"/>
              <w:bidi w:val="0"/>
              <w:spacing w:before="0" w:after="283"/>
              <w:ind w:left="0" w:right="0" w:hanging="200"/>
              <w:jc w:val="left"/>
              <w:rPr/>
            </w:pPr>
            <w:r>
              <w:rPr/>
              <w:t> </w:t>
            </w:r>
            <w:bookmarkStart w:id="206" w:name="xdx_406_eus-gaap--IncreaseDecreaseInOthe"/>
            <w:bookmarkEnd w:id="206"/>
          </w:p>
        </w:tc>
      </w:tr>
      <w:tr>
        <w:trPr/>
        <w:tc>
          <w:tcPr>
            <w:tcW w:w="6635" w:type="dxa"/>
            <w:tcBorders/>
            <w:shd w:fill="FFFFFF" w:val="clear"/>
            <w:vAlign w:val="center"/>
          </w:tcPr>
          <w:p>
            <w:pPr>
              <w:pStyle w:val="TableContents"/>
              <w:bidi w:val="0"/>
              <w:spacing w:before="0" w:after="283"/>
              <w:jc w:val="left"/>
              <w:rPr/>
            </w:pPr>
            <w:r>
              <w:rPr/>
              <w:t>Credit cards payable</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(510,840</w:t>
            </w:r>
          </w:p>
        </w:tc>
        <w:tc>
          <w:tcPr>
            <w:tcW w:w="119"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161,274</w:t>
            </w:r>
          </w:p>
        </w:tc>
        <w:tc>
          <w:tcPr>
            <w:tcW w:w="113" w:type="dxa"/>
            <w:tcBorders/>
            <w:shd w:fill="FFFFFF" w:val="clear"/>
            <w:vAlign w:val="center"/>
          </w:tcPr>
          <w:p>
            <w:pPr>
              <w:pStyle w:val="TableContents"/>
              <w:bidi w:val="0"/>
              <w:spacing w:before="0" w:after="283"/>
              <w:ind w:left="0" w:right="0" w:hanging="200"/>
              <w:jc w:val="left"/>
              <w:rPr/>
            </w:pPr>
            <w:r>
              <w:rPr/>
              <w:t> </w:t>
            </w:r>
            <w:bookmarkStart w:id="207" w:name="xdx_400_eus-gaap--IncreaseDecreaseInCont"/>
            <w:bookmarkEnd w:id="207"/>
          </w:p>
        </w:tc>
      </w:tr>
      <w:tr>
        <w:trPr/>
        <w:tc>
          <w:tcPr>
            <w:tcW w:w="6635" w:type="dxa"/>
            <w:tcBorders/>
            <w:shd w:fill="EEEEEE" w:val="clear"/>
            <w:vAlign w:val="center"/>
          </w:tcPr>
          <w:p>
            <w:pPr>
              <w:pStyle w:val="TableContents"/>
              <w:bidi w:val="0"/>
              <w:spacing w:before="0" w:after="283"/>
              <w:jc w:val="left"/>
              <w:rPr/>
            </w:pPr>
            <w:r>
              <w:rPr/>
              <w:t>Customer deposit</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209,405</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(92,917</w:t>
            </w:r>
          </w:p>
        </w:tc>
        <w:tc>
          <w:tcPr>
            <w:tcW w:w="113" w:type="dxa"/>
            <w:tcBorders/>
            <w:shd w:fill="EEEEEE" w:val="clear"/>
            <w:vAlign w:val="center"/>
          </w:tcPr>
          <w:p>
            <w:pPr>
              <w:pStyle w:val="TableContents"/>
              <w:bidi w:val="0"/>
              <w:spacing w:before="0" w:after="283"/>
              <w:ind w:left="0" w:right="0" w:hanging="200"/>
              <w:jc w:val="left"/>
              <w:rPr/>
            </w:pPr>
            <w:r>
              <w:rPr/>
              <w:t>)</w:t>
            </w:r>
            <w:bookmarkStart w:id="208" w:name="xdx_401_eus-gaap--IncreaseDecreaseInOthe"/>
            <w:bookmarkEnd w:id="208"/>
          </w:p>
        </w:tc>
      </w:tr>
      <w:tr>
        <w:trPr/>
        <w:tc>
          <w:tcPr>
            <w:tcW w:w="6635" w:type="dxa"/>
            <w:tcBorders/>
            <w:shd w:fill="FFFFFF" w:val="clear"/>
            <w:vAlign w:val="center"/>
          </w:tcPr>
          <w:p>
            <w:pPr>
              <w:pStyle w:val="TableContents"/>
              <w:bidi w:val="0"/>
              <w:spacing w:before="0" w:after="283"/>
              <w:jc w:val="left"/>
              <w:rPr/>
            </w:pPr>
            <w:r>
              <w:rPr/>
              <w:t>Other payables and accrued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(2,812,500</w:t>
            </w:r>
          </w:p>
        </w:tc>
        <w:tc>
          <w:tcPr>
            <w:tcW w:w="119"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2,584,973</w:t>
            </w:r>
          </w:p>
        </w:tc>
        <w:tc>
          <w:tcPr>
            <w:tcW w:w="113" w:type="dxa"/>
            <w:tcBorders/>
            <w:shd w:fill="FFFFFF" w:val="clear"/>
            <w:vAlign w:val="center"/>
          </w:tcPr>
          <w:p>
            <w:pPr>
              <w:pStyle w:val="TableContents"/>
              <w:bidi w:val="0"/>
              <w:spacing w:before="0" w:after="283"/>
              <w:ind w:left="0" w:right="0" w:hanging="200"/>
              <w:jc w:val="left"/>
              <w:rPr/>
            </w:pPr>
            <w:r>
              <w:rPr/>
              <w:t> </w:t>
            </w:r>
            <w:bookmarkStart w:id="209" w:name="xdx_40C_eus-gaap--IncreaseDecreaseInAccr"/>
            <w:bookmarkEnd w:id="209"/>
          </w:p>
        </w:tc>
      </w:tr>
      <w:tr>
        <w:trPr/>
        <w:tc>
          <w:tcPr>
            <w:tcW w:w="6635" w:type="dxa"/>
            <w:tcBorders/>
            <w:shd w:fill="EEEEEE" w:val="clear"/>
            <w:vAlign w:val="center"/>
          </w:tcPr>
          <w:p>
            <w:pPr>
              <w:pStyle w:val="TableContents"/>
              <w:bidi w:val="0"/>
              <w:spacing w:before="0" w:after="283"/>
              <w:jc w:val="left"/>
              <w:rPr/>
            </w:pPr>
            <w:r>
              <w:rPr/>
              <w:t>Income taxes payable</w:t>
            </w:r>
          </w:p>
        </w:tc>
        <w:tc>
          <w:tcPr>
            <w:tcW w:w="60" w:type="dxa"/>
            <w:tcBorders/>
            <w:shd w:fill="EEEEEE" w:val="clear"/>
            <w:vAlign w:val="center"/>
          </w:tcPr>
          <w:p>
            <w:pPr>
              <w:pStyle w:val="TableContents"/>
              <w:bidi w:val="0"/>
              <w:spacing w:before="0" w:after="283"/>
              <w:jc w:val="left"/>
              <w:rPr/>
            </w:pPr>
            <w:r>
              <w:rPr/>
              <w:t> </w:t>
            </w:r>
          </w:p>
        </w:tc>
        <w:tc>
          <w:tcPr>
            <w:tcW w:w="17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EEEEEE" w:val="clear"/>
            <w:tcMar>
              <w:bottom w:w="28" w:type="dxa"/>
            </w:tcMar>
            <w:vAlign w:val="center"/>
          </w:tcPr>
          <w:p>
            <w:pPr>
              <w:pStyle w:val="TableContents"/>
              <w:bidi w:val="0"/>
              <w:spacing w:before="0" w:after="283"/>
              <w:jc w:val="right"/>
              <w:rPr/>
            </w:pPr>
            <w:r>
              <w:rPr/>
              <w:t>89,563</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474" w:type="dxa"/>
            <w:tcBorders>
              <w:bottom w:val="single" w:sz="8" w:space="0" w:color="000000"/>
            </w:tcBorders>
            <w:shd w:fill="EEEEEE" w:val="clear"/>
            <w:tcMar>
              <w:bottom w:w="28" w:type="dxa"/>
            </w:tcMar>
            <w:vAlign w:val="center"/>
          </w:tcPr>
          <w:p>
            <w:pPr>
              <w:pStyle w:val="TableContents"/>
              <w:bidi w:val="0"/>
              <w:spacing w:before="0" w:after="283"/>
              <w:jc w:val="right"/>
              <w:rPr/>
            </w:pPr>
            <w:r>
              <w:rPr/>
              <w:t>73,286</w:t>
            </w:r>
          </w:p>
        </w:tc>
        <w:tc>
          <w:tcPr>
            <w:tcW w:w="113" w:type="dxa"/>
            <w:tcBorders/>
            <w:shd w:fill="EEEEEE" w:val="clear"/>
            <w:vAlign w:val="center"/>
          </w:tcPr>
          <w:p>
            <w:pPr>
              <w:pStyle w:val="TableContents"/>
              <w:bidi w:val="0"/>
              <w:spacing w:before="0" w:after="283"/>
              <w:ind w:left="0" w:right="0" w:hanging="200"/>
              <w:jc w:val="left"/>
              <w:rPr/>
            </w:pPr>
            <w:r>
              <w:rPr/>
              <w:t> </w:t>
            </w:r>
            <w:bookmarkStart w:id="210" w:name="xdx_407_eus-gaap--NetCashProvidedByUsedI"/>
            <w:bookmarkEnd w:id="210"/>
          </w:p>
        </w:tc>
      </w:tr>
      <w:tr>
        <w:trPr/>
        <w:tc>
          <w:tcPr>
            <w:tcW w:w="6635" w:type="dxa"/>
            <w:tcBorders/>
            <w:shd w:fill="FFFFFF" w:val="clear"/>
            <w:vAlign w:val="center"/>
          </w:tcPr>
          <w:p>
            <w:pPr>
              <w:pStyle w:val="TableContents"/>
              <w:bidi w:val="0"/>
              <w:spacing w:before="0" w:after="283"/>
              <w:jc w:val="left"/>
              <w:rPr/>
            </w:pPr>
            <w:r>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8,446,447</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(14,760,269</w:t>
            </w:r>
          </w:p>
        </w:tc>
        <w:tc>
          <w:tcPr>
            <w:tcW w:w="113" w:type="dxa"/>
            <w:tcBorders/>
            <w:shd w:fill="FFFFFF" w:val="clear"/>
            <w:vAlign w:val="center"/>
          </w:tcPr>
          <w:p>
            <w:pPr>
              <w:pStyle w:val="TableContents"/>
              <w:bidi w:val="0"/>
              <w:spacing w:before="0" w:after="283"/>
              <w:jc w:val="left"/>
              <w:rPr/>
            </w:pPr>
            <w:r>
              <w:rPr/>
              <w:t>)</w:t>
            </w:r>
          </w:p>
        </w:tc>
      </w:tr>
      <w:tr>
        <w:trPr/>
        <w:tc>
          <w:tcPr>
            <w:tcW w:w="663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 </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 </w:t>
            </w:r>
          </w:p>
        </w:tc>
        <w:tc>
          <w:tcPr>
            <w:tcW w:w="113" w:type="dxa"/>
            <w:tcBorders/>
            <w:shd w:fill="EEEEEE" w:val="clear"/>
            <w:vAlign w:val="center"/>
          </w:tcPr>
          <w:p>
            <w:pPr>
              <w:pStyle w:val="TableContents"/>
              <w:bidi w:val="0"/>
              <w:spacing w:before="0" w:after="283"/>
              <w:jc w:val="left"/>
              <w:rPr/>
            </w:pPr>
            <w:r>
              <w:rPr/>
              <w:t> </w:t>
            </w:r>
            <w:bookmarkStart w:id="211" w:name="xdx_401_eus-gaap--NetCashProvidedByUsedI"/>
            <w:bookmarkEnd w:id="211"/>
          </w:p>
        </w:tc>
      </w:tr>
      <w:tr>
        <w:trPr/>
        <w:tc>
          <w:tcPr>
            <w:tcW w:w="6635" w:type="dxa"/>
            <w:tcBorders/>
            <w:shd w:fill="FFFFFF" w:val="clear"/>
            <w:vAlign w:val="center"/>
          </w:tcPr>
          <w:p>
            <w:pPr>
              <w:pStyle w:val="TableContents"/>
              <w:bidi w:val="0"/>
              <w:spacing w:before="0" w:after="283"/>
              <w:jc w:val="left"/>
              <w:rPr/>
            </w:pPr>
            <w:r>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bookmarkStart w:id="212" w:name="xdx_40D_eus-gaap--PaymentsToAcquirePrope"/>
            <w:bookmarkEnd w:id="212"/>
          </w:p>
        </w:tc>
      </w:tr>
      <w:tr>
        <w:trPr/>
        <w:tc>
          <w:tcPr>
            <w:tcW w:w="6635" w:type="dxa"/>
            <w:tcBorders/>
            <w:shd w:fill="EEEEEE" w:val="clear"/>
            <w:vAlign w:val="center"/>
          </w:tcPr>
          <w:p>
            <w:pPr>
              <w:pStyle w:val="TableContents"/>
              <w:bidi w:val="0"/>
              <w:spacing w:before="0" w:after="283"/>
              <w:jc w:val="left"/>
              <w:rPr/>
            </w:pPr>
            <w:r>
              <w:rPr/>
              <w:t>Purchase of equipment</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(144,885</w:t>
            </w:r>
          </w:p>
        </w:tc>
        <w:tc>
          <w:tcPr>
            <w:tcW w:w="119" w:type="dxa"/>
            <w:tcBorders/>
            <w:shd w:fill="EEEEEE" w:val="clear"/>
            <w:vAlign w:val="center"/>
          </w:tcPr>
          <w:p>
            <w:pPr>
              <w:pStyle w:val="TableContents"/>
              <w:bidi w:val="0"/>
              <w:spacing w:before="0" w:after="283"/>
              <w:jc w:val="left"/>
              <w:rPr/>
            </w:pPr>
            <w:r>
              <w:rPr/>
              <w:t>)</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(41,420</w:t>
            </w:r>
          </w:p>
        </w:tc>
        <w:tc>
          <w:tcPr>
            <w:tcW w:w="113" w:type="dxa"/>
            <w:tcBorders/>
            <w:shd w:fill="EEEEEE" w:val="clear"/>
            <w:vAlign w:val="center"/>
          </w:tcPr>
          <w:p>
            <w:pPr>
              <w:pStyle w:val="TableContents"/>
              <w:bidi w:val="0"/>
              <w:spacing w:before="0" w:after="283"/>
              <w:ind w:left="0" w:right="0" w:hanging="200"/>
              <w:jc w:val="left"/>
              <w:rPr/>
            </w:pPr>
            <w:r>
              <w:rPr/>
              <w:t>)</w:t>
            </w:r>
            <w:bookmarkStart w:id="213" w:name="xdx_409_eus-gaap--CashAcquiredFromAcquis"/>
            <w:bookmarkEnd w:id="213"/>
          </w:p>
        </w:tc>
      </w:tr>
      <w:tr>
        <w:trPr/>
        <w:tc>
          <w:tcPr>
            <w:tcW w:w="6635" w:type="dxa"/>
            <w:tcBorders/>
            <w:shd w:fill="FFFFFF" w:val="clear"/>
            <w:vAlign w:val="center"/>
          </w:tcPr>
          <w:p>
            <w:pPr>
              <w:pStyle w:val="TableContents"/>
              <w:bidi w:val="0"/>
              <w:spacing w:before="0" w:after="283"/>
              <w:jc w:val="left"/>
              <w:rPr/>
            </w:pPr>
            <w:r>
              <w:rPr/>
              <w:t>Cash acquired on acquisition</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268,828</w:t>
            </w:r>
          </w:p>
        </w:tc>
        <w:tc>
          <w:tcPr>
            <w:tcW w:w="113" w:type="dxa"/>
            <w:tcBorders/>
            <w:shd w:fill="FFFFFF" w:val="clear"/>
            <w:vAlign w:val="center"/>
          </w:tcPr>
          <w:p>
            <w:pPr>
              <w:pStyle w:val="TableContents"/>
              <w:bidi w:val="0"/>
              <w:spacing w:before="0" w:after="283"/>
              <w:ind w:left="0" w:right="0" w:hanging="200"/>
              <w:jc w:val="left"/>
              <w:rPr/>
            </w:pPr>
            <w:r>
              <w:rPr/>
              <w:t> </w:t>
            </w:r>
            <w:bookmarkStart w:id="214" w:name="xdx_407_eus-gaap--PaymentsToAcquireInter"/>
            <w:bookmarkEnd w:id="214"/>
          </w:p>
        </w:tc>
      </w:tr>
      <w:tr>
        <w:trPr/>
        <w:tc>
          <w:tcPr>
            <w:tcW w:w="6635" w:type="dxa"/>
            <w:tcBorders/>
            <w:shd w:fill="EEEEEE" w:val="clear"/>
            <w:vAlign w:val="center"/>
          </w:tcPr>
          <w:p>
            <w:pPr>
              <w:pStyle w:val="TableContents"/>
              <w:bidi w:val="0"/>
              <w:spacing w:before="0" w:after="283"/>
              <w:jc w:val="left"/>
              <w:rPr/>
            </w:pPr>
            <w:r>
              <w:rPr/>
              <w:t>Investment in joint venture</w:t>
            </w:r>
          </w:p>
        </w:tc>
        <w:tc>
          <w:tcPr>
            <w:tcW w:w="60" w:type="dxa"/>
            <w:tcBorders/>
            <w:shd w:fill="EEEEEE" w:val="clear"/>
            <w:vAlign w:val="center"/>
          </w:tcPr>
          <w:p>
            <w:pPr>
              <w:pStyle w:val="TableContents"/>
              <w:bidi w:val="0"/>
              <w:spacing w:before="0" w:after="283"/>
              <w:jc w:val="left"/>
              <w:rPr/>
            </w:pPr>
            <w:r>
              <w:rPr/>
              <w:t> </w:t>
            </w:r>
          </w:p>
        </w:tc>
        <w:tc>
          <w:tcPr>
            <w:tcW w:w="17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474" w:type="dxa"/>
            <w:tcBorders>
              <w:bottom w:val="single" w:sz="8" w:space="0" w:color="000000"/>
            </w:tcBorders>
            <w:shd w:fill="EEEEEE" w:val="clear"/>
            <w:tcMar>
              <w:bottom w:w="28" w:type="dxa"/>
            </w:tcMar>
            <w:vAlign w:val="center"/>
          </w:tcPr>
          <w:p>
            <w:pPr>
              <w:pStyle w:val="TableContents"/>
              <w:bidi w:val="0"/>
              <w:spacing w:before="0" w:after="283"/>
              <w:jc w:val="right"/>
              <w:rPr/>
            </w:pPr>
            <w:r>
              <w:rPr/>
              <w:t>(50,000</w:t>
            </w:r>
          </w:p>
        </w:tc>
        <w:tc>
          <w:tcPr>
            <w:tcW w:w="113" w:type="dxa"/>
            <w:tcBorders/>
            <w:shd w:fill="EEEEEE" w:val="clear"/>
            <w:vAlign w:val="center"/>
          </w:tcPr>
          <w:p>
            <w:pPr>
              <w:pStyle w:val="TableContents"/>
              <w:bidi w:val="0"/>
              <w:spacing w:before="0" w:after="283"/>
              <w:ind w:left="0" w:right="0" w:hanging="200"/>
              <w:jc w:val="left"/>
              <w:rPr/>
            </w:pPr>
            <w:r>
              <w:rPr/>
              <w:t>)</w:t>
            </w:r>
            <w:bookmarkStart w:id="215" w:name="xdx_408_eus-gaap--NetCashProvidedByUsedI"/>
            <w:bookmarkEnd w:id="215"/>
          </w:p>
        </w:tc>
      </w:tr>
      <w:tr>
        <w:trPr/>
        <w:tc>
          <w:tcPr>
            <w:tcW w:w="6635" w:type="dxa"/>
            <w:tcBorders/>
            <w:shd w:fill="FFFFFF" w:val="clear"/>
            <w:vAlign w:val="center"/>
          </w:tcPr>
          <w:p>
            <w:pPr>
              <w:pStyle w:val="TableContents"/>
              <w:bidi w:val="0"/>
              <w:spacing w:before="0" w:after="283"/>
              <w:jc w:val="left"/>
              <w:rPr/>
            </w:pPr>
            <w:r>
              <w:rPr/>
              <w:t>Net cash (used in) provided by investing activities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(144,885</w:t>
            </w:r>
          </w:p>
        </w:tc>
        <w:tc>
          <w:tcPr>
            <w:tcW w:w="119"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177,408</w:t>
            </w:r>
          </w:p>
        </w:tc>
        <w:tc>
          <w:tcPr>
            <w:tcW w:w="113" w:type="dxa"/>
            <w:tcBorders/>
            <w:shd w:fill="FFFFFF" w:val="clear"/>
            <w:vAlign w:val="center"/>
          </w:tcPr>
          <w:p>
            <w:pPr>
              <w:pStyle w:val="TableContents"/>
              <w:bidi w:val="0"/>
              <w:spacing w:before="0" w:after="283"/>
              <w:jc w:val="left"/>
              <w:rPr/>
            </w:pPr>
            <w:r>
              <w:rPr/>
              <w:t> </w:t>
            </w:r>
          </w:p>
        </w:tc>
      </w:tr>
      <w:tr>
        <w:trPr/>
        <w:tc>
          <w:tcPr>
            <w:tcW w:w="663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 </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 </w:t>
            </w:r>
          </w:p>
        </w:tc>
        <w:tc>
          <w:tcPr>
            <w:tcW w:w="113" w:type="dxa"/>
            <w:tcBorders/>
            <w:shd w:fill="EEEEEE" w:val="clear"/>
            <w:vAlign w:val="center"/>
          </w:tcPr>
          <w:p>
            <w:pPr>
              <w:pStyle w:val="TableContents"/>
              <w:bidi w:val="0"/>
              <w:spacing w:before="0" w:after="283"/>
              <w:jc w:val="left"/>
              <w:rPr/>
            </w:pPr>
            <w:r>
              <w:rPr/>
              <w:t> </w:t>
            </w:r>
            <w:bookmarkStart w:id="216" w:name="xdx_404_eus-gaap--NetCashProvidedByUsedI"/>
            <w:bookmarkEnd w:id="216"/>
          </w:p>
        </w:tc>
      </w:tr>
      <w:tr>
        <w:trPr/>
        <w:tc>
          <w:tcPr>
            <w:tcW w:w="6635" w:type="dxa"/>
            <w:tcBorders/>
            <w:shd w:fill="FFFFFF" w:val="clear"/>
            <w:vAlign w:val="center"/>
          </w:tcPr>
          <w:p>
            <w:pPr>
              <w:pStyle w:val="TableContents"/>
              <w:bidi w:val="0"/>
              <w:spacing w:before="0" w:after="283"/>
              <w:jc w:val="left"/>
              <w:rPr/>
            </w:pPr>
            <w:r>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bookmarkStart w:id="217" w:name="xdx_400_eus-gaap--ProceedsFromRelatedPar"/>
            <w:bookmarkEnd w:id="217"/>
          </w:p>
        </w:tc>
      </w:tr>
      <w:tr>
        <w:trPr/>
        <w:tc>
          <w:tcPr>
            <w:tcW w:w="6635" w:type="dxa"/>
            <w:tcBorders/>
            <w:shd w:fill="EEEEEE" w:val="clear"/>
            <w:vAlign w:val="center"/>
          </w:tcPr>
          <w:p>
            <w:pPr>
              <w:pStyle w:val="TableContents"/>
              <w:bidi w:val="0"/>
              <w:spacing w:before="0" w:after="283"/>
              <w:jc w:val="left"/>
              <w:rPr/>
            </w:pPr>
            <w:r>
              <w:rPr/>
              <w:t>Proceeds from related parties</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94,409</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w:t>
            </w:r>
          </w:p>
        </w:tc>
        <w:tc>
          <w:tcPr>
            <w:tcW w:w="113" w:type="dxa"/>
            <w:tcBorders/>
            <w:shd w:fill="EEEEEE" w:val="clear"/>
            <w:vAlign w:val="center"/>
          </w:tcPr>
          <w:p>
            <w:pPr>
              <w:pStyle w:val="TableContents"/>
              <w:bidi w:val="0"/>
              <w:spacing w:before="0" w:after="283"/>
              <w:ind w:left="0" w:right="0" w:hanging="200"/>
              <w:jc w:val="left"/>
              <w:rPr/>
            </w:pPr>
            <w:r>
              <w:rPr/>
              <w:t> </w:t>
            </w:r>
            <w:bookmarkStart w:id="218" w:name="xdx_403_eus-gaap--RepaymentsOfRelatedPar"/>
            <w:bookmarkEnd w:id="218"/>
          </w:p>
        </w:tc>
      </w:tr>
      <w:tr>
        <w:trPr/>
        <w:tc>
          <w:tcPr>
            <w:tcW w:w="6635" w:type="dxa"/>
            <w:tcBorders/>
            <w:shd w:fill="FFFFFF" w:val="clear"/>
            <w:vAlign w:val="center"/>
          </w:tcPr>
          <w:p>
            <w:pPr>
              <w:pStyle w:val="TableContents"/>
              <w:bidi w:val="0"/>
              <w:spacing w:before="0" w:after="283"/>
              <w:jc w:val="left"/>
              <w:rPr/>
            </w:pPr>
            <w:r>
              <w:rPr/>
              <w:t>Payments to related parties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(82,500</w:t>
            </w:r>
          </w:p>
        </w:tc>
        <w:tc>
          <w:tcPr>
            <w:tcW w:w="119"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(20,746</w:t>
            </w:r>
          </w:p>
        </w:tc>
        <w:tc>
          <w:tcPr>
            <w:tcW w:w="113" w:type="dxa"/>
            <w:tcBorders/>
            <w:shd w:fill="FFFFFF" w:val="clear"/>
            <w:vAlign w:val="center"/>
          </w:tcPr>
          <w:p>
            <w:pPr>
              <w:pStyle w:val="TableContents"/>
              <w:bidi w:val="0"/>
              <w:spacing w:before="0" w:after="283"/>
              <w:ind w:left="0" w:right="0" w:hanging="200"/>
              <w:jc w:val="left"/>
              <w:rPr/>
            </w:pPr>
            <w:r>
              <w:rPr/>
              <w:t>)</w:t>
            </w:r>
            <w:bookmarkStart w:id="219" w:name="xdx_40F_eus-gaap--ProceedsFromShortTermD"/>
            <w:bookmarkEnd w:id="219"/>
          </w:p>
        </w:tc>
      </w:tr>
      <w:tr>
        <w:trPr/>
        <w:tc>
          <w:tcPr>
            <w:tcW w:w="6635" w:type="dxa"/>
            <w:tcBorders/>
            <w:shd w:fill="EEEEEE" w:val="clear"/>
            <w:vAlign w:val="center"/>
          </w:tcPr>
          <w:p>
            <w:pPr>
              <w:pStyle w:val="TableContents"/>
              <w:bidi w:val="0"/>
              <w:spacing w:before="0" w:after="283"/>
              <w:jc w:val="left"/>
              <w:rPr/>
            </w:pPr>
            <w:r>
              <w:rPr/>
              <w:t>Proceeds from short-term loans</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31,385</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1,604,292</w:t>
            </w:r>
          </w:p>
        </w:tc>
        <w:tc>
          <w:tcPr>
            <w:tcW w:w="113" w:type="dxa"/>
            <w:tcBorders/>
            <w:shd w:fill="EEEEEE" w:val="clear"/>
            <w:vAlign w:val="center"/>
          </w:tcPr>
          <w:p>
            <w:pPr>
              <w:pStyle w:val="TableContents"/>
              <w:bidi w:val="0"/>
              <w:spacing w:before="0" w:after="283"/>
              <w:ind w:left="0" w:right="0" w:hanging="200"/>
              <w:jc w:val="left"/>
              <w:rPr/>
            </w:pPr>
            <w:r>
              <w:rPr/>
              <w:t> </w:t>
            </w:r>
            <w:bookmarkStart w:id="220" w:name="xdx_402_eus-gaap--PaymentsOfFinancingCos"/>
            <w:bookmarkEnd w:id="220"/>
          </w:p>
        </w:tc>
      </w:tr>
      <w:tr>
        <w:trPr/>
        <w:tc>
          <w:tcPr>
            <w:tcW w:w="6635" w:type="dxa"/>
            <w:tcBorders/>
            <w:shd w:fill="FFFFFF" w:val="clear"/>
            <w:vAlign w:val="center"/>
          </w:tcPr>
          <w:p>
            <w:pPr>
              <w:pStyle w:val="TableContents"/>
              <w:bidi w:val="0"/>
              <w:spacing w:before="0" w:after="283"/>
              <w:jc w:val="left"/>
              <w:rPr/>
            </w:pPr>
            <w:r>
              <w:rPr/>
              <w:t>Payments of financing fees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(796,035</w:t>
            </w:r>
          </w:p>
        </w:tc>
        <w:tc>
          <w:tcPr>
            <w:tcW w:w="113" w:type="dxa"/>
            <w:tcBorders/>
            <w:shd w:fill="FFFFFF" w:val="clear"/>
            <w:vAlign w:val="center"/>
          </w:tcPr>
          <w:p>
            <w:pPr>
              <w:pStyle w:val="TableContents"/>
              <w:bidi w:val="0"/>
              <w:spacing w:before="0" w:after="283"/>
              <w:ind w:left="0" w:right="0" w:hanging="200"/>
              <w:jc w:val="left"/>
              <w:rPr/>
            </w:pPr>
            <w:r>
              <w:rPr/>
              <w:t>)</w:t>
            </w:r>
            <w:bookmarkStart w:id="221" w:name="xdx_40F_ecustom--PaymentOnInvestmentPaya"/>
            <w:bookmarkEnd w:id="221"/>
          </w:p>
        </w:tc>
      </w:tr>
      <w:tr>
        <w:trPr/>
        <w:tc>
          <w:tcPr>
            <w:tcW w:w="6635" w:type="dxa"/>
            <w:tcBorders/>
            <w:shd w:fill="EEEEEE" w:val="clear"/>
            <w:vAlign w:val="center"/>
          </w:tcPr>
          <w:p>
            <w:pPr>
              <w:pStyle w:val="TableContents"/>
              <w:bidi w:val="0"/>
              <w:spacing w:before="0" w:after="283"/>
              <w:jc w:val="left"/>
              <w:rPr/>
            </w:pPr>
            <w:r>
              <w:rPr/>
              <w:t>Payment on investment payable</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(1,500,000</w:t>
            </w:r>
          </w:p>
        </w:tc>
        <w:tc>
          <w:tcPr>
            <w:tcW w:w="119" w:type="dxa"/>
            <w:tcBorders/>
            <w:shd w:fill="EEEEEE" w:val="clear"/>
            <w:vAlign w:val="center"/>
          </w:tcPr>
          <w:p>
            <w:pPr>
              <w:pStyle w:val="TableContents"/>
              <w:bidi w:val="0"/>
              <w:spacing w:before="0" w:after="283"/>
              <w:jc w:val="left"/>
              <w:rPr/>
            </w:pPr>
            <w:r>
              <w:rPr/>
              <w:t>)</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w:t>
            </w:r>
          </w:p>
        </w:tc>
        <w:tc>
          <w:tcPr>
            <w:tcW w:w="113" w:type="dxa"/>
            <w:tcBorders/>
            <w:shd w:fill="EEEEEE" w:val="clear"/>
            <w:vAlign w:val="center"/>
          </w:tcPr>
          <w:p>
            <w:pPr>
              <w:pStyle w:val="TableContents"/>
              <w:bidi w:val="0"/>
              <w:spacing w:before="0" w:after="283"/>
              <w:ind w:left="0" w:right="0" w:hanging="200"/>
              <w:jc w:val="left"/>
              <w:rPr/>
            </w:pPr>
            <w:r>
              <w:rPr/>
              <w:t> </w:t>
            </w:r>
            <w:bookmarkStart w:id="222" w:name="xdx_403_eus-gaap--RepaymentsOfShortTermD"/>
            <w:bookmarkEnd w:id="222"/>
          </w:p>
        </w:tc>
      </w:tr>
      <w:tr>
        <w:trPr/>
        <w:tc>
          <w:tcPr>
            <w:tcW w:w="6635" w:type="dxa"/>
            <w:tcBorders/>
            <w:shd w:fill="FFFFFF" w:val="clear"/>
            <w:vAlign w:val="center"/>
          </w:tcPr>
          <w:p>
            <w:pPr>
              <w:pStyle w:val="TableContents"/>
              <w:bidi w:val="0"/>
              <w:spacing w:before="0" w:after="283"/>
              <w:jc w:val="left"/>
              <w:rPr/>
            </w:pPr>
            <w:r>
              <w:rPr/>
              <w:t>Payments on short-term loans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(1,781,385</w:t>
            </w:r>
          </w:p>
        </w:tc>
        <w:tc>
          <w:tcPr>
            <w:tcW w:w="119"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(1,767,061</w:t>
            </w:r>
          </w:p>
        </w:tc>
        <w:tc>
          <w:tcPr>
            <w:tcW w:w="113" w:type="dxa"/>
            <w:tcBorders/>
            <w:shd w:fill="FFFFFF" w:val="clear"/>
            <w:vAlign w:val="center"/>
          </w:tcPr>
          <w:p>
            <w:pPr>
              <w:pStyle w:val="TableContents"/>
              <w:bidi w:val="0"/>
              <w:spacing w:before="0" w:after="283"/>
              <w:ind w:left="0" w:right="0" w:hanging="200"/>
              <w:jc w:val="left"/>
              <w:rPr/>
            </w:pPr>
            <w:r>
              <w:rPr/>
              <w:t>)</w:t>
            </w:r>
            <w:bookmarkStart w:id="223" w:name="xdx_40B_eus-gaap--ProceedsFromIssuanceOf"/>
            <w:bookmarkEnd w:id="223"/>
          </w:p>
        </w:tc>
      </w:tr>
      <w:tr>
        <w:trPr/>
        <w:tc>
          <w:tcPr>
            <w:tcW w:w="6635" w:type="dxa"/>
            <w:tcBorders/>
            <w:shd w:fill="EEEEEE" w:val="clear"/>
            <w:vAlign w:val="center"/>
          </w:tcPr>
          <w:p>
            <w:pPr>
              <w:pStyle w:val="TableContents"/>
              <w:bidi w:val="0"/>
              <w:spacing w:before="0" w:after="283"/>
              <w:jc w:val="left"/>
              <w:rPr/>
            </w:pPr>
            <w:r>
              <w:rPr/>
              <w:t>Proceeds from long-term loans</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3,175,000</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11,602,367</w:t>
            </w:r>
          </w:p>
        </w:tc>
        <w:tc>
          <w:tcPr>
            <w:tcW w:w="113" w:type="dxa"/>
            <w:tcBorders/>
            <w:shd w:fill="EEEEEE" w:val="clear"/>
            <w:vAlign w:val="center"/>
          </w:tcPr>
          <w:p>
            <w:pPr>
              <w:pStyle w:val="TableContents"/>
              <w:bidi w:val="0"/>
              <w:spacing w:before="0" w:after="283"/>
              <w:ind w:left="0" w:right="0" w:hanging="200"/>
              <w:jc w:val="left"/>
              <w:rPr/>
            </w:pPr>
            <w:r>
              <w:rPr/>
              <w:t> </w:t>
            </w:r>
            <w:bookmarkStart w:id="224" w:name="xdx_40B_eus-gaap--RepaymentsOfOtherLongT"/>
            <w:bookmarkEnd w:id="224"/>
          </w:p>
        </w:tc>
      </w:tr>
      <w:tr>
        <w:trPr/>
        <w:tc>
          <w:tcPr>
            <w:tcW w:w="6635" w:type="dxa"/>
            <w:tcBorders/>
            <w:shd w:fill="FFFFFF" w:val="clear"/>
            <w:vAlign w:val="center"/>
          </w:tcPr>
          <w:p>
            <w:pPr>
              <w:pStyle w:val="TableContents"/>
              <w:bidi w:val="0"/>
              <w:spacing w:before="0" w:after="283"/>
              <w:jc w:val="left"/>
              <w:rPr/>
            </w:pPr>
            <w:r>
              <w:rPr/>
              <w:t>Payments on long-term loans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FFFFFF" w:val="clear"/>
            <w:tcMar>
              <w:bottom w:w="28" w:type="dxa"/>
            </w:tcMar>
            <w:vAlign w:val="center"/>
          </w:tcPr>
          <w:p>
            <w:pPr>
              <w:pStyle w:val="TableContents"/>
              <w:bidi w:val="0"/>
              <w:spacing w:before="0" w:after="283"/>
              <w:jc w:val="right"/>
              <w:rPr/>
            </w:pPr>
            <w:r>
              <w:rPr/>
              <w:t>(8,600,000</w:t>
            </w:r>
          </w:p>
        </w:tc>
        <w:tc>
          <w:tcPr>
            <w:tcW w:w="119" w:type="dxa"/>
            <w:tcBorders/>
            <w:shd w:fill="FFFFFF" w:val="clear"/>
            <w:vAlign w:val="center"/>
          </w:tcPr>
          <w:p>
            <w:pPr>
              <w:pStyle w:val="TableContents"/>
              <w:bidi w:val="0"/>
              <w:spacing w:before="0" w:after="283"/>
              <w:jc w:val="left"/>
              <w:rPr/>
            </w:pPr>
            <w:r>
              <w:rPr/>
              <w:t>)</w:t>
            </w:r>
          </w:p>
        </w:tc>
        <w:tc>
          <w:tcPr>
            <w:tcW w:w="75"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4" w:type="dxa"/>
            <w:tcBorders>
              <w:bottom w:val="single" w:sz="8" w:space="0" w:color="000000"/>
            </w:tcBorders>
            <w:shd w:fill="FFFFFF" w:val="clear"/>
            <w:tcMar>
              <w:bottom w:w="28" w:type="dxa"/>
            </w:tcMar>
            <w:vAlign w:val="center"/>
          </w:tcPr>
          <w:p>
            <w:pPr>
              <w:pStyle w:val="TableContents"/>
              <w:bidi w:val="0"/>
              <w:spacing w:before="0" w:after="283"/>
              <w:jc w:val="right"/>
              <w:rPr/>
            </w:pPr>
            <w:r>
              <w:rPr/>
              <w:t>(24,370</w:t>
            </w:r>
          </w:p>
        </w:tc>
        <w:tc>
          <w:tcPr>
            <w:tcW w:w="113" w:type="dxa"/>
            <w:tcBorders/>
            <w:shd w:fill="FFFFFF" w:val="clear"/>
            <w:vAlign w:val="center"/>
          </w:tcPr>
          <w:p>
            <w:pPr>
              <w:pStyle w:val="TableContents"/>
              <w:bidi w:val="0"/>
              <w:spacing w:before="0" w:after="283"/>
              <w:ind w:left="0" w:right="0" w:hanging="200"/>
              <w:jc w:val="left"/>
              <w:rPr/>
            </w:pPr>
            <w:r>
              <w:rPr/>
              <w:t>)</w:t>
            </w:r>
            <w:bookmarkStart w:id="225" w:name="xdx_406_eus-gaap--NetCashProvidedByUsedI"/>
            <w:bookmarkEnd w:id="225"/>
          </w:p>
        </w:tc>
      </w:tr>
      <w:tr>
        <w:trPr/>
        <w:tc>
          <w:tcPr>
            <w:tcW w:w="6635" w:type="dxa"/>
            <w:tcBorders/>
            <w:shd w:fill="EEEEEE" w:val="clear"/>
            <w:vAlign w:val="center"/>
          </w:tcPr>
          <w:p>
            <w:pPr>
              <w:pStyle w:val="TableContents"/>
              <w:bidi w:val="0"/>
              <w:spacing w:before="0" w:after="283"/>
              <w:jc w:val="left"/>
              <w:rPr/>
            </w:pPr>
            <w:r>
              <w:rPr/>
              <w:t>Net cash (used in) provided by financing activities</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(8,663,091</w:t>
            </w:r>
          </w:p>
        </w:tc>
        <w:tc>
          <w:tcPr>
            <w:tcW w:w="119" w:type="dxa"/>
            <w:tcBorders/>
            <w:shd w:fill="EEEEEE" w:val="clear"/>
            <w:vAlign w:val="center"/>
          </w:tcPr>
          <w:p>
            <w:pPr>
              <w:pStyle w:val="TableContents"/>
              <w:bidi w:val="0"/>
              <w:spacing w:before="0" w:after="283"/>
              <w:jc w:val="left"/>
              <w:rPr/>
            </w:pPr>
            <w:r>
              <w:rPr/>
              <w:t>)</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10,598,447</w:t>
            </w:r>
          </w:p>
        </w:tc>
        <w:tc>
          <w:tcPr>
            <w:tcW w:w="113" w:type="dxa"/>
            <w:tcBorders/>
            <w:shd w:fill="EEEEEE"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26" w:name="xdx_406_eus-gaap--EffectOfExchangeRateOn"/>
            <w:bookmarkEnd w:id="226"/>
          </w:p>
        </w:tc>
      </w:tr>
      <w:tr>
        <w:trPr/>
        <w:tc>
          <w:tcPr>
            <w:tcW w:w="6635" w:type="dxa"/>
            <w:tcBorders/>
            <w:shd w:fill="EEEEEE" w:val="clear"/>
            <w:vAlign w:val="center"/>
          </w:tcPr>
          <w:p>
            <w:pPr>
              <w:pStyle w:val="TableContents"/>
              <w:bidi w:val="0"/>
              <w:spacing w:before="0" w:after="283"/>
              <w:jc w:val="left"/>
              <w:rPr/>
            </w:pPr>
            <w:r>
              <w:rPr/>
              <w:t>EFFECT OF EXCHANGE RATE ON CASH</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(40,923</w:t>
            </w:r>
          </w:p>
        </w:tc>
        <w:tc>
          <w:tcPr>
            <w:tcW w:w="119" w:type="dxa"/>
            <w:tcBorders/>
            <w:shd w:fill="EEEEEE" w:val="clear"/>
            <w:vAlign w:val="center"/>
          </w:tcPr>
          <w:p>
            <w:pPr>
              <w:pStyle w:val="TableContents"/>
              <w:bidi w:val="0"/>
              <w:spacing w:before="0" w:after="283"/>
              <w:jc w:val="left"/>
              <w:rPr/>
            </w:pPr>
            <w:r>
              <w:rPr/>
              <w:t>)</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(25,707</w:t>
            </w:r>
          </w:p>
        </w:tc>
        <w:tc>
          <w:tcPr>
            <w:tcW w:w="113" w:type="dxa"/>
            <w:tcBorders/>
            <w:shd w:fill="EEEEEE" w:val="clear"/>
            <w:vAlign w:val="center"/>
          </w:tcPr>
          <w:p>
            <w:pPr>
              <w:pStyle w:val="TableContents"/>
              <w:bidi w:val="0"/>
              <w:spacing w:before="0" w:after="283"/>
              <w:jc w:val="left"/>
              <w:rPr/>
            </w:pPr>
            <w:r>
              <w:rPr/>
              <w:t>)</w:t>
            </w:r>
          </w:p>
        </w:tc>
      </w:tr>
      <w:tr>
        <w:trPr/>
        <w:tc>
          <w:tcPr>
            <w:tcW w:w="6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27" w:name="xdx_406_eus-gaap--CashCashEquivalentsRes"/>
            <w:bookmarkEnd w:id="227"/>
          </w:p>
        </w:tc>
      </w:tr>
      <w:tr>
        <w:trPr/>
        <w:tc>
          <w:tcPr>
            <w:tcW w:w="6635" w:type="dxa"/>
            <w:tcBorders/>
            <w:shd w:fill="EEEEEE" w:val="clear"/>
            <w:vAlign w:val="center"/>
          </w:tcPr>
          <w:p>
            <w:pPr>
              <w:pStyle w:val="TableContents"/>
              <w:bidi w:val="0"/>
              <w:spacing w:before="0" w:after="283"/>
              <w:jc w:val="left"/>
              <w:rPr/>
            </w:pPr>
            <w:r>
              <w:rPr/>
              <w:t>CHANGES IN CASH</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(402,452</w:t>
            </w:r>
          </w:p>
        </w:tc>
        <w:tc>
          <w:tcPr>
            <w:tcW w:w="119" w:type="dxa"/>
            <w:tcBorders/>
            <w:shd w:fill="EEEEEE" w:val="clear"/>
            <w:vAlign w:val="center"/>
          </w:tcPr>
          <w:p>
            <w:pPr>
              <w:pStyle w:val="TableContents"/>
              <w:bidi w:val="0"/>
              <w:spacing w:before="0" w:after="283"/>
              <w:jc w:val="left"/>
              <w:rPr/>
            </w:pPr>
            <w:r>
              <w:rPr/>
              <w:t>)</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(4,010,121</w:t>
            </w:r>
          </w:p>
        </w:tc>
        <w:tc>
          <w:tcPr>
            <w:tcW w:w="113" w:type="dxa"/>
            <w:tcBorders/>
            <w:shd w:fill="EEEEEE" w:val="clear"/>
            <w:vAlign w:val="center"/>
          </w:tcPr>
          <w:p>
            <w:pPr>
              <w:pStyle w:val="TableContents"/>
              <w:bidi w:val="0"/>
              <w:spacing w:before="0" w:after="283"/>
              <w:jc w:val="left"/>
              <w:rPr/>
            </w:pPr>
            <w:r>
              <w:rPr/>
              <w:t>)</w:t>
            </w:r>
          </w:p>
        </w:tc>
      </w:tr>
      <w:tr>
        <w:trPr/>
        <w:tc>
          <w:tcPr>
            <w:tcW w:w="6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28" w:name="xdx_401_eus-gaap--CashCashEquivalentsRes"/>
            <w:bookmarkEnd w:id="228"/>
          </w:p>
        </w:tc>
      </w:tr>
      <w:tr>
        <w:trPr/>
        <w:tc>
          <w:tcPr>
            <w:tcW w:w="6635" w:type="dxa"/>
            <w:tcBorders/>
            <w:shd w:fill="EEEEEE" w:val="clear"/>
            <w:vAlign w:val="center"/>
          </w:tcPr>
          <w:p>
            <w:pPr>
              <w:pStyle w:val="TableContents"/>
              <w:bidi w:val="0"/>
              <w:spacing w:before="0" w:after="283"/>
              <w:jc w:val="left"/>
              <w:rPr/>
            </w:pPr>
            <w:r>
              <w:rPr/>
              <w:t>CASH AND CASH EQUIVALENT, beginning of period</w:t>
            </w:r>
          </w:p>
        </w:tc>
        <w:tc>
          <w:tcPr>
            <w:tcW w:w="60" w:type="dxa"/>
            <w:tcBorders/>
            <w:shd w:fill="EEEEEE" w:val="clear"/>
            <w:vAlign w:val="center"/>
          </w:tcPr>
          <w:p>
            <w:pPr>
              <w:pStyle w:val="TableContents"/>
              <w:bidi w:val="0"/>
              <w:spacing w:before="0" w:after="283"/>
              <w:jc w:val="left"/>
              <w:rPr/>
            </w:pPr>
            <w:r>
              <w:rPr/>
              <w:t> </w:t>
            </w:r>
          </w:p>
        </w:tc>
        <w:tc>
          <w:tcPr>
            <w:tcW w:w="17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379" w:type="dxa"/>
            <w:tcBorders>
              <w:bottom w:val="single" w:sz="8" w:space="0" w:color="000000"/>
            </w:tcBorders>
            <w:shd w:fill="EEEEEE" w:val="clear"/>
            <w:tcMar>
              <w:bottom w:w="28" w:type="dxa"/>
            </w:tcMar>
            <w:vAlign w:val="center"/>
          </w:tcPr>
          <w:p>
            <w:pPr>
              <w:pStyle w:val="TableContents"/>
              <w:bidi w:val="0"/>
              <w:spacing w:before="0" w:after="283"/>
              <w:jc w:val="right"/>
              <w:rPr/>
            </w:pPr>
            <w:r>
              <w:rPr/>
              <w:t>1,821,947</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474" w:type="dxa"/>
            <w:tcBorders>
              <w:bottom w:val="single" w:sz="8" w:space="0" w:color="000000"/>
            </w:tcBorders>
            <w:shd w:fill="EEEEEE" w:val="clear"/>
            <w:tcMar>
              <w:bottom w:w="28" w:type="dxa"/>
            </w:tcMar>
            <w:vAlign w:val="center"/>
          </w:tcPr>
          <w:p>
            <w:pPr>
              <w:pStyle w:val="TableContents"/>
              <w:bidi w:val="0"/>
              <w:spacing w:before="0" w:after="283"/>
              <w:jc w:val="right"/>
              <w:rPr/>
            </w:pPr>
            <w:r>
              <w:rPr/>
              <w:t>6,651,705</w:t>
            </w:r>
          </w:p>
        </w:tc>
        <w:tc>
          <w:tcPr>
            <w:tcW w:w="113" w:type="dxa"/>
            <w:tcBorders/>
            <w:shd w:fill="EEEEEE"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29" w:name="xdx_406_eus-gaap--CashCashEquivalentsRes"/>
            <w:bookmarkEnd w:id="229"/>
          </w:p>
        </w:tc>
      </w:tr>
      <w:tr>
        <w:trPr/>
        <w:tc>
          <w:tcPr>
            <w:tcW w:w="6635" w:type="dxa"/>
            <w:tcBorders/>
            <w:shd w:fill="EEEEEE" w:val="clear"/>
            <w:vAlign w:val="center"/>
          </w:tcPr>
          <w:p>
            <w:pPr>
              <w:pStyle w:val="TableContents"/>
              <w:bidi w:val="0"/>
              <w:spacing w:before="0" w:after="283"/>
              <w:jc w:val="left"/>
              <w:rPr/>
            </w:pPr>
            <w:r>
              <w:rPr/>
              <w:t>CASH AND CASH EQUIVALENT, end of period</w:t>
            </w:r>
          </w:p>
        </w:tc>
        <w:tc>
          <w:tcPr>
            <w:tcW w:w="60" w:type="dxa"/>
            <w:tcBorders/>
            <w:shd w:fill="EEEEEE" w:val="clear"/>
            <w:vAlign w:val="center"/>
          </w:tcPr>
          <w:p>
            <w:pPr>
              <w:pStyle w:val="TableContents"/>
              <w:bidi w:val="0"/>
              <w:spacing w:before="0" w:after="283"/>
              <w:jc w:val="left"/>
              <w:rPr/>
            </w:pPr>
            <w:r>
              <w:rPr/>
              <w:t> </w:t>
            </w:r>
          </w:p>
        </w:tc>
        <w:tc>
          <w:tcPr>
            <w:tcW w:w="17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379" w:type="dxa"/>
            <w:tcBorders>
              <w:bottom w:val="double" w:sz="6" w:space="0" w:color="000000"/>
            </w:tcBorders>
            <w:shd w:fill="EEEEEE" w:val="clear"/>
            <w:tcMar>
              <w:bottom w:w="28" w:type="dxa"/>
            </w:tcMar>
            <w:vAlign w:val="center"/>
          </w:tcPr>
          <w:p>
            <w:pPr>
              <w:pStyle w:val="TableContents"/>
              <w:bidi w:val="0"/>
              <w:spacing w:before="0" w:after="283"/>
              <w:jc w:val="right"/>
              <w:rPr/>
            </w:pPr>
            <w:r>
              <w:rPr/>
              <w:t>1,419,495</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474" w:type="dxa"/>
            <w:tcBorders>
              <w:bottom w:val="double" w:sz="6" w:space="0" w:color="000000"/>
            </w:tcBorders>
            <w:shd w:fill="EEEEEE" w:val="clear"/>
            <w:tcMar>
              <w:bottom w:w="28" w:type="dxa"/>
            </w:tcMar>
            <w:vAlign w:val="center"/>
          </w:tcPr>
          <w:p>
            <w:pPr>
              <w:pStyle w:val="TableContents"/>
              <w:bidi w:val="0"/>
              <w:spacing w:before="0" w:after="283"/>
              <w:jc w:val="right"/>
              <w:rPr/>
            </w:pPr>
            <w:r>
              <w:rPr/>
              <w:t>2,641,584</w:t>
            </w:r>
          </w:p>
        </w:tc>
        <w:tc>
          <w:tcPr>
            <w:tcW w:w="113" w:type="dxa"/>
            <w:tcBorders/>
            <w:shd w:fill="EEEEEE" w:val="clear"/>
            <w:vAlign w:val="center"/>
          </w:tcPr>
          <w:p>
            <w:pPr>
              <w:pStyle w:val="TableContents"/>
              <w:bidi w:val="0"/>
              <w:spacing w:before="0" w:after="283"/>
              <w:jc w:val="left"/>
              <w:rPr/>
            </w:pPr>
            <w:r>
              <w:rPr/>
              <w:t> </w:t>
            </w:r>
          </w:p>
        </w:tc>
      </w:tr>
      <w:tr>
        <w:trPr/>
        <w:tc>
          <w:tcPr>
            <w:tcW w:w="6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30" w:name="xdx_40D_eus-gaap--SupplementalCashFlowIn"/>
            <w:bookmarkEnd w:id="230"/>
          </w:p>
        </w:tc>
      </w:tr>
      <w:tr>
        <w:trPr/>
        <w:tc>
          <w:tcPr>
            <w:tcW w:w="6635" w:type="dxa"/>
            <w:tcBorders/>
            <w:shd w:fill="EEEEEE" w:val="clear"/>
            <w:vAlign w:val="center"/>
          </w:tcPr>
          <w:p>
            <w:pPr>
              <w:pStyle w:val="TableContents"/>
              <w:bidi w:val="0"/>
              <w:spacing w:before="0" w:after="283"/>
              <w:jc w:val="left"/>
              <w:rPr/>
            </w:pPr>
            <w:r>
              <w:rPr/>
              <w:t>SUPPLEMENTAL CASH FLOW INFORMATION:</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 </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pPr>
            <w:r>
              <w:rPr/>
              <w:t> </w:t>
            </w:r>
          </w:p>
        </w:tc>
        <w:tc>
          <w:tcPr>
            <w:tcW w:w="113" w:type="dxa"/>
            <w:tcBorders/>
            <w:shd w:fill="EEEEEE" w:val="clear"/>
            <w:vAlign w:val="center"/>
          </w:tcPr>
          <w:p>
            <w:pPr>
              <w:pStyle w:val="TableContents"/>
              <w:bidi w:val="0"/>
              <w:spacing w:before="0" w:after="283"/>
              <w:ind w:left="0" w:right="0" w:hanging="200"/>
              <w:jc w:val="left"/>
              <w:rPr/>
            </w:pPr>
            <w:r>
              <w:rPr/>
              <w:t> </w:t>
            </w:r>
            <w:bookmarkStart w:id="231" w:name="xdx_405_eus-gaap--IncomeTaxesPaidNet_i01"/>
            <w:bookmarkEnd w:id="231"/>
          </w:p>
        </w:tc>
      </w:tr>
      <w:tr>
        <w:trPr/>
        <w:tc>
          <w:tcPr>
            <w:tcW w:w="6635" w:type="dxa"/>
            <w:tcBorders/>
            <w:shd w:fill="FFFFFF" w:val="clear"/>
            <w:vAlign w:val="center"/>
          </w:tcPr>
          <w:p>
            <w:pPr>
              <w:pStyle w:val="TableContents"/>
              <w:bidi w:val="0"/>
              <w:spacing w:before="0" w:after="283"/>
              <w:jc w:val="left"/>
              <w:rPr/>
            </w:pPr>
            <w:r>
              <w:rPr/>
              <w:t>Cash paid for income tax</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379" w:type="dxa"/>
            <w:tcBorders>
              <w:bottom w:val="double" w:sz="6" w:space="0" w:color="000000"/>
            </w:tcBorders>
            <w:shd w:fill="FFFFFF" w:val="clear"/>
            <w:tcMar>
              <w:bottom w:w="28" w:type="dxa"/>
            </w:tcMar>
            <w:vAlign w:val="center"/>
          </w:tcPr>
          <w:p>
            <w:pPr>
              <w:pStyle w:val="TableContents"/>
              <w:bidi w:val="0"/>
              <w:spacing w:before="0" w:after="283"/>
              <w:jc w:val="right"/>
              <w:rPr/>
            </w:pPr>
            <w:r>
              <w:rPr/>
              <w:t>55,000</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474" w:type="dxa"/>
            <w:tcBorders>
              <w:bottom w:val="double" w:sz="6" w:space="0" w:color="000000"/>
            </w:tcBorders>
            <w:shd w:fill="FFFFFF" w:val="clear"/>
            <w:tcMar>
              <w:bottom w:w="28" w:type="dxa"/>
            </w:tcMar>
            <w:vAlign w:val="center"/>
          </w:tcPr>
          <w:p>
            <w:pPr>
              <w:pStyle w:val="TableContents"/>
              <w:bidi w:val="0"/>
              <w:spacing w:before="0" w:after="283"/>
              <w:jc w:val="right"/>
              <w:rPr/>
            </w:pPr>
            <w:r>
              <w:rPr/>
              <w:t>1,181,710</w:t>
            </w:r>
          </w:p>
        </w:tc>
        <w:tc>
          <w:tcPr>
            <w:tcW w:w="113" w:type="dxa"/>
            <w:tcBorders/>
            <w:shd w:fill="FFFFFF" w:val="clear"/>
            <w:vAlign w:val="center"/>
          </w:tcPr>
          <w:p>
            <w:pPr>
              <w:pStyle w:val="TableContents"/>
              <w:bidi w:val="0"/>
              <w:spacing w:before="0" w:after="283"/>
              <w:ind w:left="0" w:right="0" w:hanging="200"/>
              <w:jc w:val="left"/>
              <w:rPr/>
            </w:pPr>
            <w:r>
              <w:rPr/>
              <w:t> </w:t>
            </w:r>
            <w:bookmarkStart w:id="232" w:name="xdx_40D_eus-gaap--InterestPaidNet_i01_d0"/>
            <w:bookmarkEnd w:id="232"/>
          </w:p>
        </w:tc>
      </w:tr>
      <w:tr>
        <w:trPr/>
        <w:tc>
          <w:tcPr>
            <w:tcW w:w="6635" w:type="dxa"/>
            <w:tcBorders/>
            <w:shd w:fill="EEEEEE" w:val="clear"/>
            <w:vAlign w:val="center"/>
          </w:tcPr>
          <w:p>
            <w:pPr>
              <w:pStyle w:val="TableContents"/>
              <w:bidi w:val="0"/>
              <w:spacing w:before="0" w:after="283"/>
              <w:jc w:val="left"/>
              <w:rPr/>
            </w:pPr>
            <w:r>
              <w:rPr/>
              <w:t>Cash paid for interest</w:t>
            </w:r>
          </w:p>
        </w:tc>
        <w:tc>
          <w:tcPr>
            <w:tcW w:w="60" w:type="dxa"/>
            <w:tcBorders/>
            <w:shd w:fill="EEEEEE" w:val="clear"/>
            <w:vAlign w:val="center"/>
          </w:tcPr>
          <w:p>
            <w:pPr>
              <w:pStyle w:val="TableContents"/>
              <w:bidi w:val="0"/>
              <w:spacing w:before="0" w:after="283"/>
              <w:jc w:val="left"/>
              <w:rPr/>
            </w:pPr>
            <w:r>
              <w:rPr/>
              <w:t> </w:t>
            </w:r>
          </w:p>
        </w:tc>
        <w:tc>
          <w:tcPr>
            <w:tcW w:w="17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379" w:type="dxa"/>
            <w:tcBorders>
              <w:bottom w:val="double" w:sz="6" w:space="0" w:color="000000"/>
            </w:tcBorders>
            <w:shd w:fill="EEEEEE" w:val="clear"/>
            <w:tcMar>
              <w:bottom w:w="28" w:type="dxa"/>
            </w:tcMar>
            <w:vAlign w:val="center"/>
          </w:tcPr>
          <w:p>
            <w:pPr>
              <w:pStyle w:val="TableContents"/>
              <w:bidi w:val="0"/>
              <w:spacing w:before="0" w:after="283"/>
              <w:jc w:val="right"/>
              <w:rPr/>
            </w:pPr>
            <w:r>
              <w:rPr/>
              <w:t>–</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474" w:type="dxa"/>
            <w:tcBorders>
              <w:bottom w:val="double" w:sz="6" w:space="0" w:color="000000"/>
            </w:tcBorders>
            <w:shd w:fill="EEEEEE" w:val="clear"/>
            <w:tcMar>
              <w:bottom w:w="28" w:type="dxa"/>
            </w:tcMar>
            <w:vAlign w:val="center"/>
          </w:tcPr>
          <w:p>
            <w:pPr>
              <w:pStyle w:val="TableContents"/>
              <w:bidi w:val="0"/>
              <w:spacing w:before="0" w:after="283"/>
              <w:jc w:val="right"/>
              <w:rPr/>
            </w:pPr>
            <w:r>
              <w:rPr/>
              <w:t>–</w:t>
            </w:r>
          </w:p>
        </w:tc>
        <w:tc>
          <w:tcPr>
            <w:tcW w:w="113" w:type="dxa"/>
            <w:tcBorders/>
            <w:shd w:fill="EEEEEE" w:val="clear"/>
            <w:vAlign w:val="center"/>
          </w:tcPr>
          <w:p>
            <w:pPr>
              <w:pStyle w:val="TableContents"/>
              <w:bidi w:val="0"/>
              <w:spacing w:before="0" w:after="283"/>
              <w:ind w:left="0" w:right="0" w:hanging="200"/>
              <w:jc w:val="left"/>
              <w:rPr/>
            </w:pPr>
            <w:r>
              <w:rPr/>
              <w:t> </w:t>
            </w:r>
          </w:p>
        </w:tc>
      </w:tr>
      <w:tr>
        <w:trPr/>
        <w:tc>
          <w:tcPr>
            <w:tcW w:w="66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 </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233" w:name="xdx_40C_eus-gaap--NoncashInvestingAndFin"/>
            <w:bookmarkEnd w:id="233"/>
          </w:p>
        </w:tc>
      </w:tr>
      <w:tr>
        <w:trPr/>
        <w:tc>
          <w:tcPr>
            <w:tcW w:w="8368" w:type="dxa"/>
            <w:gridSpan w:val="5"/>
            <w:tcBorders/>
            <w:shd w:fill="EEEEEE" w:val="clear"/>
            <w:vAlign w:val="center"/>
          </w:tcPr>
          <w:p>
            <w:pPr>
              <w:pStyle w:val="TableContents"/>
              <w:bidi w:val="0"/>
              <w:spacing w:before="0" w:after="283"/>
              <w:jc w:val="left"/>
              <w:rPr>
                <w:sz w:val="20"/>
              </w:rPr>
            </w:pPr>
            <w:r>
              <w:rPr>
                <w:sz w:val="20"/>
              </w:rPr>
              <w:t>SUPPLEMENTAL DISCLOSURE OF NON-CASH INVESTING AND FINANCING TRANSACTIONS:</w:t>
            </w:r>
          </w:p>
        </w:tc>
        <w:tc>
          <w:tcPr>
            <w:tcW w:w="75" w:type="dxa"/>
            <w:tcBorders/>
            <w:shd w:fill="EEEEEE" w:val="clear"/>
            <w:vAlign w:val="center"/>
          </w:tcPr>
          <w:p>
            <w:pPr>
              <w:pStyle w:val="TableContents"/>
              <w:bidi w:val="0"/>
              <w:spacing w:before="0" w:after="283"/>
              <w:jc w:val="left"/>
              <w:rPr/>
            </w:pPr>
            <w:r>
              <w:rPr/>
              <w:t> </w:t>
            </w:r>
          </w:p>
        </w:tc>
        <w:tc>
          <w:tcPr>
            <w:tcW w:w="1649" w:type="dxa"/>
            <w:gridSpan w:val="2"/>
            <w:tcBorders/>
            <w:shd w:fill="EEEEEE" w:val="clear"/>
            <w:vAlign w:val="center"/>
          </w:tcPr>
          <w:p>
            <w:pPr>
              <w:pStyle w:val="TableContents"/>
              <w:bidi w:val="0"/>
              <w:spacing w:before="0" w:after="283"/>
              <w:jc w:val="left"/>
              <w:rPr/>
            </w:pPr>
            <w:r>
              <w:rPr/>
              <w:t> </w:t>
            </w:r>
          </w:p>
        </w:tc>
        <w:tc>
          <w:tcPr>
            <w:tcW w:w="113" w:type="dxa"/>
            <w:tcBorders/>
            <w:shd w:fill="EEEEEE" w:val="clear"/>
            <w:vAlign w:val="center"/>
          </w:tcPr>
          <w:p>
            <w:pPr>
              <w:pStyle w:val="TableContents"/>
              <w:bidi w:val="0"/>
              <w:spacing w:before="0" w:after="283"/>
              <w:jc w:val="left"/>
              <w:rPr/>
            </w:pPr>
            <w:r>
              <w:rPr/>
              <w:t> </w:t>
            </w:r>
            <w:bookmarkStart w:id="234" w:name="xdx_401_eus-gaap--StockIssued1_i01_d0_zm"/>
            <w:bookmarkEnd w:id="234"/>
          </w:p>
        </w:tc>
      </w:tr>
      <w:tr>
        <w:trPr/>
        <w:tc>
          <w:tcPr>
            <w:tcW w:w="6635" w:type="dxa"/>
            <w:tcBorders/>
            <w:shd w:fill="FFFFFF" w:val="clear"/>
            <w:vAlign w:val="center"/>
          </w:tcPr>
          <w:p>
            <w:pPr>
              <w:pStyle w:val="TableContents"/>
              <w:bidi w:val="0"/>
              <w:spacing w:before="0" w:after="283"/>
              <w:jc w:val="left"/>
              <w:rPr>
                <w:sz w:val="20"/>
              </w:rPr>
            </w:pPr>
            <w:r>
              <w:rPr>
                <w:sz w:val="20"/>
              </w:rPr>
              <w:t>Shares issued for acquisition</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sz w:val="20"/>
              </w:rPr>
            </w:pPr>
            <w:r>
              <w:rPr>
                <w:sz w:val="20"/>
              </w:rPr>
              <w:t>$</w:t>
            </w:r>
          </w:p>
        </w:tc>
        <w:tc>
          <w:tcPr>
            <w:tcW w:w="1379"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sz w:val="20"/>
              </w:rPr>
            </w:pPr>
            <w:r>
              <w:rPr>
                <w:sz w:val="20"/>
              </w:rPr>
              <w:t>$</w:t>
            </w:r>
          </w:p>
        </w:tc>
        <w:tc>
          <w:tcPr>
            <w:tcW w:w="1474" w:type="dxa"/>
            <w:tcBorders/>
            <w:shd w:fill="FFFFFF" w:val="clear"/>
            <w:vAlign w:val="center"/>
          </w:tcPr>
          <w:p>
            <w:pPr>
              <w:pStyle w:val="TableContents"/>
              <w:bidi w:val="0"/>
              <w:spacing w:before="0" w:after="283"/>
              <w:jc w:val="right"/>
              <w:rPr>
                <w:sz w:val="20"/>
              </w:rPr>
            </w:pPr>
            <w:r>
              <w:rPr>
                <w:sz w:val="20"/>
              </w:rPr>
              <w:t>5,528,373</w:t>
            </w:r>
          </w:p>
        </w:tc>
        <w:tc>
          <w:tcPr>
            <w:tcW w:w="113" w:type="dxa"/>
            <w:tcBorders/>
            <w:shd w:fill="FFFFFF" w:val="clear"/>
            <w:vAlign w:val="center"/>
          </w:tcPr>
          <w:p>
            <w:pPr>
              <w:pStyle w:val="TableContents"/>
              <w:bidi w:val="0"/>
              <w:spacing w:before="0" w:after="283"/>
              <w:jc w:val="left"/>
              <w:rPr/>
            </w:pPr>
            <w:r>
              <w:rPr/>
              <w:t> </w:t>
            </w:r>
            <w:bookmarkStart w:id="235" w:name="xdx_402_eus-gaap--NotesIssued1_i01_d0_zA"/>
            <w:bookmarkEnd w:id="235"/>
          </w:p>
        </w:tc>
      </w:tr>
      <w:tr>
        <w:trPr/>
        <w:tc>
          <w:tcPr>
            <w:tcW w:w="6635" w:type="dxa"/>
            <w:tcBorders/>
            <w:shd w:fill="EEEEEE" w:val="clear"/>
            <w:vAlign w:val="center"/>
          </w:tcPr>
          <w:p>
            <w:pPr>
              <w:pStyle w:val="TableContents"/>
              <w:bidi w:val="0"/>
              <w:spacing w:before="0" w:after="283"/>
              <w:jc w:val="left"/>
              <w:rPr>
                <w:sz w:val="20"/>
              </w:rPr>
            </w:pPr>
            <w:r>
              <w:rPr>
                <w:sz w:val="20"/>
              </w:rPr>
              <w:t>Promissory note issued for acquisition</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sz w:val="20"/>
              </w:rPr>
            </w:pPr>
            <w:r>
              <w:rPr>
                <w:sz w:val="20"/>
              </w:rPr>
              <w:t>3,600,627</w:t>
            </w:r>
          </w:p>
        </w:tc>
        <w:tc>
          <w:tcPr>
            <w:tcW w:w="113" w:type="dxa"/>
            <w:tcBorders/>
            <w:shd w:fill="EEEEEE" w:val="clear"/>
            <w:vAlign w:val="center"/>
          </w:tcPr>
          <w:p>
            <w:pPr>
              <w:pStyle w:val="TableContents"/>
              <w:bidi w:val="0"/>
              <w:spacing w:before="0" w:after="283"/>
              <w:jc w:val="left"/>
              <w:rPr/>
            </w:pPr>
            <w:r>
              <w:rPr/>
              <w:t> </w:t>
            </w:r>
            <w:bookmarkStart w:id="236" w:name="xdx_404_ecustom--InvestmentPayableForAcq"/>
            <w:bookmarkEnd w:id="236"/>
          </w:p>
        </w:tc>
      </w:tr>
      <w:tr>
        <w:trPr/>
        <w:tc>
          <w:tcPr>
            <w:tcW w:w="6635" w:type="dxa"/>
            <w:tcBorders/>
            <w:shd w:fill="FFFFFF" w:val="clear"/>
            <w:vAlign w:val="center"/>
          </w:tcPr>
          <w:p>
            <w:pPr>
              <w:pStyle w:val="TableContents"/>
              <w:bidi w:val="0"/>
              <w:spacing w:before="0" w:after="283"/>
              <w:jc w:val="left"/>
              <w:rPr>
                <w:sz w:val="20"/>
              </w:rPr>
            </w:pPr>
            <w:r>
              <w:rPr>
                <w:sz w:val="20"/>
              </w:rPr>
              <w:t>Investment payable for acquisition</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sz w:val="20"/>
              </w:rPr>
            </w:pPr>
            <w:r>
              <w:rPr>
                <w:sz w:val="20"/>
              </w:rPr>
              <w:t>1,500,000</w:t>
            </w:r>
          </w:p>
        </w:tc>
        <w:tc>
          <w:tcPr>
            <w:tcW w:w="113" w:type="dxa"/>
            <w:tcBorders/>
            <w:shd w:fill="FFFFFF" w:val="clear"/>
            <w:vAlign w:val="center"/>
          </w:tcPr>
          <w:p>
            <w:pPr>
              <w:pStyle w:val="TableContents"/>
              <w:bidi w:val="0"/>
              <w:spacing w:before="0" w:after="283"/>
              <w:jc w:val="left"/>
              <w:rPr/>
            </w:pPr>
            <w:r>
              <w:rPr/>
              <w:t> </w:t>
            </w:r>
            <w:bookmarkStart w:id="237" w:name="xdx_402_ecustom--GoodwillAcquiredInBusin"/>
            <w:bookmarkEnd w:id="237"/>
          </w:p>
        </w:tc>
      </w:tr>
      <w:tr>
        <w:trPr/>
        <w:tc>
          <w:tcPr>
            <w:tcW w:w="6635" w:type="dxa"/>
            <w:tcBorders/>
            <w:shd w:fill="EEEEEE" w:val="clear"/>
            <w:vAlign w:val="center"/>
          </w:tcPr>
          <w:p>
            <w:pPr>
              <w:pStyle w:val="TableContents"/>
              <w:bidi w:val="0"/>
              <w:spacing w:before="0" w:after="283"/>
              <w:jc w:val="left"/>
              <w:rPr>
                <w:sz w:val="20"/>
              </w:rPr>
            </w:pPr>
            <w:r>
              <w:rPr>
                <w:sz w:val="20"/>
              </w:rPr>
              <w:t>Goodwill acquired in business acquisition</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sz w:val="20"/>
              </w:rPr>
            </w:pPr>
            <w:r>
              <w:rPr>
                <w:sz w:val="20"/>
              </w:rPr>
              <w:t>6,094,144</w:t>
            </w:r>
          </w:p>
        </w:tc>
        <w:tc>
          <w:tcPr>
            <w:tcW w:w="113" w:type="dxa"/>
            <w:tcBorders/>
            <w:shd w:fill="EEEEEE" w:val="clear"/>
            <w:vAlign w:val="center"/>
          </w:tcPr>
          <w:p>
            <w:pPr>
              <w:pStyle w:val="TableContents"/>
              <w:bidi w:val="0"/>
              <w:spacing w:before="0" w:after="283"/>
              <w:jc w:val="left"/>
              <w:rPr/>
            </w:pPr>
            <w:r>
              <w:rPr/>
              <w:t> </w:t>
            </w:r>
            <w:bookmarkStart w:id="238" w:name="xdx_402_ecustom--DeferredTaxLiabilitiesC"/>
            <w:bookmarkEnd w:id="238"/>
          </w:p>
        </w:tc>
      </w:tr>
      <w:tr>
        <w:trPr/>
        <w:tc>
          <w:tcPr>
            <w:tcW w:w="6635" w:type="dxa"/>
            <w:tcBorders/>
            <w:shd w:fill="FFFFFF" w:val="clear"/>
            <w:vAlign w:val="center"/>
          </w:tcPr>
          <w:p>
            <w:pPr>
              <w:pStyle w:val="TableContents"/>
              <w:bidi w:val="0"/>
              <w:spacing w:before="0" w:after="283"/>
              <w:jc w:val="left"/>
              <w:rPr>
                <w:sz w:val="20"/>
              </w:rPr>
            </w:pPr>
            <w:r>
              <w:rPr>
                <w:sz w:val="20"/>
              </w:rPr>
              <w:t>Deferred tax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sz w:val="20"/>
              </w:rPr>
            </w:pPr>
            <w:r>
              <w:rPr>
                <w:sz w:val="20"/>
              </w:rPr>
              <w:t>1,389,113</w:t>
            </w:r>
          </w:p>
        </w:tc>
        <w:tc>
          <w:tcPr>
            <w:tcW w:w="113" w:type="dxa"/>
            <w:tcBorders/>
            <w:shd w:fill="FFFFFF" w:val="clear"/>
            <w:vAlign w:val="center"/>
          </w:tcPr>
          <w:p>
            <w:pPr>
              <w:pStyle w:val="TableContents"/>
              <w:bidi w:val="0"/>
              <w:spacing w:before="0" w:after="283"/>
              <w:jc w:val="left"/>
              <w:rPr/>
            </w:pPr>
            <w:r>
              <w:rPr/>
              <w:t> </w:t>
            </w:r>
            <w:bookmarkStart w:id="239" w:name="xdx_408_ecustom--IdentifiableIntangibleA"/>
            <w:bookmarkEnd w:id="239"/>
          </w:p>
        </w:tc>
      </w:tr>
      <w:tr>
        <w:trPr/>
        <w:tc>
          <w:tcPr>
            <w:tcW w:w="6635" w:type="dxa"/>
            <w:tcBorders/>
            <w:shd w:fill="EEEEEE" w:val="clear"/>
            <w:vAlign w:val="center"/>
          </w:tcPr>
          <w:p>
            <w:pPr>
              <w:pStyle w:val="TableContents"/>
              <w:bidi w:val="0"/>
              <w:spacing w:before="0" w:after="283"/>
              <w:jc w:val="left"/>
              <w:rPr>
                <w:sz w:val="20"/>
              </w:rPr>
            </w:pPr>
            <w:r>
              <w:rPr>
                <w:sz w:val="20"/>
              </w:rPr>
              <w:t>Identifiable intangible assets acquired in business acquisition</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sz w:val="20"/>
              </w:rPr>
            </w:pPr>
            <w:r>
              <w:rPr>
                <w:sz w:val="20"/>
              </w:rPr>
              <w:t>5,172,956</w:t>
            </w:r>
          </w:p>
        </w:tc>
        <w:tc>
          <w:tcPr>
            <w:tcW w:w="113" w:type="dxa"/>
            <w:tcBorders/>
            <w:shd w:fill="EEEEEE" w:val="clear"/>
            <w:vAlign w:val="center"/>
          </w:tcPr>
          <w:p>
            <w:pPr>
              <w:pStyle w:val="TableContents"/>
              <w:bidi w:val="0"/>
              <w:spacing w:before="0" w:after="283"/>
              <w:jc w:val="left"/>
              <w:rPr/>
            </w:pPr>
            <w:r>
              <w:rPr/>
              <w:t> </w:t>
            </w:r>
            <w:bookmarkStart w:id="240" w:name="xdx_402_ecustom--NetAssetsAcquiredInBusi"/>
            <w:bookmarkEnd w:id="240"/>
          </w:p>
        </w:tc>
      </w:tr>
      <w:tr>
        <w:trPr/>
        <w:tc>
          <w:tcPr>
            <w:tcW w:w="6635" w:type="dxa"/>
            <w:tcBorders/>
            <w:shd w:fill="FFFFFF" w:val="clear"/>
            <w:vAlign w:val="center"/>
          </w:tcPr>
          <w:p>
            <w:pPr>
              <w:pStyle w:val="TableContents"/>
              <w:bidi w:val="0"/>
              <w:spacing w:before="0" w:after="283"/>
              <w:jc w:val="left"/>
              <w:rPr>
                <w:sz w:val="20"/>
              </w:rPr>
            </w:pPr>
            <w:r>
              <w:rPr>
                <w:sz w:val="20"/>
              </w:rPr>
              <w:t>Net assets acquired in business acquisition</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379"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1474" w:type="dxa"/>
            <w:tcBorders/>
            <w:shd w:fill="FFFFFF" w:val="clear"/>
            <w:vAlign w:val="center"/>
          </w:tcPr>
          <w:p>
            <w:pPr>
              <w:pStyle w:val="TableContents"/>
              <w:bidi w:val="0"/>
              <w:spacing w:before="0" w:after="283"/>
              <w:jc w:val="right"/>
              <w:rPr>
                <w:sz w:val="20"/>
              </w:rPr>
            </w:pPr>
            <w:r>
              <w:rPr>
                <w:sz w:val="20"/>
              </w:rPr>
              <w:t>751,015</w:t>
            </w:r>
          </w:p>
        </w:tc>
        <w:tc>
          <w:tcPr>
            <w:tcW w:w="113" w:type="dxa"/>
            <w:tcBorders/>
            <w:shd w:fill="FFFFFF" w:val="clear"/>
            <w:vAlign w:val="center"/>
          </w:tcPr>
          <w:p>
            <w:pPr>
              <w:pStyle w:val="TableContents"/>
              <w:bidi w:val="0"/>
              <w:spacing w:before="0" w:after="283"/>
              <w:jc w:val="left"/>
              <w:rPr/>
            </w:pPr>
            <w:r>
              <w:rPr/>
              <w:t> </w:t>
            </w:r>
            <w:bookmarkStart w:id="241" w:name="xdx_406_ecustom--RightOfUseAssetsAcquire"/>
            <w:bookmarkEnd w:id="241"/>
          </w:p>
        </w:tc>
      </w:tr>
      <w:tr>
        <w:trPr/>
        <w:tc>
          <w:tcPr>
            <w:tcW w:w="6635" w:type="dxa"/>
            <w:tcBorders/>
            <w:shd w:fill="EEEEEE" w:val="clear"/>
            <w:vAlign w:val="center"/>
          </w:tcPr>
          <w:p>
            <w:pPr>
              <w:pStyle w:val="TableContents"/>
              <w:bidi w:val="0"/>
              <w:spacing w:before="0" w:after="283"/>
              <w:jc w:val="left"/>
              <w:rPr>
                <w:sz w:val="20"/>
              </w:rPr>
            </w:pPr>
            <w:r>
              <w:rPr>
                <w:sz w:val="20"/>
              </w:rPr>
              <w:t>Right of use assets acquired under new operating leases</w:t>
            </w:r>
          </w:p>
        </w:tc>
        <w:tc>
          <w:tcPr>
            <w:tcW w:w="60"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379" w:type="dxa"/>
            <w:tcBorders/>
            <w:shd w:fill="EEEEEE" w:val="clear"/>
            <w:vAlign w:val="center"/>
          </w:tcPr>
          <w:p>
            <w:pPr>
              <w:pStyle w:val="TableContents"/>
              <w:bidi w:val="0"/>
              <w:spacing w:before="0" w:after="283"/>
              <w:jc w:val="right"/>
              <w:rPr/>
            </w:pPr>
            <w:r>
              <w:rPr/>
              <w:t>–</w:t>
            </w:r>
          </w:p>
        </w:tc>
        <w:tc>
          <w:tcPr>
            <w:tcW w:w="119"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5" w:type="dxa"/>
            <w:tcBorders/>
            <w:shd w:fill="EEEEEE" w:val="clear"/>
            <w:vAlign w:val="center"/>
          </w:tcPr>
          <w:p>
            <w:pPr>
              <w:pStyle w:val="TableContents"/>
              <w:bidi w:val="0"/>
              <w:spacing w:before="0" w:after="283"/>
              <w:jc w:val="left"/>
              <w:rPr/>
            </w:pPr>
            <w:r>
              <w:rPr/>
              <w:t> </w:t>
            </w:r>
          </w:p>
        </w:tc>
        <w:tc>
          <w:tcPr>
            <w:tcW w:w="1474" w:type="dxa"/>
            <w:tcBorders/>
            <w:shd w:fill="EEEEEE" w:val="clear"/>
            <w:vAlign w:val="center"/>
          </w:tcPr>
          <w:p>
            <w:pPr>
              <w:pStyle w:val="TableContents"/>
              <w:bidi w:val="0"/>
              <w:spacing w:before="0" w:after="283"/>
              <w:jc w:val="right"/>
              <w:rPr>
                <w:sz w:val="20"/>
              </w:rPr>
            </w:pPr>
            <w:r>
              <w:rPr>
                <w:sz w:val="20"/>
              </w:rPr>
              <w:t>7,780,766</w:t>
            </w:r>
          </w:p>
        </w:tc>
        <w:tc>
          <w:tcPr>
            <w:tcW w:w="113"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2" w:name="q307"/>
      <w:bookmarkEnd w:id="242"/>
      <w:r>
        <w:rPr>
          <w:rFonts w:ascii="Times New Roman;Times;Serif" w:hAnsi="Times New Roman;Times;Serif"/>
          <w:b/>
          <w:i w:val="false"/>
          <w:caps w:val="false"/>
          <w:smallCaps w:val="false"/>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 March 31, 2023 and June 30, 2022 and for the Three and Nine Months Ended March 31, 2023 and 2022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43" w:name="xdx_80D_eus-gaap--OrganizationConsolidat"/>
      <w:bookmarkEnd w:id="243"/>
      <w:r>
        <w:rPr>
          <w:rFonts w:ascii="Times New Roman;Times;Serif" w:hAnsi="Times New Roman;Times;Serif"/>
          <w:b/>
          <w:i w:val="false"/>
          <w:caps w:val="false"/>
          <w:smallCaps w:val="false"/>
          <w:sz w:val="20"/>
        </w:rPr>
        <w:t>Note 1 -</w:t>
      </w:r>
      <w:bookmarkStart w:id="244" w:name="xdx_820_zr0BtusYmyL1"/>
      <w:bookmarkEnd w:id="244"/>
      <w:r>
        <w:rPr>
          <w:rFonts w:ascii="Times New Roman;Times;Serif" w:hAnsi="Times New Roman;Times;Serif"/>
          <w:b/>
          <w:i w:val="false"/>
          <w:caps w:val="false"/>
          <w:smallCaps w:val="false"/>
          <w:sz w:val="20"/>
        </w:rPr>
        <w:t xml:space="preserve"> Nature of business and organization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formerly known as BZRTH Inc., a Nevada corporation (the “Company”), was incorporated on April 11, 2018. The Company is a U.S.-based online seller and supplier of consumer home, garden and pet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on March 1, 2020, as amended and restated pursuant to an agreement dated October 26, 2020, the Company entered into an agreement with E Marketing Solution Inc. (“E Marketing”), an entity incorporated in California and owned by one of the shareholders of the Company. Pursuant to the terms of the agreement, the Company agreed to provide technical support, management services and other services on an exclusive basis in relation to E Marketing’s business during the term of the agreement. The Company also agreed to fund E Marketing for operational cash flow needs and bear the risk of E Marketing’s losses from operations and E Marketing agreed that iPower has rights to E Marketing’s net profits, if any. Under the terms of the agreement, the Company may at any time, at its option, acquire for nominal consideration 100% of either the equity of E Marketing or its assets subject to the Company’s assumption of all of E Marketing’s liabilities. E Marketing was considered a variable interest entity (“VIE”). On May 18, 2021, the Company acquired 100% of the equity ownership of E Marketing. As a result, E Marketing has become the Company’s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2020, the Company entered into an agreement with Global Product Marketing Inc. (“GPM”), an entity incorporated in the State of Nevada on September 4, 2020. At that time, GPM was then wholly owned by Chenlong Tan, the Chairman, CEO and President and one of the majority shareholders of the Company. Pursuant to the terms of the agreement with GPM, the Company was to provide technical support, management services and other services on an exclusive basis, to GPM during the term of the Agreement. In addition, the Company agreed to fund GPM’s operational cash flow needs and bear the risk of GPM’s losses from operations and GPM agreed that the Company has the right to GPM’s net profits, if any. Under the terms of the agreement, the Company may at any time, at its option, acquire for nominal consideration 100% of either the equity of GPM or its assets subject to the Company’s assumption of all of GPM’s liabilities. GPM was considered a variable interest entity (“VIE”). On May 18, 2021, the Company acquired 100% of the equity ownership of GPM. As a result, GPM has become the Company’s wholly owned subsidiary.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2022, the Company entered into a joint venture agreement and formed a Nevada limited liability company, Box Harmony, LLC (“Box Harmony”), for the principal purpose of providing logistics services primarily for foreign-based manufacturers or distributors who desire to sell their products online in the United States, with such logistics services to include, without limitation, receiving, storing and transporting such products. The Company owns 40% of the equity interest in Box Harmony, retaining significant influence, but does not own a majority equity interest or otherwise control of Box Harmony. See details on Note 3 below.</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2022, the Company entered into another joint venture agreement and formed a Nevada limited liability company, Global Social Media, LLC (“GSM”), for the principal purpose of providing a social media platform, with contents and services, to assist businesses, including the Company and other businesses, in marketing their products. The Company owns 60% of the equity interest in GSM and controls its operations. See details in Note 3 below.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bookmarkStart w:id="245" w:name="xdx_236_zOAh5b7xCRi2"/>
      <w:bookmarkEnd w:id="245"/>
      <w:r>
        <w:rPr>
          <w:caps w:val="false"/>
          <w:smallCaps w:val="false"/>
        </w:rPr>
        <w:t> </w:t>
      </w:r>
    </w:p>
    <w:p>
      <w:pPr>
        <w:pStyle w:val="TextBody"/>
        <w:shd w:fill="FFFFFF" w:val="clear"/>
        <w:bidi w:val="0"/>
        <w:spacing w:before="0" w:after="0"/>
        <w:ind w:left="0" w:right="0" w:hanging="0"/>
        <w:jc w:val="both"/>
        <w:rPr>
          <w:caps w:val="false"/>
          <w:smallCaps w:val="false"/>
        </w:rPr>
      </w:pPr>
      <w:bookmarkStart w:id="246" w:name="xdx_236_zs27ciDgTN8c"/>
      <w:bookmarkEnd w:id="246"/>
      <w:r>
        <w:rPr>
          <w:caps w:val="false"/>
          <w:smallCaps w:val="false"/>
        </w:rPr>
        <w:t> </w:t>
      </w:r>
    </w:p>
    <w:p>
      <w:pPr>
        <w:pStyle w:val="Normal"/>
        <w:bidi w:val="0"/>
        <w:spacing w:before="0" w:after="0"/>
        <w:ind w:left="0" w:right="0" w:hanging="0"/>
        <w:jc w:val="left"/>
        <w:rPr>
          <w:sz w:val="4"/>
          <w:szCs w:val="4"/>
        </w:rPr>
      </w:pPr>
      <w:r>
        <w:rPr>
          <w:sz w:val="4"/>
          <w:szCs w:val="4"/>
        </w:rPr>
      </w:r>
      <w:bookmarkStart w:id="247" w:name="xdx_234_zQT1gibcSK6d"/>
      <w:bookmarkStart w:id="248" w:name="xdx_236_zY6LKq04MRn"/>
      <w:bookmarkStart w:id="249" w:name="xdx_234_zQT1gibcSK6d"/>
      <w:bookmarkStart w:id="250" w:name="xdx_236_zY6LKq04MRn"/>
      <w:bookmarkEnd w:id="249"/>
      <w:bookmarkEnd w:id="250"/>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bookmarkStart w:id="251" w:name="xdx_239_zJpA2GwxUTf"/>
            <w:bookmarkEnd w:id="251"/>
          </w:p>
        </w:tc>
        <w:tc>
          <w:tcPr>
            <w:tcW w:w="75" w:type="dxa"/>
            <w:tcBorders/>
            <w:vAlign w:val="center"/>
          </w:tcPr>
          <w:p>
            <w:pPr>
              <w:pStyle w:val="TableContents"/>
              <w:bidi w:val="0"/>
              <w:spacing w:before="0" w:after="283"/>
              <w:jc w:val="right"/>
              <w:rPr/>
            </w:pPr>
            <w:r>
              <w:rPr/>
              <w:t> </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252" w:name="xdx_23D_z4jN5Oybb17a"/>
      <w:bookmarkEnd w:id="252"/>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before="0" w:after="0"/>
        <w:ind w:left="0" w:right="0" w:hanging="0"/>
        <w:jc w:val="both"/>
        <w:rPr>
          <w:caps w:val="false"/>
          <w:smallCaps w:val="false"/>
        </w:rPr>
      </w:pPr>
      <w:bookmarkStart w:id="253" w:name="xdx_239_zsVUUMGLhx5f"/>
      <w:bookmarkEnd w:id="253"/>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in Note 4 below, the business, revenues and profits of Daheshou (Shenzhen) Information Technology Co., Ltd., a company organized under the Laws of the PRC (“DHS” or “VIE”) and located in Shenzhen, China. See details in Note 4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54" w:name="xdx_800_eus-gaap--SignificantAccountingP"/>
      <w:bookmarkEnd w:id="254"/>
      <w:r>
        <w:rPr>
          <w:rFonts w:ascii="Times New Roman;Times;Serif" w:hAnsi="Times New Roman;Times;Serif"/>
          <w:b/>
          <w:i w:val="false"/>
          <w:caps w:val="false"/>
          <w:smallCaps w:val="false"/>
          <w:sz w:val="20"/>
        </w:rPr>
        <w:t>Note 2 –</w:t>
      </w:r>
      <w:bookmarkStart w:id="255" w:name="xdx_822_z2CYeOCZhDW2"/>
      <w:bookmarkEnd w:id="255"/>
      <w:r>
        <w:rPr>
          <w:rFonts w:ascii="Times New Roman;Times;Serif" w:hAnsi="Times New Roman;Times;Serif"/>
          <w:b/>
          <w:i w:val="false"/>
          <w:caps w:val="false"/>
          <w:smallCaps w:val="false"/>
          <w:sz w:val="20"/>
        </w:rPr>
        <w:t xml:space="preserve"> Basis of Presentation and Summary of significant accounting policies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56" w:name="xdx_86A_zWsWaPC1CGBi"/>
      <w:bookmarkStart w:id="257" w:name="xdx_844_eus-gaap--BasisOfAccountingPolic"/>
      <w:bookmarkEnd w:id="256"/>
      <w:bookmarkEnd w:id="257"/>
      <w:r>
        <w:rPr>
          <w:rFonts w:ascii="Times New Roman;Times;Serif" w:hAnsi="Times New Roman;Times;Serif"/>
          <w:b w:val="false"/>
          <w:i w:val="false"/>
          <w:caps w:val="false"/>
          <w:smallCaps w:val="false"/>
          <w:sz w:val="20"/>
          <w:u w:val="single"/>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include the accounts of the Company and its subsidiaries and VIE and have been prepared in accordance with accounting principles generally accepted in the United States of America (“U.S. GAAP”) and the requirements of the U.S.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its annual consolidated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June 30, 2023, or for any other interim period or for any other future year. All intercompany balances and transactions have been eliminated in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unaudited condensed consolidated financial statements should be read in conjunction with the Company’s audited consolidated financial statements and the notes thereto included in the Company’s Annual Report on Form10-K for the year ended June 30, 2022, filed with the SEC on September 28, 2022.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58" w:name="xdx_86F_zC9KodVP33M8"/>
      <w:bookmarkStart w:id="259" w:name="xdx_845_eus-gaap--ConsolidationPolicyTex"/>
      <w:bookmarkEnd w:id="258"/>
      <w:bookmarkEnd w:id="259"/>
      <w:r>
        <w:rPr>
          <w:rFonts w:ascii="Times New Roman;Times;Serif" w:hAnsi="Times New Roman;Times;Serif"/>
          <w:b w:val="false"/>
          <w:i w:val="false"/>
          <w:caps w:val="false"/>
          <w:smallCaps w:val="false"/>
          <w:sz w:val="20"/>
          <w:u w:val="single"/>
        </w:rPr>
        <w:t>Principles of Consolidation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unaudited condensed consolidated financial statements include the accounts of the Company and its subsidiaries, E Marketing Solution Inc., Global Product Marketing Inc., Global Social Media, LLC, and Anivia Limited and its subsidiaries and VIE, including Fly Elephant Limited, Dayourenzai (Shenzhen) Technology Co., Ltd., and Daheshou (Shenzhen) Information Technology Co., Ltd. All inter-company balances and transactions have been eliminated.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60" w:name="xdx_863_zc8z4e5LI9ve"/>
      <w:bookmarkStart w:id="261" w:name="xdx_844_ecustom--EmergingGrowthCompanySt"/>
      <w:bookmarkEnd w:id="260"/>
      <w:bookmarkEnd w:id="261"/>
      <w:r>
        <w:rPr>
          <w:rFonts w:ascii="Times New Roman;Times;Serif" w:hAnsi="Times New Roman;Times;Serif"/>
          <w:b w:val="false"/>
          <w:i w:val="false"/>
          <w:caps w:val="false"/>
          <w:smallCaps w:val="false"/>
          <w:sz w:val="20"/>
          <w:u w:val="single"/>
        </w:rPr>
        <w:t>Emerging Growth Company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62" w:name="xdx_231_zHHS0bhqaAs4"/>
      <w:bookmarkEnd w:id="262"/>
      <w:r>
        <w:rPr>
          <w:caps w:val="false"/>
          <w:smallCaps w:val="false"/>
        </w:rPr>
        <w:t> </w:t>
      </w:r>
    </w:p>
    <w:p>
      <w:pPr>
        <w:pStyle w:val="TextBody"/>
        <w:bidi w:val="0"/>
        <w:spacing w:before="0" w:after="0"/>
        <w:ind w:left="0" w:right="0" w:hanging="0"/>
        <w:jc w:val="both"/>
        <w:rPr>
          <w:caps w:val="false"/>
          <w:smallCaps w:val="false"/>
        </w:rPr>
      </w:pPr>
      <w:bookmarkStart w:id="263" w:name="xdx_23F_zMzORL6pCQDg"/>
      <w:bookmarkEnd w:id="263"/>
      <w:r>
        <w:rPr>
          <w:caps w:val="false"/>
          <w:smallCaps w:val="false"/>
        </w:rPr>
        <w:t> </w:t>
      </w:r>
    </w:p>
    <w:p>
      <w:pPr>
        <w:pStyle w:val="Normal"/>
        <w:bidi w:val="0"/>
        <w:spacing w:before="0" w:after="0"/>
        <w:ind w:left="0" w:right="0" w:hanging="0"/>
        <w:jc w:val="left"/>
        <w:rPr>
          <w:sz w:val="4"/>
          <w:szCs w:val="4"/>
        </w:rPr>
      </w:pPr>
      <w:r>
        <w:rPr>
          <w:sz w:val="4"/>
          <w:szCs w:val="4"/>
        </w:rPr>
      </w:r>
      <w:bookmarkStart w:id="264" w:name="xdx_23E_zHpST5meTkBd"/>
      <w:bookmarkStart w:id="265" w:name="xdx_23B_zPAHvUXCk89h"/>
      <w:bookmarkStart w:id="266" w:name="xdx_23E_zHpST5meTkBd"/>
      <w:bookmarkStart w:id="267" w:name="xdx_23B_zPAHvUXCk89h"/>
      <w:bookmarkEnd w:id="266"/>
      <w:bookmarkEnd w:id="267"/>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bookmarkStart w:id="268" w:name="xdx_23C_zyt8HIyUbIE7"/>
            <w:bookmarkEnd w:id="268"/>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269" w:name="xdx_23C_zEmrHkdq8USc"/>
      <w:bookmarkEnd w:id="269"/>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70" w:name="xdx_23B_zm0lWsOdGyJk"/>
      <w:bookmarkEnd w:id="270"/>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utilizing the emerging growth company reduced reporting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71" w:name="xdx_861_zyFBHPEwUTQ1"/>
      <w:bookmarkStart w:id="272" w:name="xdx_84C_eus-gaap--UseOfEstimates_zHvhGox"/>
      <w:bookmarkEnd w:id="271"/>
      <w:bookmarkEnd w:id="272"/>
      <w:r>
        <w:rPr>
          <w:rFonts w:ascii="Times New Roman;Times;Serif" w:hAnsi="Times New Roman;Times;Serif"/>
          <w:b w:val="false"/>
          <w:i w:val="false"/>
          <w:caps w:val="false"/>
          <w:smallCaps w:val="false"/>
          <w:sz w:val="20"/>
          <w:u w:val="single"/>
        </w:rPr>
        <w:t>Use of estimates and assumptions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73" w:name="xdx_861_zi76B8OnoVj5"/>
      <w:bookmarkStart w:id="274" w:name="xdx_844_eus-gaap--ForeignCurrencyTransac"/>
      <w:bookmarkEnd w:id="273"/>
      <w:bookmarkEnd w:id="274"/>
      <w:r>
        <w:rPr>
          <w:rFonts w:ascii="Times New Roman;Times;Serif" w:hAnsi="Times New Roman;Times;Serif"/>
          <w:b w:val="false"/>
          <w:i w:val="false"/>
          <w:caps w:val="false"/>
          <w:smallCaps w:val="false"/>
          <w:sz w:val="20"/>
          <w:u w:val="single"/>
        </w:rPr>
        <w:t>Foreign currency translation and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reporting and functional currency of iPower and subsidiaries is the U.S. dollar (USD). iPower’s WFOE and VIE in China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in stockholders’ equity. Transaction gains and losses that arise from exchange rate fluctuations on transactions denominated in a currency other than the functional currency are included in the results of operations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balance sheet amounts of the VIE, with the exception of equity, on March 31, 2023, were translated at </w:t>
      </w:r>
      <w:bookmarkStart w:id="275" w:name="xdx_90D_eus-gaap--ForeignCurrencyExchang"/>
      <w:bookmarkEnd w:id="275"/>
      <w:r>
        <w:rPr>
          <w:rFonts w:ascii="Times New Roman;Times;Serif" w:hAnsi="Times New Roman;Times;Serif"/>
          <w:b w:val="false"/>
          <w:i w:val="false"/>
          <w:caps w:val="false"/>
          <w:smallCaps w:val="false"/>
          <w:sz w:val="20"/>
        </w:rPr>
        <w:t xml:space="preserve">6.8691 RMB to $1.00. The equity accounts were stated at their historical rates. The average translation rates applied to statements of operations and comprehensive income (loss) accounts for the nine months ended March 31, 2023 was </w:t>
      </w:r>
      <w:bookmarkStart w:id="276" w:name="xdx_90F_ecustom--ForeignCurrencyExchange"/>
      <w:bookmarkEnd w:id="276"/>
      <w:r>
        <w:rPr>
          <w:rFonts w:ascii="Times New Roman;Times;Serif" w:hAnsi="Times New Roman;Times;Serif"/>
          <w:b w:val="false"/>
          <w:i w:val="false"/>
          <w:caps w:val="false"/>
          <w:smallCaps w:val="false"/>
          <w:sz w:val="20"/>
        </w:rPr>
        <w:t>6.933442 RMB to $1.00. Cash flows were also translated at average translation rates for the period and, therefore, amounts reported on the statement of cash flows would not necessarily agree with changes in the corresponding balances on the unaudited condensed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277" w:name="xdx_865_zcVZAPrdA9ad"/>
      <w:bookmarkStart w:id="278" w:name="xdx_844_eus-gaap--CashAndCashEquivalents"/>
      <w:bookmarkEnd w:id="277"/>
      <w:bookmarkEnd w:id="278"/>
      <w:r>
        <w:rPr>
          <w:rFonts w:ascii="Times New Roman;Times;Serif" w:hAnsi="Times New Roman;Times;Serif"/>
          <w:b w:val="false"/>
          <w:i w:val="false"/>
          <w:caps w:val="false"/>
          <w:smallCaps w:val="false"/>
          <w:sz w:val="20"/>
          <w:u w:val="single"/>
        </w:rPr>
        <w:t>Cash and cash equivalents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amounts held as cash on hand and bank deposits.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maintain bank balances in interest bearing accounts in excess of $250,000, which is currently the maximum amount insured by the Federal Deposit Insurance Corporation for interest bearing accounts (there is currently no insurance limit for deposits in noninterest bearing accounts). To date, the Company has not experienced any losses with respect to cash. Management believes the Company is not exposed to any significant credit risk with respect to its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79" w:name="xdx_238_zw032DrxGsp"/>
      <w:bookmarkEnd w:id="279"/>
      <w:r>
        <w:rPr>
          <w:caps w:val="false"/>
          <w:smallCaps w:val="false"/>
        </w:rPr>
        <w:t> </w:t>
      </w:r>
    </w:p>
    <w:p>
      <w:pPr>
        <w:pStyle w:val="TextBody"/>
        <w:bidi w:val="0"/>
        <w:spacing w:before="0" w:after="0"/>
        <w:ind w:left="0" w:right="0" w:hanging="0"/>
        <w:jc w:val="both"/>
        <w:rPr>
          <w:caps w:val="false"/>
          <w:smallCaps w:val="false"/>
        </w:rPr>
      </w:pPr>
      <w:bookmarkStart w:id="280" w:name="xdx_23F_zE0nGghU77hc"/>
      <w:bookmarkEnd w:id="280"/>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bookmarkStart w:id="281" w:name="xdx_236_z9DVojFsJPzl"/>
            <w:bookmarkEnd w:id="281"/>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282" w:name="xdx_234_zTf2nwsLEVKb"/>
      <w:bookmarkEnd w:id="282"/>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83" w:name="xdx_23D_z5w2ri303ySj"/>
      <w:bookmarkEnd w:id="28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84" w:name="xdx_866_z5NPUa0JqBv9"/>
      <w:bookmarkStart w:id="285" w:name="xdx_84A_eus-gaap--ReceivablesPolicyTextB"/>
      <w:bookmarkEnd w:id="284"/>
      <w:bookmarkEnd w:id="285"/>
      <w:r>
        <w:rPr>
          <w:rFonts w:ascii="Times New Roman;Times;Serif" w:hAnsi="Times New Roman;Times;Serif"/>
          <w:b w:val="false"/>
          <w:i w:val="false"/>
          <w:caps w:val="false"/>
          <w:smallCaps w:val="false"/>
          <w:sz w:val="20"/>
          <w:u w:val="single"/>
        </w:rPr>
        <w:t>Accounts receivable,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 is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pStyle w:val="TextBody"/>
        <w:bidi w:val="0"/>
        <w:spacing w:before="0" w:after="0"/>
        <w:ind w:left="0" w:right="0" w:hanging="0"/>
        <w:jc w:val="both"/>
        <w:rPr>
          <w:caps w:val="false"/>
          <w:smallCaps w:val="false"/>
        </w:rPr>
      </w:pPr>
      <w:r>
        <w:rPr>
          <w:caps w:val="false"/>
          <w:smallCaps w:val="false"/>
        </w:rPr>
        <w:t> </w:t>
      </w:r>
    </w:p>
    <w:tbl>
      <w:tblPr>
        <w:tblW w:w="7630" w:type="dxa"/>
        <w:jc w:val="left"/>
        <w:tblInd w:w="0" w:type="dxa"/>
        <w:tblLayout w:type="fixed"/>
        <w:tblCellMar>
          <w:top w:w="0" w:type="dxa"/>
          <w:left w:w="0" w:type="dxa"/>
          <w:bottom w:w="0" w:type="dxa"/>
          <w:right w:w="0" w:type="dxa"/>
        </w:tblCellMar>
      </w:tblPr>
      <w:tblGrid>
        <w:gridCol w:w="75"/>
        <w:gridCol w:w="95"/>
        <w:gridCol w:w="746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customer fails to comply with its payment schedule;</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customer is in serious financial difficulty;</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significant dispute with the customer has occurred regarding job progress or other matters;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customer breaches any of its contractual obligations;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customer appears to be financially distressed due to economic or legal factors;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business between the customer and the Company is not active;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4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other objective evidence indicates non-collectability of the accounts receivable.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86" w:name="xdx_86D_z4jgTUTxyZtg"/>
      <w:bookmarkStart w:id="287" w:name="xdx_84F_eus-gaap--EquityMethodInvestment"/>
      <w:bookmarkEnd w:id="286"/>
      <w:bookmarkEnd w:id="287"/>
      <w:r>
        <w:rPr>
          <w:rFonts w:ascii="Times New Roman;Times;Serif" w:hAnsi="Times New Roman;Times;Serif"/>
          <w:b w:val="false"/>
          <w:i w:val="false"/>
          <w:caps w:val="false"/>
          <w:smallCaps w:val="false"/>
          <w:sz w:val="20"/>
          <w:u w:val="single"/>
        </w:rPr>
        <w:t xml:space="preserve">Equity method investment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its ownership interest in Box Harmony, a </w:t>
      </w:r>
      <w:bookmarkStart w:id="288" w:name="xdx_90A_eus-gaap--EquityMethodInvestment"/>
      <w:bookmarkEnd w:id="288"/>
      <w:r>
        <w:rPr>
          <w:rFonts w:ascii="Times New Roman;Times;Serif" w:hAnsi="Times New Roman;Times;Serif"/>
          <w:b w:val="false"/>
          <w:i w:val="false"/>
          <w:caps w:val="false"/>
          <w:smallCaps w:val="false"/>
          <w:sz w:val="20"/>
        </w:rPr>
        <w:t>40% owned joint venture, following the equity method of accounting, in accordance with ASC 323, Investments — Equity Method and Joint Ventures. Under this method, the carrying cost is initially recorded at cost and then increased or decreased by recording its percentage of gain or loss in Box Harmony’s statement of operations and a corresponding charge or credit to the carrying value of the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289" w:name="xdx_232_zU9pQJyQuoE"/>
      <w:bookmarkEnd w:id="289"/>
      <w:r>
        <w:rPr>
          <w:caps w:val="false"/>
          <w:smallCaps w:val="false"/>
        </w:rPr>
        <w:t> </w:t>
      </w:r>
    </w:p>
    <w:p>
      <w:pPr>
        <w:pStyle w:val="TextBody"/>
        <w:bidi w:val="0"/>
        <w:spacing w:before="0" w:after="0"/>
        <w:ind w:left="0" w:right="0" w:hanging="0"/>
        <w:jc w:val="both"/>
        <w:rPr>
          <w:caps w:val="false"/>
          <w:smallCaps w:val="false"/>
        </w:rPr>
      </w:pPr>
      <w:bookmarkStart w:id="290" w:name="xdx_235_zgAIHMo5igec"/>
      <w:bookmarkEnd w:id="290"/>
      <w:r>
        <w:rPr>
          <w:caps w:val="false"/>
          <w:smallCaps w:val="false"/>
        </w:rPr>
        <w:t> </w:t>
      </w:r>
    </w:p>
    <w:p>
      <w:pPr>
        <w:pStyle w:val="Normal"/>
        <w:bidi w:val="0"/>
        <w:spacing w:before="0" w:after="0"/>
        <w:ind w:left="0" w:right="0" w:hanging="0"/>
        <w:jc w:val="left"/>
        <w:rPr>
          <w:sz w:val="4"/>
          <w:szCs w:val="4"/>
        </w:rPr>
      </w:pPr>
      <w:r>
        <w:rPr>
          <w:sz w:val="4"/>
          <w:szCs w:val="4"/>
        </w:rPr>
      </w:r>
      <w:bookmarkStart w:id="291" w:name="xdx_23E_zyNbAzIZ5Wue"/>
      <w:bookmarkStart w:id="292" w:name="xdx_232_zSaM0rQs0EG6"/>
      <w:bookmarkStart w:id="293" w:name="xdx_23E_zyNbAzIZ5Wue"/>
      <w:bookmarkStart w:id="294" w:name="xdx_232_zSaM0rQs0EG6"/>
      <w:bookmarkEnd w:id="293"/>
      <w:bookmarkEnd w:id="294"/>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bookmarkStart w:id="295" w:name="xdx_236_zoZlI6D2lTTc"/>
            <w:bookmarkEnd w:id="295"/>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296" w:name="xdx_23A_z2PWHshoxrEb"/>
      <w:bookmarkEnd w:id="296"/>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297" w:name="xdx_23F_zRSXXRfjVvX1"/>
      <w:bookmarkEnd w:id="29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298" w:name="xdx_86D_zNXyZqK70Kwc"/>
      <w:bookmarkStart w:id="299" w:name="xdx_849_ecustom--VariableInterestEntitie"/>
      <w:bookmarkEnd w:id="298"/>
      <w:bookmarkEnd w:id="299"/>
      <w:r>
        <w:rPr>
          <w:rFonts w:ascii="Times New Roman;Times;Serif" w:hAnsi="Times New Roman;Times;Serif"/>
          <w:b w:val="false"/>
          <w:i w:val="false"/>
          <w:caps w:val="false"/>
          <w:smallCaps w:val="false"/>
          <w:sz w:val="20"/>
          <w:u w:val="single"/>
        </w:rPr>
        <w:t>Variable interest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Limited (“Anivia”) and its subsidiaries, including DHS. Pursuant to the terms of the Agreements for the Company’s acquisition of Anivia and its subsidiaries, including DHS,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from the date such control existed, February 15, 2022. See Note 4 and Note 5 for details on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00" w:name="xdx_868_z53cu55C9JX9"/>
      <w:bookmarkStart w:id="301" w:name="xdx_84A_eus-gaap--GoodwillAndIntangibleA"/>
      <w:bookmarkEnd w:id="300"/>
      <w:bookmarkEnd w:id="301"/>
      <w:r>
        <w:rPr>
          <w:rFonts w:ascii="Times New Roman;Times;Serif" w:hAnsi="Times New Roman;Times;Serif"/>
          <w:b w:val="false"/>
          <w:i w:val="false"/>
          <w:caps w:val="false"/>
          <w:smallCaps w:val="false"/>
          <w:sz w:val="20"/>
          <w:u w:val="single"/>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excess of the purchase price over the fair value of assets acquired and liabilities assumed. The Company accounts for goodwill under </w:t>
      </w:r>
      <w:r>
        <w:rPr>
          <w:rFonts w:ascii="Times New Roman;Times;Serif" w:hAnsi="Times New Roman;Times;Serif"/>
          <w:b w:val="false"/>
          <w:i/>
          <w:caps w:val="false"/>
          <w:smallCaps w:val="false"/>
          <w:sz w:val="20"/>
        </w:rPr>
        <w:t>ASC Topic 350, Intangibles-Goodwill and Other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impairment loss will be recognized in an amount equal to that excess, limited to the total amount of goodwill allocated to that reporting unit. The Company engaged an independent third-party valuation firm in August 2022 to conduct an evaluation of goodwill impairment for the Company as a whole at the consolidated reporting unit level as of June 30, 2022, which evaluation was conducted prior to the Company’s filing of its Annual Report on Form 10-K. Due to the decrease in the Company’s share price subsequent to the filing of the Form 10-K and the net loss incurred during the quarter ended September 30, 2022, the Company engaged the same valuation firm to review goodwill for impairment. Based on this review, the Company concluded an impairment loss of $</w:t>
      </w:r>
      <w:bookmarkStart w:id="302" w:name="xdx_90B_eus-gaap--GoodwillImpairmentLoss"/>
      <w:bookmarkEnd w:id="302"/>
      <w:r>
        <w:rPr>
          <w:rFonts w:ascii="Times New Roman;Times;Serif" w:hAnsi="Times New Roman;Times;Serif"/>
          <w:b w:val="false"/>
          <w:i w:val="false"/>
          <w:caps w:val="false"/>
          <w:smallCaps w:val="false"/>
          <w:sz w:val="20"/>
        </w:rPr>
        <w:t>3,060,034 as of September 30, 2022 was required. The impairment amount was determined based on the discounted cash flows with the revised projections reflecting the increase in freight and storage costs in the current interim quarter. The Company also considered the Market Capital Method, which is an alternative market approach, suggested the Company’s goodwill is partially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2023, the Company performed a qualitative goodwill impairment analysis following the steps laid out in ASC 350-20-35-3C and noted no goodwill impairment. As of March 31, 2023, the remaining goodwill balance amounted to $</w:t>
      </w:r>
      <w:bookmarkStart w:id="303" w:name="xdx_901_eus-gaap--Goodwill_iI_pp0p0_c202"/>
      <w:bookmarkEnd w:id="303"/>
      <w:r>
        <w:rPr>
          <w:rFonts w:ascii="Times New Roman;Times;Serif" w:hAnsi="Times New Roman;Times;Serif"/>
          <w:b w:val="false"/>
          <w:i w:val="false"/>
          <w:caps w:val="false"/>
          <w:smallCaps w:val="false"/>
          <w:sz w:val="20"/>
        </w:rPr>
        <w:t>3,034,110.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04" w:name="xdx_236_zyETErzB7UH7"/>
      <w:bookmarkEnd w:id="304"/>
      <w:r>
        <w:rPr>
          <w:caps w:val="false"/>
          <w:smallCaps w:val="false"/>
        </w:rPr>
        <w:t> </w:t>
      </w:r>
    </w:p>
    <w:p>
      <w:pPr>
        <w:pStyle w:val="TextBody"/>
        <w:bidi w:val="0"/>
        <w:spacing w:before="0" w:after="0"/>
        <w:ind w:left="0" w:right="0" w:hanging="0"/>
        <w:jc w:val="both"/>
        <w:rPr>
          <w:caps w:val="false"/>
          <w:smallCaps w:val="false"/>
        </w:rPr>
      </w:pPr>
      <w:bookmarkStart w:id="305" w:name="xdx_236_zJ2FIry5DQe8"/>
      <w:bookmarkEnd w:id="305"/>
      <w:r>
        <w:rPr>
          <w:caps w:val="false"/>
          <w:smallCaps w:val="false"/>
        </w:rPr>
        <w:t> </w:t>
      </w:r>
    </w:p>
    <w:p>
      <w:pPr>
        <w:pStyle w:val="Normal"/>
        <w:bidi w:val="0"/>
        <w:spacing w:before="0" w:after="0"/>
        <w:ind w:left="0" w:right="0" w:hanging="0"/>
        <w:jc w:val="left"/>
        <w:rPr>
          <w:sz w:val="4"/>
          <w:szCs w:val="4"/>
        </w:rPr>
      </w:pPr>
      <w:r>
        <w:rPr>
          <w:sz w:val="4"/>
          <w:szCs w:val="4"/>
        </w:rPr>
      </w:r>
      <w:bookmarkStart w:id="306" w:name="xdx_23D_zXobJ0oEabI8"/>
      <w:bookmarkStart w:id="307" w:name="xdx_236_zZaAfRALg3Sd"/>
      <w:bookmarkStart w:id="308" w:name="xdx_23D_zXobJ0oEabI8"/>
      <w:bookmarkStart w:id="309" w:name="xdx_236_zZaAfRALg3Sd"/>
      <w:bookmarkEnd w:id="308"/>
      <w:bookmarkEnd w:id="309"/>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bookmarkStart w:id="310" w:name="xdx_231_zOHoeQuw7dT"/>
            <w:bookmarkEnd w:id="310"/>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311" w:name="xdx_239_zcgXdxfPI3nl"/>
      <w:bookmarkEnd w:id="311"/>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12" w:name="xdx_23D_zpDTJdagacS5"/>
      <w:bookmarkEnd w:id="31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13" w:name="xdx_866_zW8QcffeKTq6"/>
      <w:bookmarkStart w:id="314" w:name="xdx_84B_eus-gaap--IntangibleAssetsFinite"/>
      <w:bookmarkEnd w:id="313"/>
      <w:bookmarkEnd w:id="314"/>
      <w:r>
        <w:rPr>
          <w:rFonts w:ascii="Times New Roman;Times;Serif" w:hAnsi="Times New Roman;Times;Serif"/>
          <w:b w:val="false"/>
          <w:i w:val="false"/>
          <w:caps w:val="false"/>
          <w:smallCaps w:val="false"/>
          <w:sz w:val="20"/>
          <w:u w:val="single"/>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Finite life intangible assets at March 31, 2023 included a covenant not to compete, supplier relationships, and software recognized as part of the acquisition of Anivia Limited. Intangible assets are recorded at the estimated fair value of these items at the date of acquisition, February 15, 2022. Intangible assets are amortized on a straight-line basis over their estimated useful life as followings: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315" w:name="xdx_89E_ecustom--IntangibleAssetsUsefulL"/>
      <w:bookmarkStart w:id="316" w:name="xdx_89E_ecustom--IntangibleAssetsUsefulL"/>
      <w:bookmarkEnd w:id="316"/>
    </w:p>
    <w:tbl>
      <w:tblPr>
        <w:tblW w:w="4030" w:type="dxa"/>
        <w:jc w:val="left"/>
        <w:tblInd w:w="0" w:type="dxa"/>
        <w:tblLayout w:type="fixed"/>
        <w:tblCellMar>
          <w:top w:w="0" w:type="dxa"/>
          <w:left w:w="0" w:type="dxa"/>
          <w:bottom w:w="0" w:type="dxa"/>
          <w:right w:w="0" w:type="dxa"/>
        </w:tblCellMar>
      </w:tblPr>
      <w:tblGrid>
        <w:gridCol w:w="3095"/>
        <w:gridCol w:w="935"/>
      </w:tblGrid>
      <w:tr>
        <w:trPr/>
        <w:tc>
          <w:tcPr>
            <w:tcW w:w="3095" w:type="dxa"/>
            <w:tcBorders/>
            <w:vAlign w:val="center"/>
          </w:tcPr>
          <w:p>
            <w:pPr>
              <w:pStyle w:val="TableContents"/>
              <w:bidi w:val="0"/>
              <w:spacing w:before="0" w:after="283"/>
              <w:jc w:val="left"/>
              <w:rPr/>
            </w:pPr>
            <w:bookmarkStart w:id="317" w:name="xdx_8B5_zJrdtXm1W2Gh"/>
            <w:bookmarkEnd w:id="317"/>
            <w:r>
              <w:rPr/>
              <w:t>Schedule of estimated useful life</w:t>
            </w:r>
          </w:p>
        </w:tc>
        <w:tc>
          <w:tcPr>
            <w:tcW w:w="935" w:type="dxa"/>
            <w:tcBorders/>
            <w:vAlign w:val="center"/>
          </w:tcPr>
          <w:p>
            <w:pPr>
              <w:pStyle w:val="TableContents"/>
              <w:bidi w:val="0"/>
              <w:spacing w:before="0" w:after="283"/>
              <w:jc w:val="center"/>
              <w:rPr/>
            </w:pPr>
            <w:r>
              <w:rPr/>
              <w:t> </w:t>
            </w:r>
          </w:p>
        </w:tc>
      </w:tr>
      <w:tr>
        <w:trPr/>
        <w:tc>
          <w:tcPr>
            <w:tcW w:w="3095" w:type="dxa"/>
            <w:tcBorders/>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Useful Life</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 Not to Compete</w:t>
            </w:r>
          </w:p>
        </w:tc>
        <w:tc>
          <w:tcPr>
            <w:tcW w:w="935" w:type="dxa"/>
            <w:tcBorders/>
            <w:vAlign w:val="center"/>
          </w:tcPr>
          <w:p>
            <w:pPr>
              <w:pStyle w:val="TableContents"/>
              <w:bidi w:val="0"/>
              <w:spacing w:before="0" w:after="283"/>
              <w:jc w:val="center"/>
              <w:rPr>
                <w:rFonts w:ascii="Times New Roman;Times;Serif" w:hAnsi="Times New Roman;Times;Serif"/>
                <w:sz w:val="20"/>
              </w:rPr>
            </w:pPr>
            <w:bookmarkStart w:id="318" w:name="xdx_90A_eus-gaap--FiniteLivedIntangibleA"/>
            <w:bookmarkEnd w:id="318"/>
            <w:r>
              <w:rPr>
                <w:rFonts w:ascii="Times New Roman;Times;Serif" w:hAnsi="Times New Roman;Times;Serif"/>
                <w:sz w:val="20"/>
              </w:rPr>
              <w:t>10 years</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Supplier relationships</w:t>
            </w:r>
          </w:p>
        </w:tc>
        <w:tc>
          <w:tcPr>
            <w:tcW w:w="935" w:type="dxa"/>
            <w:tcBorders/>
            <w:vAlign w:val="center"/>
          </w:tcPr>
          <w:p>
            <w:pPr>
              <w:pStyle w:val="TableContents"/>
              <w:bidi w:val="0"/>
              <w:spacing w:before="0" w:after="283"/>
              <w:jc w:val="center"/>
              <w:rPr>
                <w:rFonts w:ascii="Times New Roman;Times;Serif" w:hAnsi="Times New Roman;Times;Serif"/>
                <w:sz w:val="20"/>
              </w:rPr>
            </w:pPr>
            <w:bookmarkStart w:id="319" w:name="xdx_90A_eus-gaap--FiniteLivedIntangibleA"/>
            <w:bookmarkEnd w:id="319"/>
            <w:r>
              <w:rPr>
                <w:rFonts w:ascii="Times New Roman;Times;Serif" w:hAnsi="Times New Roman;Times;Serif"/>
                <w:sz w:val="20"/>
              </w:rPr>
              <w:t>6 years</w:t>
            </w:r>
          </w:p>
        </w:tc>
      </w:tr>
      <w:tr>
        <w:trPr/>
        <w:tc>
          <w:tcPr>
            <w:tcW w:w="30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Software</w:t>
            </w:r>
          </w:p>
        </w:tc>
        <w:tc>
          <w:tcPr>
            <w:tcW w:w="935" w:type="dxa"/>
            <w:tcBorders/>
            <w:vAlign w:val="center"/>
          </w:tcPr>
          <w:p>
            <w:pPr>
              <w:pStyle w:val="TableContents"/>
              <w:bidi w:val="0"/>
              <w:spacing w:before="0" w:after="283"/>
              <w:jc w:val="center"/>
              <w:rPr>
                <w:rFonts w:ascii="Times New Roman;Times;Serif" w:hAnsi="Times New Roman;Times;Serif"/>
                <w:sz w:val="20"/>
              </w:rPr>
            </w:pPr>
            <w:bookmarkStart w:id="320" w:name="xdx_901_eus-gaap--FiniteLivedIntangibleA"/>
            <w:bookmarkEnd w:id="320"/>
            <w:r>
              <w:rPr>
                <w:rFonts w:ascii="Times New Roman;Times;Serif" w:hAnsi="Times New Roman;Times;Serif"/>
                <w:sz w:val="20"/>
              </w:rPr>
              <w:t>5 years</w:t>
            </w:r>
          </w:p>
        </w:tc>
      </w:tr>
    </w:tbl>
    <w:p>
      <w:pPr>
        <w:pStyle w:val="TextBody"/>
        <w:bidi w:val="0"/>
        <w:spacing w:before="0" w:after="0"/>
        <w:ind w:left="0" w:right="0" w:hanging="0"/>
        <w:jc w:val="both"/>
        <w:rPr>
          <w:caps w:val="false"/>
          <w:smallCaps w:val="false"/>
        </w:rPr>
      </w:pPr>
      <w:bookmarkStart w:id="321" w:name="xdx_8A6_zEgW8syWydth"/>
      <w:bookmarkEnd w:id="32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recoverability of long-lived assets, including intangible assets, when events or changes in circumstances occur that indicate the carrying value of the asset may not be recoverable. The assessment of possible impairment on asset group level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March 31, 2023, there were no indicators of impairment.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22" w:name="xdx_864_ziZbf41FIW0a"/>
      <w:bookmarkStart w:id="323" w:name="xdx_842_eus-gaap--FairValueOfFinancialIn"/>
      <w:bookmarkEnd w:id="322"/>
      <w:bookmarkEnd w:id="323"/>
      <w:r>
        <w:rPr>
          <w:rFonts w:ascii="Times New Roman;Times;Serif" w:hAnsi="Times New Roman;Times;Serif"/>
          <w:b w:val="false"/>
          <w:i w:val="false"/>
          <w:caps w:val="false"/>
          <w:smallCaps w:val="false"/>
          <w:sz w:val="20"/>
          <w:u w:val="single"/>
        </w:rPr>
        <w:t xml:space="preserve">Fair values of financial instruments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cash and cash equivalents, accounts receivable, accounts payable and all other current assets and liabilities approximate fair values due to their short-term 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as part of the consideration for the acquisition of Anivia Limited, the Company issued a two-year unsecured 6% subordinated promissory note, payable in equal semi-annual installments commencing August 15, 2022 (the “Purchase Note”). The principal amount of the Purchase Note was $</w:t>
      </w:r>
      <w:bookmarkStart w:id="324" w:name="xdx_900_eus-gaap--DebtInstrumentFaceAmou"/>
      <w:bookmarkEnd w:id="324"/>
      <w:r>
        <w:rPr>
          <w:rFonts w:ascii="Times New Roman;Times;Serif" w:hAnsi="Times New Roman;Times;Serif"/>
          <w:b w:val="false"/>
          <w:i w:val="false"/>
          <w:caps w:val="false"/>
          <w:smallCaps w:val="false"/>
          <w:sz w:val="20"/>
        </w:rPr>
        <w:t>3.5 million. On February 15, 2022, the Company evaluated the fair value of the Purchase Note to be $</w:t>
      </w:r>
      <w:bookmarkStart w:id="325" w:name="xdx_907_eus-gaap--DebtInstrumentFairValu"/>
      <w:bookmarkEnd w:id="325"/>
      <w:r>
        <w:rPr>
          <w:rFonts w:ascii="Times New Roman;Times;Serif" w:hAnsi="Times New Roman;Times;Serif"/>
          <w:b w:val="false"/>
          <w:i w:val="false"/>
          <w:caps w:val="false"/>
          <w:smallCaps w:val="false"/>
          <w:sz w:val="20"/>
        </w:rPr>
        <w:t>3.6 million using the following inputs: </w:t>
      </w:r>
    </w:p>
    <w:p>
      <w:pPr>
        <w:pStyle w:val="Normal"/>
        <w:bidi w:val="0"/>
        <w:spacing w:before="0" w:after="0"/>
        <w:jc w:val="left"/>
        <w:rPr>
          <w:sz w:val="4"/>
          <w:szCs w:val="4"/>
        </w:rPr>
      </w:pPr>
      <w:r>
        <w:rPr>
          <w:sz w:val="4"/>
          <w:szCs w:val="4"/>
        </w:rPr>
      </w:r>
      <w:bookmarkStart w:id="326" w:name="xdx_89D_ecustom--FairValueAssumptionsTab"/>
      <w:bookmarkStart w:id="327" w:name="xdx_89D_ecustom--FairValueAssumptionsTab"/>
      <w:bookmarkEnd w:id="327"/>
    </w:p>
    <w:tbl>
      <w:tblPr>
        <w:tblW w:w="5170" w:type="dxa"/>
        <w:jc w:val="left"/>
        <w:tblInd w:w="0" w:type="dxa"/>
        <w:tblLayout w:type="fixed"/>
        <w:tblCellMar>
          <w:top w:w="0" w:type="dxa"/>
          <w:left w:w="0" w:type="dxa"/>
          <w:bottom w:w="0" w:type="dxa"/>
          <w:right w:w="0" w:type="dxa"/>
        </w:tblCellMar>
      </w:tblPr>
      <w:tblGrid>
        <w:gridCol w:w="4715"/>
        <w:gridCol w:w="455"/>
      </w:tblGrid>
      <w:tr>
        <w:trPr/>
        <w:tc>
          <w:tcPr>
            <w:tcW w:w="4715" w:type="dxa"/>
            <w:tcBorders/>
            <w:vAlign w:val="center"/>
          </w:tcPr>
          <w:p>
            <w:pPr>
              <w:pStyle w:val="TableContents"/>
              <w:bidi w:val="0"/>
              <w:spacing w:before="0" w:after="283"/>
              <w:jc w:val="left"/>
              <w:rPr/>
            </w:pPr>
            <w:bookmarkStart w:id="328" w:name="xdx_8B2_z6L6dyk69idg"/>
            <w:bookmarkEnd w:id="328"/>
            <w:r>
              <w:rPr/>
              <w:t>Schedule of assumptions for financial instruments</w:t>
            </w:r>
          </w:p>
        </w:tc>
        <w:tc>
          <w:tcPr>
            <w:tcW w:w="455" w:type="dxa"/>
            <w:tcBorders/>
            <w:vAlign w:val="center"/>
          </w:tcPr>
          <w:p>
            <w:pPr>
              <w:pStyle w:val="TableContents"/>
              <w:bidi w:val="0"/>
              <w:spacing w:before="0" w:after="283"/>
              <w:jc w:val="center"/>
              <w:rPr/>
            </w:pPr>
            <w:r>
              <w:rPr/>
              <w:t> </w:t>
            </w:r>
          </w:p>
        </w:tc>
      </w:tr>
      <w:tr>
        <w:trPr/>
        <w:tc>
          <w:tcPr>
            <w:tcW w:w="4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bond yield</w:t>
            </w:r>
          </w:p>
        </w:tc>
        <w:tc>
          <w:tcPr>
            <w:tcW w:w="455" w:type="dxa"/>
            <w:tcBorders/>
            <w:vAlign w:val="center"/>
          </w:tcPr>
          <w:p>
            <w:pPr>
              <w:pStyle w:val="TableContents"/>
              <w:bidi w:val="0"/>
              <w:spacing w:before="0" w:after="283"/>
              <w:jc w:val="center"/>
              <w:rPr>
                <w:rFonts w:ascii="Times New Roman;Times;Serif" w:hAnsi="Times New Roman;Times;Serif"/>
                <w:sz w:val="20"/>
              </w:rPr>
            </w:pPr>
            <w:bookmarkStart w:id="329" w:name="xdx_909_eus-gaap--DerivativesBasisAndUse"/>
            <w:bookmarkEnd w:id="329"/>
            <w:r>
              <w:rPr>
                <w:rFonts w:ascii="Times New Roman;Times;Serif" w:hAnsi="Times New Roman;Times;Serif"/>
                <w:sz w:val="20"/>
              </w:rPr>
              <w:t>3.1%</w:t>
            </w:r>
          </w:p>
        </w:tc>
      </w:tr>
      <w:tr>
        <w:trPr/>
        <w:tc>
          <w:tcPr>
            <w:tcW w:w="4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rate</w:t>
            </w:r>
          </w:p>
        </w:tc>
        <w:tc>
          <w:tcPr>
            <w:tcW w:w="455" w:type="dxa"/>
            <w:tcBorders/>
            <w:vAlign w:val="center"/>
          </w:tcPr>
          <w:p>
            <w:pPr>
              <w:pStyle w:val="TableContents"/>
              <w:bidi w:val="0"/>
              <w:spacing w:before="0" w:after="283"/>
              <w:jc w:val="center"/>
              <w:rPr>
                <w:rFonts w:ascii="Times New Roman;Times;Serif" w:hAnsi="Times New Roman;Times;Serif"/>
                <w:sz w:val="20"/>
              </w:rPr>
            </w:pPr>
            <w:bookmarkStart w:id="330" w:name="xdx_906_eus-gaap--DerivativesBasisAndUse"/>
            <w:bookmarkEnd w:id="330"/>
            <w:r>
              <w:rPr>
                <w:rFonts w:ascii="Times New Roman;Times;Serif" w:hAnsi="Times New Roman;Times;Serif"/>
                <w:sz w:val="20"/>
              </w:rPr>
              <w:t>1.6%</w:t>
            </w:r>
          </w:p>
        </w:tc>
      </w:tr>
      <w:tr>
        <w:trPr/>
        <w:tc>
          <w:tcPr>
            <w:tcW w:w="4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Liquidity premium</w:t>
            </w:r>
          </w:p>
        </w:tc>
        <w:tc>
          <w:tcPr>
            <w:tcW w:w="455" w:type="dxa"/>
            <w:tcBorders/>
            <w:vAlign w:val="center"/>
          </w:tcPr>
          <w:p>
            <w:pPr>
              <w:pStyle w:val="TableContents"/>
              <w:bidi w:val="0"/>
              <w:spacing w:before="0" w:after="283"/>
              <w:jc w:val="center"/>
              <w:rPr>
                <w:rFonts w:ascii="Times New Roman;Times;Serif" w:hAnsi="Times New Roman;Times;Serif"/>
                <w:sz w:val="20"/>
              </w:rPr>
            </w:pPr>
            <w:bookmarkStart w:id="331" w:name="xdx_907_eus-gaap--DerivativesBasisAndUse"/>
            <w:bookmarkEnd w:id="331"/>
            <w:r>
              <w:rPr>
                <w:rFonts w:ascii="Times New Roman;Times;Serif" w:hAnsi="Times New Roman;Times;Serif"/>
                <w:sz w:val="20"/>
              </w:rPr>
              <w:t>0.4%</w:t>
            </w:r>
          </w:p>
        </w:tc>
      </w:tr>
      <w:tr>
        <w:trPr/>
        <w:tc>
          <w:tcPr>
            <w:tcW w:w="47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Discount rate</w:t>
            </w:r>
          </w:p>
        </w:tc>
        <w:tc>
          <w:tcPr>
            <w:tcW w:w="455" w:type="dxa"/>
            <w:tcBorders/>
            <w:vAlign w:val="center"/>
          </w:tcPr>
          <w:p>
            <w:pPr>
              <w:pStyle w:val="TableContents"/>
              <w:bidi w:val="0"/>
              <w:spacing w:before="0" w:after="283"/>
              <w:jc w:val="center"/>
              <w:rPr>
                <w:rFonts w:ascii="Times New Roman;Times;Serif" w:hAnsi="Times New Roman;Times;Serif"/>
                <w:sz w:val="20"/>
              </w:rPr>
            </w:pPr>
            <w:bookmarkStart w:id="332" w:name="xdx_90A_eus-gaap--DerivativesBasisAndUse"/>
            <w:bookmarkEnd w:id="332"/>
            <w:r>
              <w:rPr>
                <w:rFonts w:ascii="Times New Roman;Times;Serif" w:hAnsi="Times New Roman;Times;Serif"/>
                <w:sz w:val="20"/>
              </w:rPr>
              <w:t>3.5%</w:t>
            </w:r>
          </w:p>
        </w:tc>
      </w:tr>
    </w:tbl>
    <w:p>
      <w:pPr>
        <w:pStyle w:val="TextBody"/>
        <w:shd w:fill="FFFFFF" w:val="clear"/>
        <w:bidi w:val="0"/>
        <w:spacing w:before="0" w:after="0"/>
        <w:ind w:left="0" w:right="0" w:hanging="0"/>
        <w:jc w:val="both"/>
        <w:rPr>
          <w:caps w:val="false"/>
          <w:smallCaps w:val="false"/>
        </w:rPr>
      </w:pPr>
      <w:bookmarkStart w:id="333" w:name="xdx_8AB_z6gVtNIUJbw5"/>
      <w:bookmarkEnd w:id="333"/>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the outstanding balance of the Purchase Note was $</w:t>
      </w:r>
      <w:bookmarkStart w:id="334" w:name="xdx_906_eus-gaap--LongTermDebt_iI_c20230"/>
      <w:bookmarkEnd w:id="334"/>
      <w:r>
        <w:rPr>
          <w:rFonts w:ascii="Times New Roman;Times;Serif" w:hAnsi="Times New Roman;Times;Serif"/>
          <w:b w:val="false"/>
          <w:i w:val="false"/>
          <w:caps w:val="false"/>
          <w:smallCaps w:val="false"/>
          <w:sz w:val="20"/>
        </w:rPr>
        <w:t xml:space="preserve">2,004,181, including a premium of $ </w:t>
      </w:r>
      <w:bookmarkStart w:id="335" w:name="xdx_90F_eus-gaap--DebtInstrumentUnamorti"/>
      <w:bookmarkEnd w:id="335"/>
      <w:r>
        <w:rPr>
          <w:rFonts w:ascii="Times New Roman;Times;Serif" w:hAnsi="Times New Roman;Times;Serif"/>
          <w:b w:val="false"/>
          <w:i w:val="false"/>
          <w:caps w:val="false"/>
          <w:smallCaps w:val="false"/>
          <w:sz w:val="20"/>
        </w:rPr>
        <w:t xml:space="preserve">44,181 and $ </w:t>
      </w:r>
      <w:bookmarkStart w:id="336" w:name="xdx_90C_eus-gaap--InterestPayableCurrent"/>
      <w:bookmarkEnd w:id="336"/>
      <w:r>
        <w:rPr>
          <w:rFonts w:ascii="Times New Roman;Times;Serif" w:hAnsi="Times New Roman;Times;Serif"/>
          <w:b w:val="false"/>
          <w:i w:val="false"/>
          <w:caps w:val="false"/>
          <w:smallCaps w:val="false"/>
          <w:sz w:val="20"/>
        </w:rPr>
        <w:t>210,000 of accrued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37" w:name="xdx_235_zxdPxa314NR2"/>
      <w:bookmarkEnd w:id="337"/>
      <w:r>
        <w:rPr>
          <w:caps w:val="false"/>
          <w:smallCaps w:val="false"/>
        </w:rPr>
        <w:t> </w:t>
      </w:r>
    </w:p>
    <w:p>
      <w:pPr>
        <w:pStyle w:val="TextBody"/>
        <w:bidi w:val="0"/>
        <w:spacing w:before="0" w:after="0"/>
        <w:ind w:left="0" w:right="0" w:hanging="0"/>
        <w:jc w:val="both"/>
        <w:rPr>
          <w:caps w:val="false"/>
          <w:smallCaps w:val="false"/>
        </w:rPr>
      </w:pPr>
      <w:bookmarkStart w:id="338" w:name="xdx_23D_zaTqzFyJojk7"/>
      <w:bookmarkEnd w:id="33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bookmarkStart w:id="339" w:name="xdx_23E_zdcIjIgAq12j"/>
            <w:bookmarkEnd w:id="339"/>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340" w:name="xdx_235_zJ50Xyk6MYo9"/>
      <w:bookmarkEnd w:id="340"/>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41" w:name="xdx_231_zxMtaQJ2inn8"/>
      <w:bookmarkEnd w:id="34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Inputs are unadjusted, quoted prices in active markets for identical assets or liabilities at the measurement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significant to the measurement of the fair value of the assets or liabilities that are supported by little or no market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any assets or liabilities measured at fair value on a recurring basis. We measure certain non-financial assets on a non-recurring basis, including goodwill. As a result of those measurements, we recognized an impairment charge of $0 and $3.1 million during the three and nine months ended March 31, 2023, as follows: </w:t>
      </w:r>
    </w:p>
    <w:p>
      <w:pPr>
        <w:pStyle w:val="Normal"/>
        <w:bidi w:val="0"/>
        <w:spacing w:before="0" w:after="0"/>
        <w:jc w:val="left"/>
        <w:rPr>
          <w:sz w:val="4"/>
          <w:szCs w:val="4"/>
        </w:rPr>
      </w:pPr>
      <w:r>
        <w:rPr>
          <w:sz w:val="4"/>
          <w:szCs w:val="4"/>
        </w:rPr>
      </w:r>
      <w:bookmarkStart w:id="342" w:name="xdx_897_eus-gaap--FairValueAssetsMeasure"/>
      <w:bookmarkStart w:id="343" w:name="xdx_897_eus-gaap--FairValueAssetsMeasure"/>
      <w:bookmarkEnd w:id="343"/>
    </w:p>
    <w:tbl>
      <w:tblPr>
        <w:tblW w:w="10205" w:type="dxa"/>
        <w:jc w:val="left"/>
        <w:tblInd w:w="0" w:type="dxa"/>
        <w:tblLayout w:type="fixed"/>
        <w:tblCellMar>
          <w:top w:w="0" w:type="dxa"/>
          <w:left w:w="0" w:type="dxa"/>
          <w:bottom w:w="0" w:type="dxa"/>
          <w:right w:w="0" w:type="dxa"/>
        </w:tblCellMar>
      </w:tblPr>
      <w:tblGrid>
        <w:gridCol w:w="3617"/>
        <w:gridCol w:w="60"/>
        <w:gridCol w:w="185"/>
        <w:gridCol w:w="1302"/>
        <w:gridCol w:w="60"/>
        <w:gridCol w:w="60"/>
        <w:gridCol w:w="352"/>
        <w:gridCol w:w="352"/>
        <w:gridCol w:w="60"/>
        <w:gridCol w:w="60"/>
        <w:gridCol w:w="352"/>
        <w:gridCol w:w="352"/>
        <w:gridCol w:w="60"/>
        <w:gridCol w:w="60"/>
        <w:gridCol w:w="140"/>
        <w:gridCol w:w="980"/>
        <w:gridCol w:w="60"/>
        <w:gridCol w:w="60"/>
        <w:gridCol w:w="244"/>
        <w:gridCol w:w="1712"/>
        <w:gridCol w:w="77"/>
      </w:tblGrid>
      <w:tr>
        <w:trPr/>
        <w:tc>
          <w:tcPr>
            <w:tcW w:w="3617" w:type="dxa"/>
            <w:tcBorders/>
            <w:vAlign w:val="center"/>
          </w:tcPr>
          <w:p>
            <w:pPr>
              <w:pStyle w:val="TableContents"/>
              <w:bidi w:val="0"/>
              <w:spacing w:before="0" w:after="283"/>
              <w:jc w:val="left"/>
              <w:rPr/>
            </w:pPr>
            <w:bookmarkStart w:id="344" w:name="xdx_8B1_z3zVwgWtamff"/>
            <w:bookmarkEnd w:id="344"/>
            <w:r>
              <w:rPr/>
              <w:t>Schedule of fair value on nonrecurring basis</w:t>
            </w:r>
          </w:p>
        </w:tc>
        <w:tc>
          <w:tcPr>
            <w:tcW w:w="60"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130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left"/>
              <w:rPr/>
            </w:pPr>
            <w:r>
              <w:rPr/>
              <w:t> </w:t>
            </w:r>
          </w:p>
        </w:tc>
        <w:tc>
          <w:tcPr>
            <w:tcW w:w="35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 </w:t>
            </w:r>
          </w:p>
        </w:tc>
        <w:tc>
          <w:tcPr>
            <w:tcW w:w="1712"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361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7" w:type="dxa"/>
            <w:gridSpan w:val="2"/>
            <w:tcBorders>
              <w:bottom w:val="single" w:sz="8" w:space="0" w:color="000000"/>
            </w:tcBorders>
            <w:tcMar>
              <w:bottom w:w="28" w:type="dxa"/>
            </w:tcMar>
            <w:vAlign w:val="center"/>
          </w:tcPr>
          <w:p>
            <w:pPr>
              <w:pStyle w:val="TableContents"/>
              <w:bidi w:val="0"/>
              <w:spacing w:before="0" w:after="283"/>
              <w:jc w:val="center"/>
              <w:rPr/>
            </w:pPr>
            <w:r>
              <w:rPr/>
              <w:t>Total 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center"/>
          </w:tcPr>
          <w:p>
            <w:pPr>
              <w:pStyle w:val="TableContents"/>
              <w:bidi w:val="0"/>
              <w:spacing w:before="0" w:after="283"/>
              <w:jc w:val="center"/>
              <w:rPr/>
            </w:pPr>
            <w:r>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4" w:type="dxa"/>
            <w:gridSpan w:val="2"/>
            <w:tcBorders>
              <w:bottom w:val="single" w:sz="8" w:space="0" w:color="000000"/>
            </w:tcBorders>
            <w:tcMar>
              <w:bottom w:w="28" w:type="dxa"/>
            </w:tcMar>
            <w:vAlign w:val="center"/>
          </w:tcPr>
          <w:p>
            <w:pPr>
              <w:pStyle w:val="TableContents"/>
              <w:bidi w:val="0"/>
              <w:spacing w:before="0" w:after="283"/>
              <w:jc w:val="center"/>
              <w:rPr/>
            </w:pPr>
            <w:r>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56" w:type="dxa"/>
            <w:gridSpan w:val="2"/>
            <w:tcBorders>
              <w:bottom w:val="single" w:sz="8" w:space="0" w:color="000000"/>
            </w:tcBorders>
            <w:tcMar>
              <w:bottom w:w="28" w:type="dxa"/>
            </w:tcMar>
            <w:vAlign w:val="center"/>
          </w:tcPr>
          <w:p>
            <w:pPr>
              <w:pStyle w:val="TableContents"/>
              <w:bidi w:val="0"/>
              <w:spacing w:before="0" w:after="283"/>
              <w:jc w:val="center"/>
              <w:rPr/>
            </w:pPr>
            <w:r>
              <w:rPr/>
              <w:t>Total Impairment Loss</w:t>
            </w:r>
          </w:p>
        </w:tc>
        <w:tc>
          <w:tcPr>
            <w:tcW w:w="77" w:type="dxa"/>
            <w:tcBorders/>
            <w:vAlign w:val="center"/>
          </w:tcPr>
          <w:p>
            <w:pPr>
              <w:pStyle w:val="TableContents"/>
              <w:bidi w:val="0"/>
              <w:spacing w:before="0" w:after="283"/>
              <w:jc w:val="left"/>
              <w:rPr/>
            </w:pPr>
            <w:r>
              <w:rPr/>
              <w:t> </w:t>
            </w:r>
          </w:p>
        </w:tc>
      </w:tr>
      <w:tr>
        <w:trPr/>
        <w:tc>
          <w:tcPr>
            <w:tcW w:w="3617" w:type="dxa"/>
            <w:tcBorders/>
            <w:shd w:fill="EEEEEE" w:val="clear"/>
            <w:vAlign w:val="center"/>
          </w:tcPr>
          <w:p>
            <w:pPr>
              <w:pStyle w:val="TableContents"/>
              <w:bidi w:val="0"/>
              <w:spacing w:before="0" w:after="283"/>
              <w:jc w:val="left"/>
              <w:rPr/>
            </w:pPr>
            <w:r>
              <w:rPr/>
              <w:t>Goodwill</w:t>
            </w:r>
          </w:p>
        </w:tc>
        <w:tc>
          <w:tcPr>
            <w:tcW w:w="60" w:type="dxa"/>
            <w:tcBorders/>
            <w:shd w:fill="EEEEEE" w:val="clear"/>
            <w:vAlign w:val="center"/>
          </w:tcPr>
          <w:p>
            <w:pPr>
              <w:pStyle w:val="TableContents"/>
              <w:bidi w:val="0"/>
              <w:spacing w:before="0" w:after="283"/>
              <w:jc w:val="left"/>
              <w:rPr/>
            </w:pPr>
            <w:r>
              <w:rPr/>
              <w:t> </w:t>
            </w:r>
          </w:p>
        </w:tc>
        <w:tc>
          <w:tcPr>
            <w:tcW w:w="185" w:type="dxa"/>
            <w:tcBorders>
              <w:bottom w:val="single" w:sz="8" w:space="0" w:color="000000"/>
            </w:tcBorders>
            <w:shd w:fill="EEEEEE" w:val="clear"/>
            <w:tcMar>
              <w:bottom w:w="28" w:type="dxa"/>
            </w:tcMar>
            <w:vAlign w:val="center"/>
          </w:tcPr>
          <w:p>
            <w:pPr>
              <w:pStyle w:val="TableContents"/>
              <w:bidi w:val="0"/>
              <w:spacing w:before="0" w:after="283"/>
              <w:jc w:val="left"/>
              <w:rPr/>
            </w:pPr>
            <w:r>
              <w:rPr/>
              <w:t>$</w:t>
            </w:r>
            <w:bookmarkStart w:id="345" w:name="xdx_985_eus-gaap--AssetsFairValueDisclos"/>
            <w:bookmarkEnd w:id="345"/>
          </w:p>
        </w:tc>
        <w:tc>
          <w:tcPr>
            <w:tcW w:w="1302" w:type="dxa"/>
            <w:tcBorders>
              <w:bottom w:val="single" w:sz="8" w:space="0" w:color="000000"/>
            </w:tcBorders>
            <w:shd w:fill="EEEEEE" w:val="clear"/>
            <w:tcMar>
              <w:bottom w:w="28" w:type="dxa"/>
            </w:tcMar>
            <w:vAlign w:val="center"/>
          </w:tcPr>
          <w:p>
            <w:pPr>
              <w:pStyle w:val="TableContents"/>
              <w:bidi w:val="0"/>
              <w:spacing w:before="0" w:after="283"/>
              <w:jc w:val="right"/>
              <w:rPr/>
            </w:pPr>
            <w:r>
              <w:rPr/>
              <w:t>3,034,110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52" w:type="dxa"/>
            <w:tcBorders>
              <w:bottom w:val="single" w:sz="8" w:space="0" w:color="000000"/>
            </w:tcBorders>
            <w:shd w:fill="EEEEEE" w:val="clear"/>
            <w:tcMar>
              <w:bottom w:w="28" w:type="dxa"/>
            </w:tcMar>
            <w:vAlign w:val="center"/>
          </w:tcPr>
          <w:p>
            <w:pPr>
              <w:pStyle w:val="TableContents"/>
              <w:bidi w:val="0"/>
              <w:spacing w:before="0" w:after="283"/>
              <w:jc w:val="left"/>
              <w:rPr/>
            </w:pPr>
            <w:r>
              <w:rPr/>
              <w:t>$</w:t>
            </w:r>
            <w:bookmarkStart w:id="346" w:name="xdx_986_eus-gaap--AssetsFairValueDisclos"/>
            <w:bookmarkEnd w:id="346"/>
          </w:p>
        </w:tc>
        <w:tc>
          <w:tcPr>
            <w:tcW w:w="352"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352" w:type="dxa"/>
            <w:tcBorders>
              <w:bottom w:val="single" w:sz="8" w:space="0" w:color="000000"/>
            </w:tcBorders>
            <w:shd w:fill="EEEEEE" w:val="clear"/>
            <w:tcMar>
              <w:bottom w:w="28" w:type="dxa"/>
            </w:tcMar>
            <w:vAlign w:val="center"/>
          </w:tcPr>
          <w:p>
            <w:pPr>
              <w:pStyle w:val="TableContents"/>
              <w:bidi w:val="0"/>
              <w:spacing w:before="0" w:after="283"/>
              <w:jc w:val="left"/>
              <w:rPr/>
            </w:pPr>
            <w:r>
              <w:rPr/>
              <w:t>$</w:t>
            </w:r>
            <w:bookmarkStart w:id="347" w:name="xdx_98E_eus-gaap--AssetsFairValueDisclos"/>
            <w:bookmarkEnd w:id="347"/>
          </w:p>
        </w:tc>
        <w:tc>
          <w:tcPr>
            <w:tcW w:w="352" w:type="dxa"/>
            <w:tcBorders>
              <w:bottom w:val="single" w:sz="8" w:space="0" w:color="000000"/>
            </w:tcBorders>
            <w:shd w:fill="EEEEEE" w:val="clear"/>
            <w:tcMar>
              <w:bottom w:w="28" w:type="dxa"/>
            </w:tcM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w:t>
            </w:r>
            <w:bookmarkStart w:id="348" w:name="xdx_981_eus-gaap--AssetsFairValueDisclos"/>
            <w:bookmarkEnd w:id="348"/>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3,034,110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44" w:type="dxa"/>
            <w:tcBorders>
              <w:bottom w:val="single" w:sz="8" w:space="0" w:color="000000"/>
            </w:tcBorders>
            <w:shd w:fill="EEEEEE" w:val="clear"/>
            <w:tcMar>
              <w:bottom w:w="28" w:type="dxa"/>
            </w:tcMar>
            <w:vAlign w:val="center"/>
          </w:tcPr>
          <w:p>
            <w:pPr>
              <w:pStyle w:val="TableContents"/>
              <w:bidi w:val="0"/>
              <w:spacing w:before="0" w:after="283"/>
              <w:jc w:val="left"/>
              <w:rPr/>
            </w:pPr>
            <w:r>
              <w:rPr/>
              <w:t>$</w:t>
            </w:r>
            <w:bookmarkStart w:id="349" w:name="xdx_983_eus-gaap--GoodwillImpairmentLoss"/>
            <w:bookmarkEnd w:id="349"/>
          </w:p>
        </w:tc>
        <w:tc>
          <w:tcPr>
            <w:tcW w:w="1712" w:type="dxa"/>
            <w:tcBorders>
              <w:bottom w:val="single" w:sz="8" w:space="0" w:color="000000"/>
            </w:tcBorders>
            <w:shd w:fill="EEEEEE" w:val="clear"/>
            <w:tcMar>
              <w:bottom w:w="28" w:type="dxa"/>
            </w:tcMar>
            <w:vAlign w:val="center"/>
          </w:tcPr>
          <w:p>
            <w:pPr>
              <w:pStyle w:val="TableContents"/>
              <w:bidi w:val="0"/>
              <w:spacing w:before="0" w:after="283"/>
              <w:jc w:val="right"/>
              <w:rPr/>
            </w:pPr>
            <w:r>
              <w:rPr/>
              <w:t>3,060,034</w:t>
            </w:r>
          </w:p>
        </w:tc>
        <w:tc>
          <w:tcPr>
            <w:tcW w:w="77" w:type="dxa"/>
            <w:tcBorders/>
            <w:shd w:fill="EEEEEE" w:val="clear"/>
            <w:vAlign w:val="center"/>
          </w:tcPr>
          <w:p>
            <w:pPr>
              <w:pStyle w:val="TableContents"/>
              <w:bidi w:val="0"/>
              <w:spacing w:before="0" w:after="283"/>
              <w:jc w:val="left"/>
              <w:rPr/>
            </w:pPr>
            <w:r>
              <w:rPr/>
              <w:t> </w:t>
            </w:r>
          </w:p>
        </w:tc>
      </w:tr>
      <w:tr>
        <w:trPr/>
        <w:tc>
          <w:tcPr>
            <w:tcW w:w="3617"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50" w:name="xdx_98E_eus-gaap--AssetsFairValueDisclos"/>
            <w:bookmarkEnd w:id="350"/>
          </w:p>
        </w:tc>
        <w:tc>
          <w:tcPr>
            <w:tcW w:w="1302" w:type="dxa"/>
            <w:tcBorders>
              <w:bottom w:val="double" w:sz="6" w:space="0" w:color="000000"/>
            </w:tcBorders>
            <w:shd w:fill="FFFFFF" w:val="clear"/>
            <w:tcMar>
              <w:bottom w:w="28" w:type="dxa"/>
            </w:tcMar>
            <w:vAlign w:val="center"/>
          </w:tcPr>
          <w:p>
            <w:pPr>
              <w:pStyle w:val="TableContents"/>
              <w:bidi w:val="0"/>
              <w:spacing w:before="0" w:after="283"/>
              <w:jc w:val="right"/>
              <w:rPr/>
            </w:pPr>
            <w:r>
              <w:rPr/>
              <w:t>3,034,110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51" w:name="xdx_981_eus-gaap--AssetsFairValueDisclos"/>
            <w:bookmarkEnd w:id="351"/>
          </w:p>
        </w:tc>
        <w:tc>
          <w:tcPr>
            <w:tcW w:w="35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52" w:name="xdx_98D_eus-gaap--AssetsFairValueDisclos"/>
            <w:bookmarkEnd w:id="352"/>
          </w:p>
        </w:tc>
        <w:tc>
          <w:tcPr>
            <w:tcW w:w="352"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53" w:name="xdx_984_eus-gaap--AssetsFairValueDisclos"/>
            <w:bookmarkEnd w:id="353"/>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3,034,110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54" w:name="xdx_98A_eus-gaap--GoodwillImpairmentLoss"/>
            <w:bookmarkEnd w:id="354"/>
          </w:p>
        </w:tc>
        <w:tc>
          <w:tcPr>
            <w:tcW w:w="1712" w:type="dxa"/>
            <w:tcBorders>
              <w:bottom w:val="double" w:sz="6" w:space="0" w:color="000000"/>
            </w:tcBorders>
            <w:shd w:fill="FFFFFF" w:val="clear"/>
            <w:tcMar>
              <w:bottom w:w="28" w:type="dxa"/>
            </w:tcMar>
            <w:vAlign w:val="center"/>
          </w:tcPr>
          <w:p>
            <w:pPr>
              <w:pStyle w:val="TableContents"/>
              <w:bidi w:val="0"/>
              <w:spacing w:before="0" w:after="283"/>
              <w:jc w:val="right"/>
              <w:rPr/>
            </w:pPr>
            <w:r>
              <w:rPr/>
              <w:t>3,060,034</w:t>
            </w:r>
          </w:p>
        </w:tc>
        <w:tc>
          <w:tcPr>
            <w:tcW w:w="7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55" w:name="xdx_8AC_zBlwWYU5vSZh"/>
      <w:bookmarkEnd w:id="355"/>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with a total carrying value of $6.1 million was written down to its fair value of $3.0 million, resulting in an impairment charge of $3,060,034, which was recorded in earnings for the nine months ended March 31, 2023. The fair value of goodwill was determined based on the discounted cash flow method, which is an income approach, which required the use of inputs that were unobservable in the marketplace (Level 3), including a discount rate that would be used by a market participant, projections of revenues and cash flows with the revised projections reflecting the increase in freight and storage costs in the current interim quarter, among others.</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56" w:name="xdx_86D_z53NYcn2CLTi"/>
      <w:bookmarkStart w:id="357" w:name="xdx_84E_eus-gaap--RevenueFromContractWit"/>
      <w:bookmarkEnd w:id="356"/>
      <w:bookmarkEnd w:id="357"/>
      <w:r>
        <w:rPr>
          <w:rFonts w:ascii="Times New Roman;Times;Serif" w:hAnsi="Times New Roman;Times;Serif"/>
          <w:b w:val="false"/>
          <w:i w:val="false"/>
          <w:caps w:val="false"/>
          <w:smallCaps w:val="false"/>
          <w:sz w:val="20"/>
          <w:u w:val="single"/>
        </w:rPr>
        <w:t>Revenue recognition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58" w:name="xdx_23F_zvymy9he0bOf"/>
      <w:bookmarkEnd w:id="358"/>
      <w:r>
        <w:rPr>
          <w:caps w:val="false"/>
          <w:smallCaps w:val="false"/>
        </w:rPr>
        <w:t> </w:t>
      </w:r>
    </w:p>
    <w:p>
      <w:pPr>
        <w:pStyle w:val="TextBody"/>
        <w:bidi w:val="0"/>
        <w:spacing w:before="0" w:after="0"/>
        <w:ind w:left="0" w:right="0" w:hanging="0"/>
        <w:jc w:val="both"/>
        <w:rPr>
          <w:caps w:val="false"/>
          <w:smallCaps w:val="false"/>
        </w:rPr>
      </w:pPr>
      <w:bookmarkStart w:id="359" w:name="xdx_238_zcVT9i5a8QF2"/>
      <w:bookmarkEnd w:id="359"/>
      <w:r>
        <w:rPr>
          <w:caps w:val="false"/>
          <w:smallCaps w:val="false"/>
        </w:rPr>
        <w:t> </w:t>
      </w:r>
    </w:p>
    <w:p>
      <w:pPr>
        <w:pStyle w:val="Normal"/>
        <w:bidi w:val="0"/>
        <w:spacing w:before="0" w:after="0"/>
        <w:ind w:left="0" w:right="0" w:hanging="0"/>
        <w:jc w:val="left"/>
        <w:rPr>
          <w:sz w:val="4"/>
          <w:szCs w:val="4"/>
        </w:rPr>
      </w:pPr>
      <w:r>
        <w:rPr>
          <w:sz w:val="4"/>
          <w:szCs w:val="4"/>
        </w:rPr>
      </w:r>
      <w:bookmarkStart w:id="360" w:name="xdx_239_zqNU4KpIsJkg"/>
      <w:bookmarkStart w:id="361" w:name="xdx_238_zegkfXJfmxJb"/>
      <w:bookmarkStart w:id="362" w:name="xdx_239_zqNU4KpIsJkg"/>
      <w:bookmarkStart w:id="363" w:name="xdx_238_zegkfXJfmxJb"/>
      <w:bookmarkEnd w:id="362"/>
      <w:bookmarkEnd w:id="363"/>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bookmarkStart w:id="364" w:name="xdx_23E_za5qXQEeKNr5"/>
            <w:bookmarkEnd w:id="364"/>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365" w:name="xdx_236_zAm5nOIZUNhf"/>
      <w:bookmarkEnd w:id="365"/>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66" w:name="xdx_234_zQDUgL6bFkv8"/>
      <w:bookmarkEnd w:id="366"/>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received prior to the delivery of goods to customers are recorded as customer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67" w:name="xdx_862_zZX6hnNGOxk9"/>
      <w:bookmarkStart w:id="368" w:name="xdx_844_eus-gaap--AdvertisingCostsPolicy"/>
      <w:bookmarkEnd w:id="367"/>
      <w:bookmarkEnd w:id="368"/>
      <w:r>
        <w:rPr>
          <w:rFonts w:ascii="Times New Roman;Times;Serif" w:hAnsi="Times New Roman;Times;Serif"/>
          <w:b w:val="false"/>
          <w:i w:val="false"/>
          <w:caps w:val="false"/>
          <w:smallCaps w:val="false"/>
          <w:sz w:val="20"/>
          <w:u w:val="single"/>
        </w:rPr>
        <w:t>Advertising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are expensed as incurred. Total advertising and promotional costs included in selling and fulfillment expenses for the three and nine months ended March 31, 2023 and 2022 were as following. </w:t>
      </w:r>
    </w:p>
    <w:p>
      <w:pPr>
        <w:pStyle w:val="Normal"/>
        <w:bidi w:val="0"/>
        <w:spacing w:before="0" w:after="0"/>
        <w:jc w:val="left"/>
        <w:rPr>
          <w:sz w:val="4"/>
          <w:szCs w:val="4"/>
        </w:rPr>
      </w:pPr>
      <w:r>
        <w:rPr>
          <w:sz w:val="4"/>
          <w:szCs w:val="4"/>
        </w:rPr>
      </w:r>
      <w:bookmarkStart w:id="369" w:name="xdx_896_ecustom--ScheduleOfAdvertisingCo"/>
      <w:bookmarkStart w:id="370" w:name="xdx_896_ecustom--ScheduleOfAdvertisingCo"/>
      <w:bookmarkEnd w:id="370"/>
    </w:p>
    <w:tbl>
      <w:tblPr>
        <w:tblW w:w="9068" w:type="dxa"/>
        <w:jc w:val="left"/>
        <w:tblInd w:w="0" w:type="dxa"/>
        <w:tblLayout w:type="fixed"/>
        <w:tblCellMar>
          <w:top w:w="0" w:type="dxa"/>
          <w:left w:w="0" w:type="dxa"/>
          <w:bottom w:w="0" w:type="dxa"/>
          <w:right w:w="0" w:type="dxa"/>
        </w:tblCellMar>
      </w:tblPr>
      <w:tblGrid>
        <w:gridCol w:w="2780"/>
        <w:gridCol w:w="60"/>
        <w:gridCol w:w="196"/>
        <w:gridCol w:w="1377"/>
        <w:gridCol w:w="84"/>
        <w:gridCol w:w="84"/>
        <w:gridCol w:w="196"/>
        <w:gridCol w:w="1124"/>
        <w:gridCol w:w="60"/>
        <w:gridCol w:w="60"/>
        <w:gridCol w:w="176"/>
        <w:gridCol w:w="1235"/>
        <w:gridCol w:w="75"/>
        <w:gridCol w:w="75"/>
        <w:gridCol w:w="176"/>
        <w:gridCol w:w="1235"/>
        <w:gridCol w:w="75"/>
      </w:tblGrid>
      <w:tr>
        <w:trPr/>
        <w:tc>
          <w:tcPr>
            <w:tcW w:w="2780" w:type="dxa"/>
            <w:tcBorders/>
            <w:vAlign w:val="center"/>
          </w:tcPr>
          <w:p>
            <w:pPr>
              <w:pStyle w:val="TableContents"/>
              <w:bidi w:val="0"/>
              <w:spacing w:before="0" w:after="283"/>
              <w:jc w:val="left"/>
              <w:rPr/>
            </w:pPr>
            <w:bookmarkStart w:id="371" w:name="xdx_8B6_z4AVUkZs6dYc"/>
            <w:bookmarkEnd w:id="371"/>
            <w:r>
              <w:rPr/>
              <w:t>Schedule of advertising costs</w:t>
            </w:r>
          </w:p>
        </w:tc>
        <w:tc>
          <w:tcPr>
            <w:tcW w:w="60" w:type="dxa"/>
            <w:tcBorders/>
            <w:vAlign w:val="center"/>
          </w:tcPr>
          <w:p>
            <w:pPr>
              <w:pStyle w:val="TableContents"/>
              <w:bidi w:val="0"/>
              <w:spacing w:before="0" w:after="283"/>
              <w:jc w:val="left"/>
              <w:rPr/>
            </w:pPr>
            <w:r>
              <w:rPr/>
              <w:t> </w:t>
            </w:r>
          </w:p>
        </w:tc>
        <w:tc>
          <w:tcPr>
            <w:tcW w:w="1573" w:type="dxa"/>
            <w:gridSpan w:val="2"/>
            <w:tcBorders/>
            <w:vAlign w:val="center"/>
          </w:tcPr>
          <w:p>
            <w:pPr>
              <w:pStyle w:val="TableContents"/>
              <w:bidi w:val="0"/>
              <w:spacing w:before="0" w:after="283"/>
              <w:jc w:val="center"/>
              <w:rPr/>
            </w:pPr>
            <w:r>
              <w:rPr/>
              <w:t> </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2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411" w:type="dxa"/>
            <w:gridSpan w:val="2"/>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1" w:type="dxa"/>
            <w:gridSpan w:val="6"/>
            <w:tcBorders>
              <w:bottom w:val="single" w:sz="8" w:space="0" w:color="000000"/>
            </w:tcBorders>
            <w:tcMar>
              <w:bottom w:w="28" w:type="dxa"/>
            </w:tcMar>
            <w:vAlign w:val="center"/>
          </w:tcPr>
          <w:p>
            <w:pPr>
              <w:pStyle w:val="TableContents"/>
              <w:bidi w:val="0"/>
              <w:spacing w:before="0" w:after="283"/>
              <w:jc w:val="center"/>
              <w:rPr/>
            </w:pPr>
            <w:r>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2" w:type="dxa"/>
            <w:gridSpan w:val="6"/>
            <w:tcBorders>
              <w:bottom w:val="single" w:sz="8" w:space="0" w:color="000000"/>
            </w:tcBorders>
            <w:tcMar>
              <w:bottom w:w="28" w:type="dxa"/>
            </w:tcMar>
            <w:vAlign w:val="center"/>
          </w:tcPr>
          <w:p>
            <w:pPr>
              <w:pStyle w:val="TableContents"/>
              <w:bidi w:val="0"/>
              <w:spacing w:before="0" w:after="283"/>
              <w:jc w:val="center"/>
              <w:rPr/>
            </w:pPr>
            <w:r>
              <w:rPr/>
              <w:t>Nine Months Ended March 31,</w:t>
            </w:r>
          </w:p>
        </w:tc>
        <w:tc>
          <w:tcPr>
            <w:tcW w:w="75"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73"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84" w:type="dxa"/>
            <w:tcBorders/>
            <w:vAlign w:val="center"/>
          </w:tcPr>
          <w:p>
            <w:pPr>
              <w:pStyle w:val="TableContents"/>
              <w:bidi w:val="0"/>
              <w:spacing w:before="0" w:after="283"/>
              <w:jc w:val="left"/>
              <w:rPr/>
            </w:pPr>
            <w:r>
              <w:rPr/>
              <w:t> </w:t>
            </w:r>
          </w:p>
        </w:tc>
        <w:tc>
          <w:tcPr>
            <w:tcW w:w="84" w:type="dxa"/>
            <w:tcBorders/>
            <w:vAlign w:val="center"/>
          </w:tcPr>
          <w:p>
            <w:pPr>
              <w:pStyle w:val="TableContents"/>
              <w:bidi w:val="0"/>
              <w:spacing w:before="0" w:after="283"/>
              <w:jc w:val="left"/>
              <w:rPr/>
            </w:pPr>
            <w:r>
              <w:rPr/>
              <w:t> </w:t>
            </w:r>
          </w:p>
        </w:tc>
        <w:tc>
          <w:tcPr>
            <w:tcW w:w="1320"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1"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7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1411"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p>
        </w:tc>
      </w:tr>
      <w:tr>
        <w:trPr/>
        <w:tc>
          <w:tcPr>
            <w:tcW w:w="2780" w:type="dxa"/>
            <w:tcBorders/>
            <w:shd w:fill="EEEEEE" w:val="clear"/>
            <w:vAlign w:val="center"/>
          </w:tcPr>
          <w:p>
            <w:pPr>
              <w:pStyle w:val="TableContents"/>
              <w:bidi w:val="0"/>
              <w:spacing w:before="0" w:after="283"/>
              <w:jc w:val="left"/>
              <w:rPr/>
            </w:pPr>
            <w:r>
              <w:rPr/>
              <w:t>Advertising and promotion</w:t>
            </w:r>
          </w:p>
        </w:tc>
        <w:tc>
          <w:tcPr>
            <w:tcW w:w="60" w:type="dxa"/>
            <w:tcBorders/>
            <w:shd w:fill="EEEEEE" w:val="clear"/>
            <w:vAlign w:val="center"/>
          </w:tcPr>
          <w:p>
            <w:pPr>
              <w:pStyle w:val="TableContents"/>
              <w:bidi w:val="0"/>
              <w:spacing w:before="0" w:after="283"/>
              <w:jc w:val="left"/>
              <w:rPr/>
            </w:pPr>
            <w:r>
              <w:rPr/>
              <w:t> </w:t>
            </w:r>
          </w:p>
        </w:tc>
        <w:tc>
          <w:tcPr>
            <w:tcW w:w="19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72" w:name="xdx_98B_eus-gaap--AdvertisingExpense_pp0"/>
            <w:bookmarkEnd w:id="372"/>
          </w:p>
        </w:tc>
        <w:tc>
          <w:tcPr>
            <w:tcW w:w="1377" w:type="dxa"/>
            <w:tcBorders>
              <w:bottom w:val="double" w:sz="6" w:space="0" w:color="000000"/>
            </w:tcBorders>
            <w:shd w:fill="EEEEEE" w:val="clear"/>
            <w:tcMar>
              <w:bottom w:w="28" w:type="dxa"/>
            </w:tcMar>
            <w:vAlign w:val="center"/>
          </w:tcPr>
          <w:p>
            <w:pPr>
              <w:pStyle w:val="TableContents"/>
              <w:bidi w:val="0"/>
              <w:spacing w:before="0" w:after="283"/>
              <w:jc w:val="right"/>
              <w:rPr/>
            </w:pPr>
            <w:r>
              <w:rPr/>
              <w:t>1,304,662</w:t>
            </w:r>
          </w:p>
        </w:tc>
        <w:tc>
          <w:tcPr>
            <w:tcW w:w="84" w:type="dxa"/>
            <w:tcBorders/>
            <w:shd w:fill="EEEEEE" w:val="clear"/>
            <w:vAlign w:val="center"/>
          </w:tcPr>
          <w:p>
            <w:pPr>
              <w:pStyle w:val="TableContents"/>
              <w:bidi w:val="0"/>
              <w:spacing w:before="0" w:after="283"/>
              <w:jc w:val="left"/>
              <w:rPr/>
            </w:pPr>
            <w:r>
              <w:rPr/>
              <w:t> </w:t>
            </w:r>
          </w:p>
        </w:tc>
        <w:tc>
          <w:tcPr>
            <w:tcW w:w="84" w:type="dxa"/>
            <w:tcBorders/>
            <w:shd w:fill="EEEEEE" w:val="clear"/>
            <w:vAlign w:val="center"/>
          </w:tcPr>
          <w:p>
            <w:pPr>
              <w:pStyle w:val="TableContents"/>
              <w:bidi w:val="0"/>
              <w:spacing w:before="0" w:after="283"/>
              <w:jc w:val="left"/>
              <w:rPr/>
            </w:pPr>
            <w:r>
              <w:rPr/>
              <w:t> </w:t>
            </w:r>
          </w:p>
        </w:tc>
        <w:tc>
          <w:tcPr>
            <w:tcW w:w="19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73" w:name="xdx_98B_eus-gaap--AdvertisingExpense_pp0"/>
            <w:bookmarkEnd w:id="373"/>
          </w:p>
        </w:tc>
        <w:tc>
          <w:tcPr>
            <w:tcW w:w="1124" w:type="dxa"/>
            <w:tcBorders>
              <w:bottom w:val="double" w:sz="6" w:space="0" w:color="000000"/>
            </w:tcBorders>
            <w:shd w:fill="EEEEEE" w:val="clear"/>
            <w:tcMar>
              <w:bottom w:w="28" w:type="dxa"/>
            </w:tcMar>
            <w:vAlign w:val="center"/>
          </w:tcPr>
          <w:p>
            <w:pPr>
              <w:pStyle w:val="TableContents"/>
              <w:bidi w:val="0"/>
              <w:spacing w:before="0" w:after="283"/>
              <w:jc w:val="right"/>
              <w:rPr/>
            </w:pPr>
            <w:r>
              <w:rPr/>
              <w:t>733,241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74" w:name="xdx_983_eus-gaap--AdvertisingExpense_c20"/>
            <w:bookmarkEnd w:id="374"/>
          </w:p>
        </w:tc>
        <w:tc>
          <w:tcPr>
            <w:tcW w:w="1235" w:type="dxa"/>
            <w:tcBorders>
              <w:bottom w:val="double" w:sz="6" w:space="0" w:color="000000"/>
            </w:tcBorders>
            <w:shd w:fill="EEEEEE" w:val="clear"/>
            <w:tcMar>
              <w:bottom w:w="28" w:type="dxa"/>
            </w:tcMar>
            <w:vAlign w:val="center"/>
          </w:tcPr>
          <w:p>
            <w:pPr>
              <w:pStyle w:val="TableContents"/>
              <w:bidi w:val="0"/>
              <w:spacing w:before="0" w:after="283"/>
              <w:jc w:val="right"/>
              <w:rPr/>
            </w:pPr>
            <w:r>
              <w:rPr/>
              <w:t>3,777,122</w:t>
            </w:r>
          </w:p>
        </w:tc>
        <w:tc>
          <w:tcPr>
            <w:tcW w:w="75" w:type="dxa"/>
            <w:tcBorders/>
            <w:shd w:fill="EEEEEE" w:val="clear"/>
            <w:vAlign w:val="center"/>
          </w:tcPr>
          <w:p>
            <w:pPr>
              <w:pStyle w:val="TableContents"/>
              <w:bidi w:val="0"/>
              <w:spacing w:before="0" w:after="283"/>
              <w:jc w:val="left"/>
              <w:rPr/>
            </w:pPr>
            <w:r>
              <w:rPr/>
              <w:t> </w:t>
            </w:r>
          </w:p>
        </w:tc>
        <w:tc>
          <w:tcPr>
            <w:tcW w:w="75" w:type="dxa"/>
            <w:tcBorders/>
            <w:shd w:fill="EEEEEE" w:val="clear"/>
            <w:vAlign w:val="center"/>
          </w:tcPr>
          <w:p>
            <w:pPr>
              <w:pStyle w:val="TableContents"/>
              <w:bidi w:val="0"/>
              <w:spacing w:before="0" w:after="283"/>
              <w:jc w:val="left"/>
              <w:rPr/>
            </w:pPr>
            <w:r>
              <w:rPr/>
              <w:t> </w:t>
            </w:r>
          </w:p>
        </w:tc>
        <w:tc>
          <w:tcPr>
            <w:tcW w:w="17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375" w:name="xdx_983_eus-gaap--AdvertisingExpense_pp0"/>
            <w:bookmarkEnd w:id="375"/>
          </w:p>
        </w:tc>
        <w:tc>
          <w:tcPr>
            <w:tcW w:w="1235" w:type="dxa"/>
            <w:tcBorders>
              <w:bottom w:val="double" w:sz="6" w:space="0" w:color="000000"/>
            </w:tcBorders>
            <w:shd w:fill="EEEEEE" w:val="clear"/>
            <w:tcMar>
              <w:bottom w:w="28" w:type="dxa"/>
            </w:tcMar>
            <w:vAlign w:val="center"/>
          </w:tcPr>
          <w:p>
            <w:pPr>
              <w:pStyle w:val="TableContents"/>
              <w:bidi w:val="0"/>
              <w:spacing w:before="0" w:after="283"/>
              <w:jc w:val="right"/>
              <w:rPr/>
            </w:pPr>
            <w:r>
              <w:rPr/>
              <w:t>1,945,222</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376" w:name="xdx_8AC_zG3Y8oqS6gCj"/>
      <w:bookmarkEnd w:id="37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77" w:name="xdx_864_zxZswkhyfXCl"/>
      <w:bookmarkStart w:id="378" w:name="xdx_84A_ecustom--CostOfRevenuePolicyText"/>
      <w:bookmarkEnd w:id="377"/>
      <w:bookmarkEnd w:id="378"/>
      <w:r>
        <w:rPr>
          <w:rFonts w:ascii="Times New Roman;Times;Serif" w:hAnsi="Times New Roman;Times;Serif"/>
          <w:b w:val="false"/>
          <w:i w:val="false"/>
          <w:caps w:val="false"/>
          <w:smallCaps w:val="false"/>
          <w:sz w:val="20"/>
          <w:u w:val="single"/>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mainly consists of costs for purchases of products and related inbound freight and delivery fees.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79" w:name="xdx_86E_zB5CWC93vCz7"/>
      <w:bookmarkStart w:id="380" w:name="xdx_844_ecustom--OperatingExpensesPolicy"/>
      <w:bookmarkEnd w:id="379"/>
      <w:bookmarkEnd w:id="380"/>
      <w:r>
        <w:rPr>
          <w:rFonts w:ascii="Times New Roman;Times;Serif" w:hAnsi="Times New Roman;Times;Serif"/>
          <w:b w:val="false"/>
          <w:i w:val="false"/>
          <w:caps w:val="false"/>
          <w:smallCaps w:val="false"/>
          <w:sz w:val="20"/>
          <w:u w:val="single"/>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which consist of selling and fulfillment and general and administrative expenses, are expensed as incurred.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81" w:name="xdx_862_zOHBBXhPXHAf"/>
      <w:bookmarkStart w:id="382" w:name="xdx_849_eus-gaap--InventoryPolicyTextBlo"/>
      <w:bookmarkEnd w:id="381"/>
      <w:bookmarkEnd w:id="382"/>
      <w:r>
        <w:rPr>
          <w:rFonts w:ascii="Times New Roman;Times;Serif" w:hAnsi="Times New Roman;Times;Serif"/>
          <w:b w:val="false"/>
          <w:i w:val="false"/>
          <w:caps w:val="false"/>
          <w:smallCaps w:val="false"/>
          <w:sz w:val="20"/>
          <w:u w:val="single"/>
        </w:rPr>
        <w:t>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finished goods ready for sale and is stated at the lower of cost or market. The Company values its inventory using the weighted average costing method. The Company’s policy is to include as a part of inventory and costs of goods sold any freight incurred to ship the product from its vendors to warehouses. Outbound freight costs related to shipping costs to customers are considered periodic costs and are reflected in selling and fulfillment expenses. The Company regularly reviews inventory and considers forecasts of future demand, market conditions and product obsolescence.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83" w:name="xdx_860_zeqjAtkBDf88"/>
      <w:bookmarkStart w:id="384" w:name="xdx_840_ecustom--DebtIssuanceCostsPolicy"/>
      <w:bookmarkEnd w:id="383"/>
      <w:bookmarkEnd w:id="384"/>
      <w:r>
        <w:rPr>
          <w:rFonts w:ascii="Times New Roman;Times;Serif" w:hAnsi="Times New Roman;Times;Serif"/>
          <w:b w:val="false"/>
          <w:i w:val="false"/>
          <w:caps w:val="false"/>
          <w:smallCaps w:val="false"/>
          <w:sz w:val="20"/>
          <w:u w:val="single"/>
        </w:rPr>
        <w:t>Debt Issuance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incurred in connection with the issuance of debt are deferred and amortized as interest expense over the term of the related debt using the effective interest method. To the extent that the debt is outstanding, these amounts are reflected in the consolidated balance sheets as direct deductions from the carrying amount of the outstanding borrowings.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385" w:name="xdx_23F_zVSVK4lkcZWc"/>
      <w:bookmarkEnd w:id="385"/>
      <w:r>
        <w:rPr>
          <w:caps w:val="false"/>
          <w:smallCaps w:val="false"/>
        </w:rPr>
        <w:t> </w:t>
      </w:r>
    </w:p>
    <w:p>
      <w:pPr>
        <w:pStyle w:val="TextBody"/>
        <w:bidi w:val="0"/>
        <w:spacing w:before="0" w:after="0"/>
        <w:ind w:left="0" w:right="0" w:hanging="0"/>
        <w:jc w:val="both"/>
        <w:rPr>
          <w:caps w:val="false"/>
          <w:smallCaps w:val="false"/>
        </w:rPr>
      </w:pPr>
      <w:bookmarkStart w:id="386" w:name="xdx_23F_zwe1p2NKDOIc"/>
      <w:bookmarkEnd w:id="386"/>
      <w:r>
        <w:rPr>
          <w:caps w:val="false"/>
          <w:smallCaps w:val="false"/>
        </w:rPr>
        <w:t> </w:t>
      </w:r>
    </w:p>
    <w:p>
      <w:pPr>
        <w:pStyle w:val="Normal"/>
        <w:bidi w:val="0"/>
        <w:spacing w:before="0" w:after="0"/>
        <w:ind w:left="0" w:right="0" w:hanging="0"/>
        <w:jc w:val="left"/>
        <w:rPr>
          <w:sz w:val="4"/>
          <w:szCs w:val="4"/>
        </w:rPr>
      </w:pPr>
      <w:r>
        <w:rPr>
          <w:sz w:val="4"/>
          <w:szCs w:val="4"/>
        </w:rPr>
      </w:r>
      <w:bookmarkStart w:id="387" w:name="xdx_23C_z6MRsR32W1oa"/>
      <w:bookmarkStart w:id="388" w:name="xdx_23C_zSX7BFYRRyVf"/>
      <w:bookmarkStart w:id="389" w:name="xdx_23C_z6MRsR32W1oa"/>
      <w:bookmarkStart w:id="390" w:name="xdx_23C_zSX7BFYRRyVf"/>
      <w:bookmarkEnd w:id="389"/>
      <w:bookmarkEnd w:id="390"/>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bookmarkStart w:id="391" w:name="xdx_231_zA6rH8wiwyPh"/>
            <w:bookmarkEnd w:id="391"/>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392" w:name="xdx_23F_zu797r0Dseek"/>
      <w:bookmarkEnd w:id="392"/>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393" w:name="xdx_232_zrdM8zn9t8ri"/>
      <w:bookmarkEnd w:id="393"/>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394" w:name="xdx_868_z1jjT52ocl3f"/>
      <w:bookmarkStart w:id="395" w:name="xdx_846_eus-gaap--SegmentReportingPolicy"/>
      <w:bookmarkEnd w:id="394"/>
      <w:bookmarkEnd w:id="395"/>
      <w:r>
        <w:rPr>
          <w:rFonts w:ascii="Times New Roman;Times;Serif" w:hAnsi="Times New Roman;Times;Serif"/>
          <w:b w:val="false"/>
          <w:i w:val="false"/>
          <w:caps w:val="false"/>
          <w:smallCaps w:val="false"/>
          <w:sz w:val="20"/>
          <w:u w:val="single"/>
        </w:rPr>
        <w:t>Segment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For the nine months ended March 31, 2023, sales through Amazon to Canada and other foreign countries were approximately </w:t>
      </w:r>
      <w:bookmarkStart w:id="396" w:name="xdx_909_eus-gaap--ConcentrationRiskPerce"/>
      <w:bookmarkEnd w:id="396"/>
      <w:r>
        <w:rPr>
          <w:rFonts w:ascii="Times New Roman;Times;Serif" w:hAnsi="Times New Roman;Times;Serif"/>
          <w:b w:val="false"/>
          <w:i w:val="false"/>
          <w:caps w:val="false"/>
          <w:smallCaps w:val="false"/>
          <w:sz w:val="20"/>
        </w:rPr>
        <w:t xml:space="preserve">12.8% of the Company’s total sales. Sales of hydroponic products, including ventilation and grow light systems, were approximately </w:t>
      </w:r>
      <w:bookmarkStart w:id="397" w:name="xdx_90A_eus-gaap--ConcentrationRiskPerce"/>
      <w:bookmarkEnd w:id="397"/>
      <w:r>
        <w:rPr>
          <w:rFonts w:ascii="Times New Roman;Times;Serif" w:hAnsi="Times New Roman;Times;Serif"/>
          <w:b w:val="false"/>
          <w:i w:val="false"/>
          <w:caps w:val="false"/>
          <w:smallCaps w:val="false"/>
          <w:sz w:val="20"/>
        </w:rPr>
        <w:t xml:space="preserve">46% of the Company’s total sales and the remaining </w:t>
      </w:r>
      <w:bookmarkStart w:id="398" w:name="xdx_90B_eus-gaap--ConcentrationRiskPerce"/>
      <w:bookmarkEnd w:id="398"/>
      <w:r>
        <w:rPr>
          <w:rFonts w:ascii="Times New Roman;Times;Serif" w:hAnsi="Times New Roman;Times;Serif"/>
          <w:b w:val="false"/>
          <w:i w:val="false"/>
          <w:caps w:val="false"/>
          <w:smallCaps w:val="false"/>
          <w:sz w:val="20"/>
        </w:rPr>
        <w:t>54% consisted of general gardening, home goods and other products and accessories. As of March 31, 2023, there were approximately $</w:t>
      </w:r>
      <w:bookmarkStart w:id="399" w:name="xdx_908_eus-gaap--InventoryGross_iI_pp0p"/>
      <w:bookmarkEnd w:id="399"/>
      <w:r>
        <w:rPr>
          <w:rFonts w:ascii="Times New Roman;Times;Serif" w:hAnsi="Times New Roman;Times;Serif"/>
          <w:b w:val="false"/>
          <w:i w:val="false"/>
          <w:caps w:val="false"/>
          <w:smallCaps w:val="false"/>
          <w:sz w:val="20"/>
        </w:rPr>
        <w:t>2.3 million of inventory stored in China. The Company’s majority of long-lived assets are located in California, United States, and majority of the Company’s revenues are derived from within the United States. Therefore, no geographical segments are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00" w:name="xdx_86C_zH7dgdKB4ng9"/>
      <w:bookmarkStart w:id="401" w:name="xdx_84F_eus-gaap--LesseeLeasesPolicyText"/>
      <w:bookmarkEnd w:id="400"/>
      <w:bookmarkEnd w:id="401"/>
      <w:r>
        <w:rPr>
          <w:rFonts w:ascii="Times New Roman;Times;Serif" w:hAnsi="Times New Roman;Times;Serif"/>
          <w:b w:val="false"/>
          <w:i w:val="false"/>
          <w:caps w:val="false"/>
          <w:smallCaps w:val="false"/>
          <w:sz w:val="20"/>
          <w:u w:val="single"/>
        </w:rPr>
        <w:t>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records right-of-use (“ROU”) assets and related lease obligations on the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02" w:name="xdx_86C_zeRyoM4fMgPk"/>
      <w:bookmarkStart w:id="403" w:name="xdx_848_eus-gaap--ShareBasedCompensation"/>
      <w:bookmarkEnd w:id="402"/>
      <w:bookmarkEnd w:id="403"/>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requisite service period, the Company also evaluates the performance condition and market condition under ASC 718-10-20. For an award which contains both a performance and a market condition, and where both conditions must be satisfied for the award to vest, the market condition is incorporated into the fair value of the award, and that fair value is recognized over the employee’s requisite service period or nonemployee’s vesting period if it is probable the performance condition will be met. If the performance condition is ultimately not met, compensation cost related to the award should not be recognized (or should be reversed) because the vesting condition in the award has not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recognize forfeitures of such equity-based compensation as they occur.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04" w:name="xdx_86F_zQPHu5uNSfKi"/>
      <w:bookmarkStart w:id="405" w:name="xdx_844_eus-gaap--IncomeTaxPolicyTextBlo"/>
      <w:bookmarkEnd w:id="404"/>
      <w:bookmarkEnd w:id="405"/>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Deferred income tax assets are recognized only to the extent that management determines that it is more-likely-than-not that the deferred income tax assets will be realized. Valuation allowances are recorded,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06" w:name="xdx_239_zdLULMBhgec9"/>
      <w:bookmarkEnd w:id="406"/>
      <w:r>
        <w:rPr>
          <w:caps w:val="false"/>
          <w:smallCaps w:val="false"/>
        </w:rPr>
        <w:t> </w:t>
      </w:r>
    </w:p>
    <w:p>
      <w:pPr>
        <w:pStyle w:val="TextBody"/>
        <w:bidi w:val="0"/>
        <w:spacing w:before="0" w:after="0"/>
        <w:ind w:left="0" w:right="0" w:hanging="0"/>
        <w:jc w:val="both"/>
        <w:rPr>
          <w:caps w:val="false"/>
          <w:smallCaps w:val="false"/>
        </w:rPr>
      </w:pPr>
      <w:bookmarkStart w:id="407" w:name="xdx_239_zsW6JVpXv1j7"/>
      <w:bookmarkEnd w:id="407"/>
      <w:r>
        <w:rPr>
          <w:caps w:val="false"/>
          <w:smallCaps w:val="false"/>
        </w:rPr>
        <w:t> </w:t>
      </w:r>
    </w:p>
    <w:p>
      <w:pPr>
        <w:pStyle w:val="Normal"/>
        <w:bidi w:val="0"/>
        <w:spacing w:before="0" w:after="0"/>
        <w:ind w:left="0" w:right="0" w:hanging="0"/>
        <w:jc w:val="left"/>
        <w:rPr>
          <w:sz w:val="4"/>
          <w:szCs w:val="4"/>
        </w:rPr>
      </w:pPr>
      <w:r>
        <w:rPr>
          <w:sz w:val="4"/>
          <w:szCs w:val="4"/>
        </w:rPr>
      </w:r>
      <w:bookmarkStart w:id="408" w:name="xdx_232_zoLCpWeRD5x8"/>
      <w:bookmarkStart w:id="409" w:name="xdx_235_zl1x8uWVI7N2"/>
      <w:bookmarkStart w:id="410" w:name="xdx_232_zoLCpWeRD5x8"/>
      <w:bookmarkStart w:id="411" w:name="xdx_235_zl1x8uWVI7N2"/>
      <w:bookmarkEnd w:id="410"/>
      <w:bookmarkEnd w:id="411"/>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bookmarkStart w:id="412" w:name="xdx_23E_zT8YhewVKHGc"/>
            <w:bookmarkEnd w:id="412"/>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bookmarkStart w:id="413" w:name="xdx_231_zy0ihcAhpDt6"/>
      <w:bookmarkEnd w:id="413"/>
      <w:r>
        <w:rPr/>
        <w:t> </w:t>
      </w:r>
    </w:p>
    <w:p>
      <w:pPr>
        <w:pStyle w:val="TextBody"/>
        <w:bidi w:val="0"/>
        <w:spacing w:before="0" w:after="0"/>
        <w:ind w:left="0" w:right="0" w:hanging="0"/>
        <w:jc w:val="both"/>
        <w:rPr>
          <w:caps w:val="false"/>
          <w:smallCaps w:val="false"/>
        </w:rPr>
      </w:pPr>
      <w:bookmarkStart w:id="414" w:name="xdx_234_zM7cokU7NAcd"/>
      <w:bookmarkEnd w:id="41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15" w:name="xdx_86A_z9gRIlBLeikc"/>
      <w:bookmarkStart w:id="416" w:name="xdx_84E_eus-gaap--CommitmentsAndContinge"/>
      <w:bookmarkEnd w:id="415"/>
      <w:bookmarkEnd w:id="416"/>
      <w:r>
        <w:rPr>
          <w:rFonts w:ascii="Times New Roman;Times;Serif" w:hAnsi="Times New Roman;Times;Serif"/>
          <w:b w:val="false"/>
          <w:i w:val="false"/>
          <w:caps w:val="false"/>
          <w:smallCaps w:val="false"/>
          <w:sz w:val="20"/>
          <w:u w:val="single"/>
        </w:rPr>
        <w:t>Commitments and 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17" w:name="xdx_86C_zOBg4Kwgt1h1"/>
      <w:bookmarkStart w:id="418" w:name="xdx_844_eus-gaap--EarningsPerSharePolicy"/>
      <w:bookmarkEnd w:id="417"/>
      <w:bookmarkEnd w:id="418"/>
      <w:r>
        <w:rPr>
          <w:rFonts w:ascii="Times New Roman;Times;Serif" w:hAnsi="Times New Roman;Times;Serif"/>
          <w:b w:val="false"/>
          <w:i w:val="false"/>
          <w:caps w:val="false"/>
          <w:smallCaps w:val="false"/>
          <w:sz w:val="20"/>
          <w:u w:val="single"/>
        </w:rPr>
        <w:t>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bookmarkStart w:id="419" w:name="xdx_868_zGRXAeeMRARi"/>
      <w:bookmarkStart w:id="420" w:name="xdx_843_eus-gaap--NewAccountingPronounce"/>
      <w:bookmarkEnd w:id="419"/>
      <w:bookmarkEnd w:id="420"/>
      <w:r>
        <w:rPr>
          <w:rFonts w:ascii="Times New Roman;Times;Serif" w:hAnsi="Times New Roman;Times;Serif"/>
          <w:b w:val="false"/>
          <w:i w:val="false"/>
          <w:caps w:val="false"/>
          <w:smallCaps w:val="false"/>
          <w:sz w:val="20"/>
          <w:u w:val="single"/>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2022, FASB issued ASU 2022-03, Fair Value Measurement (Topic 820):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its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FASB issued ASU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ASU 2014-09, Revenue from Contracts with Customers (Topic 606) as if the entity had originated the contracts. The guidance is effective for fiscal years beginning after December 15, 2023, with early application permitted. The Company does not expect the adoption of this standard to have a material impact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The Company does not expect the adoption of this standard to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21" w:name="xdx_237_zMpG7umTxpVj"/>
      <w:bookmarkEnd w:id="421"/>
      <w:r>
        <w:rPr>
          <w:caps w:val="false"/>
          <w:smallCaps w:val="false"/>
        </w:rPr>
        <w:t> </w:t>
      </w:r>
    </w:p>
    <w:p>
      <w:pPr>
        <w:pStyle w:val="TextBody"/>
        <w:bidi w:val="0"/>
        <w:spacing w:before="0" w:after="0"/>
        <w:ind w:left="0" w:right="0" w:hanging="0"/>
        <w:jc w:val="both"/>
        <w:rPr>
          <w:caps w:val="false"/>
          <w:smallCaps w:val="false"/>
        </w:rPr>
      </w:pPr>
      <w:bookmarkStart w:id="422" w:name="xdx_233_zVOADDU4Yma1"/>
      <w:bookmarkEnd w:id="422"/>
      <w:r>
        <w:rPr>
          <w:caps w:val="false"/>
          <w:smallCaps w:val="false"/>
        </w:rPr>
        <w:t> </w:t>
      </w:r>
    </w:p>
    <w:p>
      <w:pPr>
        <w:pStyle w:val="Normal"/>
        <w:bidi w:val="0"/>
        <w:spacing w:before="0" w:after="0"/>
        <w:ind w:left="0" w:right="0" w:hanging="0"/>
        <w:jc w:val="left"/>
        <w:rPr>
          <w:sz w:val="4"/>
          <w:szCs w:val="4"/>
        </w:rPr>
      </w:pPr>
      <w:r>
        <w:rPr>
          <w:sz w:val="4"/>
          <w:szCs w:val="4"/>
        </w:rPr>
      </w:r>
      <w:bookmarkStart w:id="423" w:name="xdx_23D_zaQLgtLQb6s8"/>
      <w:bookmarkStart w:id="424" w:name="xdx_237_z5X419VbWbG7"/>
      <w:bookmarkStart w:id="425" w:name="xdx_23D_zaQLgtLQb6s8"/>
      <w:bookmarkStart w:id="426" w:name="xdx_237_z5X419VbWbG7"/>
      <w:bookmarkEnd w:id="425"/>
      <w:bookmarkEnd w:id="426"/>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bookmarkStart w:id="427" w:name="xdx_23F_zEplThgTWa92"/>
            <w:bookmarkEnd w:id="427"/>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428" w:name="xdx_236_zY67HWVoYm7i"/>
      <w:bookmarkEnd w:id="428"/>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29" w:name="xdx_231_zGVBdFJi4gVj"/>
      <w:bookmarkEnd w:id="42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Company does not expect the adoption of this standard to have a material impact on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2020, the FASB issued ASU 2020-01, “Investments - Equity Securities (Topic 321), Investments - Equity Method and Joint Ventures (Topic 323), and Derivatives and Hedging (Topic 815) - Clarifying the Interactions between Topic 321, Topic 323, and Topic 815.” This ASU among other things clarifies that a company should consider observable transactions that require a company to either apply or discontinue the equity method of accounting under Topic 323, Investments—Equity Method and Joint Ventures, for the purposes of applying the measurement alternative in accordance with Topic 321 immediately before applying or upon discontinuing the equity method. The new ASU clarifies that, when determining the accounting for certain forward contracts and purchased options a company should not consider, whether upon settlement or exercise, if the underlying securities would be accounted for under the equity method or fair value option. ASU 2020-01 is effective for public business entities for fiscal years, and interim periods within those fiscal years, beginning after December 15, 2021. An entity should apply ASU 2020-01 prospectively at the beginning of the interim period that includes the adoption date. The Company adopted ASU 2020-01 on July 1, 2022. The adoption of ASU 2020-01 did not have material impact on the Company's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2021, and interim periods within fiscal years beginning after December 15, 2022; however, early adoption is permitted. The Company adopted ASU 2019-12 on July 1, 2022. The adoption of this standard did not have material impact on the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2017, the FASB issued ASU 2017-04, “Intangibles - Goodwill and Other (Topic 350): Simplifying the Test for Goodwill Impairment,” which eliminates step two from the goodwill impairment test. Under ASU 2017-04, an entity should recognize an impairment charge for the amount by which the carrying amount of a reporting unit exceeds its fair value up to the amount of goodwill allocated to that reporting unit. ASU 2017-04 became effective for accelerated filing companies for annual periods or any interim goodwill impairment tests in fiscal years beginning after December 15, 2019. All other entities, including not-for-profit entities, that are adopting the amendments in this Update should do so for their annual or any interim goodwill impairment tests in fiscal years beginning after December 15, 2022. Early adoption is permitted for interim or annual goodwill impairment tests performed on testing dates after  January 1, 2017. The Company has adopted ASU 2017-04. See disclosures above on Goodwill for further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other recently issued but not yet effective accounting standards, if currently adopted, would have a material effect on the consolidated financial position, statements of operations and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bookmarkStart w:id="430" w:name="xdx_86B_zwgxekmI3Agf"/>
      <w:bookmarkStart w:id="431" w:name="xdx_84A_eus-gaap--SubsequentEventsPolicy"/>
      <w:bookmarkEnd w:id="430"/>
      <w:bookmarkEnd w:id="431"/>
      <w:r>
        <w:rPr>
          <w:rFonts w:ascii="Times New Roman;Times;Serif" w:hAnsi="Times New Roman;Times;Serif"/>
          <w:b w:val="false"/>
          <w:i w:val="false"/>
          <w:caps w:val="false"/>
          <w:smallCaps w:val="false"/>
          <w:sz w:val="20"/>
          <w:u w:val="single"/>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through the date that the consolidated financial statements are available to be issued. Material subsequent events that required recognition or additional disclosure in the consolidated financial statements are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32" w:name="xdx_239_zgeJsm2dRYk9"/>
      <w:bookmarkEnd w:id="432"/>
      <w:r>
        <w:rPr>
          <w:caps w:val="false"/>
          <w:smallCaps w:val="false"/>
        </w:rPr>
        <w:t> </w:t>
      </w:r>
    </w:p>
    <w:p>
      <w:pPr>
        <w:pStyle w:val="TextBody"/>
        <w:bidi w:val="0"/>
        <w:spacing w:before="0" w:after="0"/>
        <w:ind w:left="0" w:right="0" w:hanging="0"/>
        <w:jc w:val="both"/>
        <w:rPr>
          <w:caps w:val="false"/>
          <w:smallCaps w:val="false"/>
        </w:rPr>
      </w:pPr>
      <w:bookmarkStart w:id="433" w:name="xdx_237_zK7V9pfVZpU5"/>
      <w:bookmarkEnd w:id="433"/>
      <w:r>
        <w:rPr>
          <w:caps w:val="false"/>
          <w:smallCaps w:val="false"/>
        </w:rPr>
        <w:t> </w:t>
      </w:r>
    </w:p>
    <w:p>
      <w:pPr>
        <w:pStyle w:val="Normal"/>
        <w:bidi w:val="0"/>
        <w:spacing w:before="0" w:after="0"/>
        <w:ind w:left="0" w:right="0" w:hanging="0"/>
        <w:jc w:val="left"/>
        <w:rPr>
          <w:sz w:val="4"/>
          <w:szCs w:val="4"/>
        </w:rPr>
      </w:pPr>
      <w:r>
        <w:rPr>
          <w:sz w:val="4"/>
          <w:szCs w:val="4"/>
        </w:rPr>
      </w:r>
      <w:bookmarkStart w:id="434" w:name="xdx_232_z6v6YlSsPud1"/>
      <w:bookmarkStart w:id="435" w:name="xdx_235_z46dV8c8RsRa"/>
      <w:bookmarkStart w:id="436" w:name="xdx_232_z6v6YlSsPud1"/>
      <w:bookmarkStart w:id="437" w:name="xdx_235_z46dV8c8RsRa"/>
      <w:bookmarkEnd w:id="436"/>
      <w:bookmarkEnd w:id="437"/>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bookmarkStart w:id="438" w:name="xdx_23B_zCIyjyOtM7ci"/>
            <w:bookmarkEnd w:id="438"/>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439" w:name="xdx_232_zb1qro7X9Xo1"/>
      <w:bookmarkEnd w:id="439"/>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40" w:name="xdx_23A_zk7cy0NPUxCd"/>
      <w:bookmarkEnd w:id="440"/>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41" w:name="xdx_809_ecustom--JointVenturesDisclosure"/>
      <w:bookmarkEnd w:id="441"/>
      <w:r>
        <w:rPr>
          <w:rFonts w:ascii="Times New Roman;Times;Serif" w:hAnsi="Times New Roman;Times;Serif"/>
          <w:b/>
          <w:i w:val="false"/>
          <w:caps w:val="false"/>
          <w:smallCaps w:val="false"/>
          <w:sz w:val="20"/>
        </w:rPr>
        <w:t>Note 3 -</w:t>
      </w:r>
      <w:bookmarkStart w:id="442" w:name="xdx_826_zyapsswyj1Wi"/>
      <w:bookmarkEnd w:id="442"/>
      <w:r>
        <w:rPr>
          <w:rFonts w:ascii="Times New Roman;Times;Serif" w:hAnsi="Times New Roman;Times;Serif"/>
          <w:b/>
          <w:i w:val="false"/>
          <w:caps w:val="false"/>
          <w:smallCaps w:val="false"/>
          <w:sz w:val="20"/>
        </w:rPr>
        <w:t xml:space="preserve"> Joint Ventures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Box Harmony,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As of the date of this report, the Company had not exercised the option to purchase additional voting units from Xiao and TPA. The LLC Agreement prohibits the issuance of additional Equity Units and certain other actions unless approved in advance by the Company, that a noncontrolling right that would not be substantive to overcome the majority voting interests held by TPA and Xiao.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the Company owns </w:t>
      </w:r>
      <w:bookmarkStart w:id="443" w:name="xdx_902_eus-gaap--EquityMethodInvestment"/>
      <w:bookmarkEnd w:id="443"/>
      <w:r>
        <w:rPr>
          <w:rFonts w:ascii="Times New Roman;Times;Serif" w:hAnsi="Times New Roman;Times;Serif"/>
          <w:b w:val="false"/>
          <w:i w:val="false"/>
          <w:caps w:val="false"/>
          <w:smallCaps w:val="false"/>
          <w:sz w:val="20"/>
        </w:rPr>
        <w:t>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Social Media,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report, the members had not completed the capital contributions and no receivables were recorded.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44" w:name="xdx_234_z63NmTxGb14a"/>
      <w:bookmarkEnd w:id="444"/>
      <w:r>
        <w:rPr>
          <w:caps w:val="false"/>
          <w:smallCaps w:val="false"/>
        </w:rPr>
        <w:t> </w:t>
      </w:r>
    </w:p>
    <w:p>
      <w:pPr>
        <w:pStyle w:val="TextBody"/>
        <w:bidi w:val="0"/>
        <w:spacing w:before="0" w:after="0"/>
        <w:ind w:left="0" w:right="0" w:hanging="0"/>
        <w:jc w:val="both"/>
        <w:rPr>
          <w:caps w:val="false"/>
          <w:smallCaps w:val="false"/>
        </w:rPr>
      </w:pPr>
      <w:bookmarkStart w:id="445" w:name="xdx_23C_zpmIOvftUbth"/>
      <w:bookmarkEnd w:id="445"/>
      <w:r>
        <w:rPr>
          <w:caps w:val="false"/>
          <w:smallCaps w:val="false"/>
        </w:rPr>
        <w:t> </w:t>
      </w:r>
    </w:p>
    <w:p>
      <w:pPr>
        <w:pStyle w:val="Normal"/>
        <w:bidi w:val="0"/>
        <w:spacing w:before="0" w:after="0"/>
        <w:ind w:left="0" w:right="0" w:hanging="0"/>
        <w:jc w:val="left"/>
        <w:rPr>
          <w:sz w:val="4"/>
          <w:szCs w:val="4"/>
        </w:rPr>
      </w:pPr>
      <w:r>
        <w:rPr>
          <w:sz w:val="4"/>
          <w:szCs w:val="4"/>
        </w:rPr>
      </w:r>
      <w:bookmarkStart w:id="446" w:name="xdx_231_zWDXHqLuSKF8"/>
      <w:bookmarkStart w:id="447" w:name="xdx_232_zfHhL1TFIRZj"/>
      <w:bookmarkStart w:id="448" w:name="xdx_231_zWDXHqLuSKF8"/>
      <w:bookmarkStart w:id="449" w:name="xdx_232_zfHhL1TFIRZj"/>
      <w:bookmarkEnd w:id="448"/>
      <w:bookmarkEnd w:id="449"/>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bookmarkStart w:id="450" w:name="xdx_230_zYFa2GxN49Aa"/>
            <w:bookmarkEnd w:id="450"/>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451" w:name="xdx_237_zz7lPxHrJA2h"/>
      <w:bookmarkEnd w:id="451"/>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52" w:name="xdx_236_zUnq5U4TfLf2"/>
      <w:bookmarkEnd w:id="452"/>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Pursuant to the terms of the Agreements, the Company owns </w:t>
      </w:r>
      <w:bookmarkStart w:id="453" w:name="xdx_903_eus-gaap--EquityMethodInvestment"/>
      <w:bookmarkEnd w:id="453"/>
      <w:r>
        <w:rPr>
          <w:rFonts w:ascii="Times New Roman;Times;Serif" w:hAnsi="Times New Roman;Times;Serif"/>
          <w:b w:val="false"/>
          <w:i w:val="false"/>
          <w:caps w:val="false"/>
          <w:smallCaps w:val="false"/>
          <w:sz w:val="20"/>
        </w:rPr>
        <w:t>60% of the equity interest in GSM and control of the operations. Based on ASU 2015-02, the Company consolidate GSM due to its majority equity ownership and control over operations. For the three and nine months ended March 31, 2023 and 2022, the impact of GSM’s activities were immaterial to the Company’s unaudited condensed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454" w:name="xdx_802_ecustom--AcquisitionOfAniviaLimi"/>
      <w:bookmarkEnd w:id="454"/>
      <w:r>
        <w:rPr>
          <w:rFonts w:ascii="Times New Roman;Times;Serif" w:hAnsi="Times New Roman;Times;Serif"/>
          <w:b/>
          <w:i w:val="false"/>
          <w:caps w:val="false"/>
          <w:smallCaps w:val="false"/>
          <w:sz w:val="20"/>
        </w:rPr>
        <w:t>Note 4 -</w:t>
      </w:r>
      <w:bookmarkStart w:id="455" w:name="xdx_82E_zk7KlPN3iFs7"/>
      <w:bookmarkEnd w:id="455"/>
      <w:r>
        <w:rPr>
          <w:rFonts w:ascii="Times New Roman;Times;Serif" w:hAnsi="Times New Roman;Times;Serif"/>
          <w:b/>
          <w:i w:val="false"/>
          <w:caps w:val="false"/>
          <w:smallCaps w:val="false"/>
          <w:sz w:val="20"/>
        </w:rPr>
        <w:t xml:space="preserve"> Acquisition of Anivia Limited and Subsidiaries and Variable Interest Entity</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Dayourenzai (Shenzhen) Technology Co., Ltd. and Daheshou (Shenzhen) Information Technology Co., Ltd. Anivia owns 100% of the equity of Fly Elephant Limited, which in turn owns 100% of the equity of Dayourenzai (Shenzhen) Technology Co., Ltd., a corporation located in the People’s Republic of China (“PRC”) and which is a wholly foreign-owned enterprise (“WFOE”) of Fly Elephant Limited. The WFOE controls, through contractual arrangements summarized below, the business, revenues and profits of Daheshou (Shenzhen) Information Technology Co., Ltd., a company organized under the Laws of the PRC (“DHS”) and located in Shenzhen, China.</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contractual arrangements between the WFOE and DHS are established through a variable interest operating entity structure, which is reflected in (i) an exclusive business cooperation agreement, dated December 15, 2021, between the WFOE and DHS, (ii) an exclusive equity interest pledge agreement, dated December 15, 2021, between the WFOE and DHS in which the equity of DHS was pledged to the WFOE, (iii) an exclusive option agreement, dated December 15, 2021, between the WFOE, DHS and its equity holders, Li Zanyu and Xie Jing (the “Equity Holders), pursuant to which the Equity Holders give the WFOE the irrevocable and exclusive right to purchase the equity interests in DHS, and (iii) a power of attorney, dated December 15, 2021, pursuant to which Li Zanyu and Xie Jing, the holders of 100% of the equity interest of DHS, granted the WFOE all voting and other rights to their equity interest in DHS. According to the exclusive business cooperation agreement, in consideration for the services provided by the WFOE, DHS shall pay a service fee to the WFOE on annual basis (or at any time agreed by the Parties). The service fees for each year (or for any other period agreed to by the Parties) shall consist of a management fee and a fee for services provided, which shall be reasonably determined by the WFOE based on the nature, complexity, time, and other market and operation factors. The WFOE may provide a separate confirmation letter and/or invoice to DHS to indicate the amount of service fees due for each service period; or the amount of services fees may be as set forth in the relevant contracts separately executed by the Parties. DHS is principally engaged in selling a wide range of products and providing logistic services in the PRC.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Agreements, the Company does not have direct ownership in DHS but is actively involved in DHS’s operations as the sole manager to direct the activities and significantly impact DHS’s economic performance.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fair value of the consideration for the transaction was $</w:t>
      </w:r>
      <w:bookmarkStart w:id="456" w:name="xdx_904_eus-gaap--BusinessCombinationCon"/>
      <w:bookmarkEnd w:id="456"/>
      <w:r>
        <w:rPr>
          <w:rFonts w:ascii="Times New Roman;Times;Serif" w:hAnsi="Times New Roman;Times;Serif"/>
          <w:b w:val="false"/>
          <w:i w:val="false"/>
          <w:caps w:val="false"/>
          <w:smallCaps w:val="false"/>
          <w:sz w:val="20"/>
        </w:rPr>
        <w:t>10,629,000, which was paid to White Cherry as follows: at closing, the Company (i) paid $</w:t>
      </w:r>
      <w:bookmarkStart w:id="457" w:name="xdx_90A_eus-gaap--NotesIssued1_c20220214"/>
      <w:bookmarkEnd w:id="457"/>
      <w:r>
        <w:rPr>
          <w:rFonts w:ascii="Times New Roman;Times;Serif" w:hAnsi="Times New Roman;Times;Serif"/>
          <w:b w:val="false"/>
          <w:i w:val="false"/>
          <w:caps w:val="false"/>
          <w:smallCaps w:val="false"/>
          <w:sz w:val="20"/>
        </w:rPr>
        <w:t xml:space="preserve">3,500,000 in the form of a two-year unsecured 6% subordinated promissory note, payable in equal semi-annual installments commencing August 15, 2022 (the “Purchase Note”), (ii) issued </w:t>
      </w:r>
      <w:bookmarkStart w:id="458" w:name="xdx_900_eus-gaap--StockIssuedDuringPerio"/>
      <w:bookmarkEnd w:id="458"/>
      <w:r>
        <w:rPr>
          <w:rFonts w:ascii="Times New Roman;Times;Serif" w:hAnsi="Times New Roman;Times;Serif"/>
          <w:b w:val="false"/>
          <w:i w:val="false"/>
          <w:caps w:val="false"/>
          <w:smallCaps w:val="false"/>
          <w:sz w:val="20"/>
        </w:rPr>
        <w:t>3,083,700 restricted shares of the Company’s common stock (subject to a lock-up period of 180 days and insider trading rules), and (iii) owed an additional $</w:t>
      </w:r>
      <w:bookmarkStart w:id="459" w:name="xdx_905_eus-gaap--PaymentsToAcquireBusin"/>
      <w:bookmarkEnd w:id="459"/>
      <w:r>
        <w:rPr>
          <w:rFonts w:ascii="Times New Roman;Times;Serif" w:hAnsi="Times New Roman;Times;Serif"/>
          <w:b w:val="false"/>
          <w:i w:val="false"/>
          <w:caps w:val="false"/>
          <w:smallCaps w:val="false"/>
          <w:sz w:val="20"/>
        </w:rPr>
        <w:t>1,500,000 in cash, which was to be paid after closing.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JP Morgan Chase Bank, the Company’s senior secured lender (“JPM”), consented to the transaction. In conjunction with obtaining JPM’s consent, the Company delivered an amendment to the pledge and security agreement with JPM, pursuant to which the Company pledged to JPM 65% of the equity interest of Anivia Limited, Fly Elephant Limited and the WFOE.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bookmarkStart w:id="460" w:name="xdx_23B_zv5H2BjTcmCe"/>
      <w:bookmarkEnd w:id="460"/>
      <w:r>
        <w:rPr>
          <w:caps w:val="false"/>
          <w:smallCaps w:val="false"/>
        </w:rPr>
        <w:t> </w:t>
      </w:r>
    </w:p>
    <w:p>
      <w:pPr>
        <w:pStyle w:val="TextBody"/>
        <w:shd w:fill="FFFFFF" w:val="clear"/>
        <w:bidi w:val="0"/>
        <w:spacing w:before="0" w:after="0"/>
        <w:ind w:left="0" w:right="0" w:hanging="0"/>
        <w:jc w:val="both"/>
        <w:rPr>
          <w:caps w:val="false"/>
          <w:smallCaps w:val="false"/>
        </w:rPr>
      </w:pPr>
      <w:bookmarkStart w:id="461" w:name="xdx_231_zwejp5JMS9sc"/>
      <w:bookmarkEnd w:id="461"/>
      <w:r>
        <w:rPr>
          <w:caps w:val="false"/>
          <w:smallCaps w:val="false"/>
        </w:rPr>
        <w:t> </w:t>
      </w:r>
    </w:p>
    <w:p>
      <w:pPr>
        <w:pStyle w:val="Normal"/>
        <w:bidi w:val="0"/>
        <w:spacing w:before="0" w:after="0"/>
        <w:ind w:left="0" w:right="0" w:hanging="0"/>
        <w:jc w:val="left"/>
        <w:rPr>
          <w:sz w:val="4"/>
          <w:szCs w:val="4"/>
        </w:rPr>
      </w:pPr>
      <w:r>
        <w:rPr>
          <w:sz w:val="4"/>
          <w:szCs w:val="4"/>
        </w:rPr>
      </w:r>
      <w:bookmarkStart w:id="462" w:name="xdx_23B_zSSlfRCiRxAi"/>
      <w:bookmarkStart w:id="463" w:name="xdx_235_zGVSV2Egu2o5"/>
      <w:bookmarkStart w:id="464" w:name="xdx_23B_zSSlfRCiRxAi"/>
      <w:bookmarkStart w:id="465" w:name="xdx_235_zGVSV2Egu2o5"/>
      <w:bookmarkEnd w:id="464"/>
      <w:bookmarkEnd w:id="465"/>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bookmarkStart w:id="466" w:name="xdx_23D_znuV01IiJFig"/>
            <w:bookmarkEnd w:id="466"/>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467" w:name="xdx_238_zbkQpXo6iy3"/>
      <w:bookmarkEnd w:id="467"/>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shd w:fill="FFFFFF" w:val="clear"/>
        <w:bidi w:val="0"/>
        <w:spacing w:before="0" w:after="0"/>
        <w:ind w:left="0" w:right="0" w:hanging="0"/>
        <w:jc w:val="both"/>
        <w:rPr>
          <w:caps w:val="false"/>
          <w:smallCaps w:val="false"/>
        </w:rPr>
      </w:pPr>
      <w:bookmarkStart w:id="468" w:name="xdx_234_z11QtthYr6Y1"/>
      <w:bookmarkEnd w:id="468"/>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in conjunction with the Company’s entry into the Second Amendment to the Credit Agreement, the Company’s promissory note holder, White Cherry Limited, an exempted company incorporated under the laws of the British Virgin Islands (“White Cherry”), entered into an amendment (the “Amendment”) to the subordination agreement, originally dated March 9, 2022 (the “Subordination Agreement”). The Amendment to the Subordination Agreement was amended solely for purposes of adjusting the definition of payment conditions under Section 2 of the Subordination Agreement such that “payment conditions” shall be deemed satisfied in connection with a permitted payment if (a) no event of default has occurred under the credit agreement and is continuing and (b) the Company shall have Excess Availability in the 30 days prior to the payment (as defined in the Second Amendment to the Credit Agreement) of no less than $7,500,000.</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in conjunction with the closing of the transaction, the WFOE entered into an employment agreement with Li Zanyu, dated February 15, 2022 (the “Employment Agreement”), pursuant to which Mr. Li has been appointed to serve as general manager of the WFOE for a term of 10 years (through February 14, 2032), with annual base compensation of up to 500,000 RMB plus bonus as may be determined by the WFOE from time to time, in its sole discretion, based on Mr. Li’s performance. During such employment, Mr. Li may not engage in other employment without the consent of the WFOE.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acquisition of Anivia was accounted for as a business combination under ASC 805. As the acquirer for accounting purposes, the Company has estimated the fair value of Anivia and its subsidiaries’ assets acquired and conformed the accounting policies of Anivia to its own accounting policies. The Company applied the income approach and cost approach in determining the fair value of the intangible assets, which intangible assets consisted of a covenant not to compete, supplier relationships and software. The fair value of the remaining assets acquired and liabilities assumed were not significantly different from their carrying values at the acquisition date. In addition, pursuant to the Transfer Agreement, the Sellers made certain representations and warranties, including that other than the items presented on the balance sheet on February 15, 2022, DHS, the operating VIE, was not subject to any loans, debts, liabilities, guarantees or other contingent liabilities at the Closing date. In the event of any breach of any of the representations and warranties, the sellers shall bear joint and several liability for any direct or indirect losses suffered by the Company as a result thereof. The Company recognized approximately $</w:t>
      </w:r>
      <w:bookmarkStart w:id="469" w:name="xdx_905_eus-gaap--Goodwill_iI_pp0p0_dm_c"/>
      <w:bookmarkEnd w:id="469"/>
      <w:r>
        <w:rPr>
          <w:rFonts w:ascii="Times New Roman;Times;Serif" w:hAnsi="Times New Roman;Times;Serif"/>
          <w:b w:val="false"/>
          <w:i w:val="false"/>
          <w:caps w:val="false"/>
          <w:smallCaps w:val="false"/>
          <w:sz w:val="20"/>
        </w:rPr>
        <w:t>6.1 million of goodwill in the transaction, which was primarily due to the subsumed assembled workforce intangible assets. Goodwill is not deductible for income tax purposes. The Company expensed with the acquisition certain legal and accounting costs of $</w:t>
      </w:r>
      <w:bookmarkStart w:id="470" w:name="xdx_900_eus-gaap--OtherGeneralAndAdminis"/>
      <w:bookmarkEnd w:id="470"/>
      <w:r>
        <w:rPr>
          <w:rFonts w:ascii="Times New Roman;Times;Serif" w:hAnsi="Times New Roman;Times;Serif"/>
          <w:b w:val="false"/>
          <w:i w:val="false"/>
          <w:caps w:val="false"/>
          <w:smallCaps w:val="false"/>
          <w:sz w:val="20"/>
        </w:rPr>
        <w:t>54,702 as general and administration expenses and $</w:t>
      </w:r>
      <w:bookmarkStart w:id="471" w:name="xdx_90A_eus-gaap--PaymentsOfFinancingCos"/>
      <w:bookmarkEnd w:id="471"/>
      <w:r>
        <w:rPr>
          <w:rFonts w:ascii="Times New Roman;Times;Serif" w:hAnsi="Times New Roman;Times;Serif"/>
          <w:b w:val="false"/>
          <w:i w:val="false"/>
          <w:caps w:val="false"/>
          <w:smallCaps w:val="false"/>
          <w:sz w:val="20"/>
        </w:rPr>
        <w:t>50,000 paid to JPM as financing fees.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information summarizes the purchase consideration and allocation of the fair values assigned to the assets at the purchase date, February 15, 2022: </w:t>
      </w:r>
    </w:p>
    <w:p>
      <w:pPr>
        <w:pStyle w:val="Normal"/>
        <w:bidi w:val="0"/>
        <w:spacing w:before="0" w:after="0"/>
        <w:jc w:val="left"/>
        <w:rPr>
          <w:sz w:val="4"/>
          <w:szCs w:val="4"/>
        </w:rPr>
      </w:pPr>
      <w:r>
        <w:rPr>
          <w:sz w:val="4"/>
          <w:szCs w:val="4"/>
        </w:rPr>
      </w:r>
      <w:bookmarkStart w:id="472" w:name="xdx_88E_eus-gaap--ScheduleOfBusinessAcqu"/>
      <w:bookmarkStart w:id="473" w:name="xdx_88E_eus-gaap--ScheduleOfBusinessAcqu"/>
      <w:bookmarkEnd w:id="473"/>
    </w:p>
    <w:tbl>
      <w:tblPr>
        <w:tblW w:w="5405" w:type="dxa"/>
        <w:jc w:val="left"/>
        <w:tblInd w:w="0" w:type="dxa"/>
        <w:tblLayout w:type="fixed"/>
        <w:tblCellMar>
          <w:top w:w="0" w:type="dxa"/>
          <w:left w:w="0" w:type="dxa"/>
          <w:bottom w:w="0" w:type="dxa"/>
          <w:right w:w="0" w:type="dxa"/>
        </w:tblCellMar>
      </w:tblPr>
      <w:tblGrid>
        <w:gridCol w:w="3995"/>
        <w:gridCol w:w="60"/>
        <w:gridCol w:w="140"/>
        <w:gridCol w:w="1100"/>
        <w:gridCol w:w="110"/>
      </w:tblGrid>
      <w:tr>
        <w:trPr/>
        <w:tc>
          <w:tcPr>
            <w:tcW w:w="3995" w:type="dxa"/>
            <w:tcBorders/>
            <w:vAlign w:val="center"/>
          </w:tcPr>
          <w:p>
            <w:pPr>
              <w:pStyle w:val="TableContents"/>
              <w:bidi w:val="0"/>
              <w:spacing w:before="0" w:after="283"/>
              <w:jc w:val="left"/>
              <w:rPr/>
            </w:pPr>
            <w:bookmarkStart w:id="474" w:name="xdx_8BA_zt0YqntOGvzg"/>
            <w:bookmarkEnd w:id="474"/>
            <w:r>
              <w:rPr/>
              <w:t>Schedule of allocation of acquisition price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3995" w:type="dxa"/>
            <w:tcBorders/>
            <w:vAlign w:val="center"/>
          </w:tcPr>
          <w:p>
            <w:pPr>
              <w:pStyle w:val="TableContents"/>
              <w:bidi w:val="0"/>
              <w:spacing w:before="0" w:after="283"/>
              <w:jc w:val="left"/>
              <w:rPr>
                <w:b/>
              </w:rPr>
            </w:pPr>
            <w:r>
              <w:rPr>
                <w:b/>
              </w:rPr>
              <w:t>Fair Value of Purchase Price:</w:t>
            </w:r>
          </w:p>
        </w:tc>
        <w:tc>
          <w:tcPr>
            <w:tcW w:w="60" w:type="dxa"/>
            <w:tcBorders/>
            <w:vAlign w:val="center"/>
          </w:tcPr>
          <w:p>
            <w:pPr>
              <w:pStyle w:val="TableContents"/>
              <w:bidi w:val="0"/>
              <w:spacing w:before="0" w:after="283"/>
              <w:jc w:val="left"/>
              <w:rPr/>
            </w:pPr>
            <w:r>
              <w:rPr/>
              <w:t> </w:t>
            </w:r>
          </w:p>
        </w:tc>
        <w:tc>
          <w:tcPr>
            <w:tcW w:w="124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995" w:type="dxa"/>
            <w:tcBorders/>
            <w:shd w:fill="EEEEEE" w:val="clear"/>
            <w:vAlign w:val="center"/>
          </w:tcPr>
          <w:p>
            <w:pPr>
              <w:pStyle w:val="TableContents"/>
              <w:bidi w:val="0"/>
              <w:spacing w:before="0" w:after="283"/>
              <w:jc w:val="left"/>
              <w:rPr/>
            </w:pPr>
            <w:r>
              <w:rPr/>
              <w:t>Cash</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475" w:name="xdx_982_eus-gaap--PaymentsToAcquireBusin"/>
            <w:bookmarkEnd w:id="475"/>
          </w:p>
        </w:tc>
        <w:tc>
          <w:tcPr>
            <w:tcW w:w="1100" w:type="dxa"/>
            <w:tcBorders/>
            <w:shd w:fill="EEEEEE" w:val="clear"/>
            <w:vAlign w:val="center"/>
          </w:tcPr>
          <w:p>
            <w:pPr>
              <w:pStyle w:val="TableContents"/>
              <w:bidi w:val="0"/>
              <w:spacing w:before="0" w:after="283"/>
              <w:jc w:val="right"/>
              <w:rPr/>
            </w:pPr>
            <w:r>
              <w:rPr/>
              <w:t>1,500,000</w:t>
            </w:r>
          </w:p>
        </w:tc>
        <w:tc>
          <w:tcPr>
            <w:tcW w:w="110" w:type="dxa"/>
            <w:tcBorders/>
            <w:shd w:fill="EEEEEE"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Promissory note issued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76" w:name="xdx_987_ecustom--PromissoryNotesIssued1_"/>
            <w:bookmarkEnd w:id="476"/>
          </w:p>
        </w:tc>
        <w:tc>
          <w:tcPr>
            <w:tcW w:w="1100" w:type="dxa"/>
            <w:tcBorders/>
            <w:shd w:fill="FFFFFF" w:val="clear"/>
            <w:vAlign w:val="center"/>
          </w:tcPr>
          <w:p>
            <w:pPr>
              <w:pStyle w:val="TableContents"/>
              <w:bidi w:val="0"/>
              <w:spacing w:before="0" w:after="283"/>
              <w:jc w:val="right"/>
              <w:rPr/>
            </w:pPr>
            <w:r>
              <w:rPr/>
              <w:t>3,600,627</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EEEEEE" w:val="clear"/>
            <w:vAlign w:val="center"/>
          </w:tcPr>
          <w:p>
            <w:pPr>
              <w:pStyle w:val="TableContents"/>
              <w:bidi w:val="0"/>
              <w:spacing w:before="0" w:after="283"/>
              <w:jc w:val="left"/>
              <w:rPr/>
            </w:pPr>
            <w:r>
              <w:rPr/>
              <w:t>Common stock issued</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477" w:name="xdx_980_eus-gaap--BusinessCombinationCon"/>
            <w:bookmarkEnd w:id="477"/>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5,528,373</w:t>
            </w:r>
          </w:p>
        </w:tc>
        <w:tc>
          <w:tcPr>
            <w:tcW w:w="110" w:type="dxa"/>
            <w:tcBorders/>
            <w:shd w:fill="EEEEEE"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Total purchase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78" w:name="xdx_98C_eus-gaap--BusinessCombinationCon"/>
            <w:bookmarkEnd w:id="478"/>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10,629,000</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b/>
              </w:rPr>
            </w:pPr>
            <w:r>
              <w:rPr>
                <w:b/>
              </w:rPr>
              <w:t>Purchase Price Allocation: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EEEEEE" w:val="clear"/>
            <w:vAlign w:val="center"/>
          </w:tcPr>
          <w:p>
            <w:pPr>
              <w:pStyle w:val="TableContents"/>
              <w:bidi w:val="0"/>
              <w:spacing w:before="0" w:after="283"/>
              <w:jc w:val="left"/>
              <w:rPr/>
            </w:pPr>
            <w:r>
              <w:rPr/>
              <w:t>Covenant not to compete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479" w:name="xdx_986_eus-gaap--BusinessCombinationRec"/>
            <w:bookmarkEnd w:id="479"/>
          </w:p>
        </w:tc>
        <w:tc>
          <w:tcPr>
            <w:tcW w:w="1100" w:type="dxa"/>
            <w:tcBorders/>
            <w:shd w:fill="EEEEEE" w:val="clear"/>
            <w:vAlign w:val="center"/>
          </w:tcPr>
          <w:p>
            <w:pPr>
              <w:pStyle w:val="TableContents"/>
              <w:bidi w:val="0"/>
              <w:spacing w:before="0" w:after="283"/>
              <w:jc w:val="right"/>
              <w:rPr/>
            </w:pPr>
            <w:r>
              <w:rPr/>
              <w:t>3,459,120</w:t>
            </w:r>
          </w:p>
        </w:tc>
        <w:tc>
          <w:tcPr>
            <w:tcW w:w="110" w:type="dxa"/>
            <w:tcBorders/>
            <w:shd w:fill="EEEEEE"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Supplier relationships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80" w:name="xdx_985_eus-gaap--BusinessCombinationRec"/>
            <w:bookmarkEnd w:id="480"/>
          </w:p>
        </w:tc>
        <w:tc>
          <w:tcPr>
            <w:tcW w:w="1100" w:type="dxa"/>
            <w:tcBorders/>
            <w:shd w:fill="FFFFFF" w:val="clear"/>
            <w:vAlign w:val="center"/>
          </w:tcPr>
          <w:p>
            <w:pPr>
              <w:pStyle w:val="TableContents"/>
              <w:bidi w:val="0"/>
              <w:spacing w:before="0" w:after="283"/>
              <w:jc w:val="right"/>
              <w:rPr/>
            </w:pPr>
            <w:r>
              <w:rPr/>
              <w:t>1,179,246</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EEEEEE" w:val="clear"/>
            <w:vAlign w:val="center"/>
          </w:tcPr>
          <w:p>
            <w:pPr>
              <w:pStyle w:val="TableContents"/>
              <w:bidi w:val="0"/>
              <w:spacing w:before="0" w:after="283"/>
              <w:jc w:val="left"/>
              <w:rPr/>
            </w:pPr>
            <w:r>
              <w:rPr/>
              <w:t>Software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481" w:name="xdx_989_eus-gaap--BusinessCombinationRec"/>
            <w:bookmarkEnd w:id="481"/>
          </w:p>
        </w:tc>
        <w:tc>
          <w:tcPr>
            <w:tcW w:w="1100" w:type="dxa"/>
            <w:tcBorders/>
            <w:shd w:fill="EEEEEE" w:val="clear"/>
            <w:vAlign w:val="center"/>
          </w:tcPr>
          <w:p>
            <w:pPr>
              <w:pStyle w:val="TableContents"/>
              <w:bidi w:val="0"/>
              <w:spacing w:before="0" w:after="283"/>
              <w:jc w:val="right"/>
              <w:rPr/>
            </w:pPr>
            <w:r>
              <w:rPr/>
              <w:t>534,591</w:t>
            </w:r>
          </w:p>
        </w:tc>
        <w:tc>
          <w:tcPr>
            <w:tcW w:w="110" w:type="dxa"/>
            <w:tcBorders/>
            <w:shd w:fill="EEEEEE"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82" w:name="xdx_983_eus-gaap--BusinessCombinationRec"/>
            <w:bookmarkEnd w:id="482"/>
          </w:p>
        </w:tc>
        <w:tc>
          <w:tcPr>
            <w:tcW w:w="1100" w:type="dxa"/>
            <w:tcBorders/>
            <w:shd w:fill="FFFFFF" w:val="clear"/>
            <w:vAlign w:val="center"/>
          </w:tcPr>
          <w:p>
            <w:pPr>
              <w:pStyle w:val="TableContents"/>
              <w:bidi w:val="0"/>
              <w:spacing w:before="0" w:after="283"/>
              <w:jc w:val="right"/>
              <w:rPr/>
            </w:pPr>
            <w:r>
              <w:rPr/>
              <w:t>1,784,113</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EEEEEE" w:val="clear"/>
            <w:vAlign w:val="center"/>
          </w:tcPr>
          <w:p>
            <w:pPr>
              <w:pStyle w:val="TableContents"/>
              <w:bidi w:val="0"/>
              <w:spacing w:before="0" w:after="283"/>
              <w:jc w:val="left"/>
              <w:rPr/>
            </w:pPr>
            <w:r>
              <w:rPr/>
              <w:t>Property and equipment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483" w:name="xdx_984_eus-gaap--BusinessCombinationRec"/>
            <w:bookmarkEnd w:id="483"/>
          </w:p>
        </w:tc>
        <w:tc>
          <w:tcPr>
            <w:tcW w:w="1100" w:type="dxa"/>
            <w:tcBorders/>
            <w:shd w:fill="EEEEEE" w:val="clear"/>
            <w:vAlign w:val="center"/>
          </w:tcPr>
          <w:p>
            <w:pPr>
              <w:pStyle w:val="TableContents"/>
              <w:bidi w:val="0"/>
              <w:spacing w:before="0" w:after="283"/>
              <w:jc w:val="right"/>
              <w:rPr/>
            </w:pPr>
            <w:r>
              <w:rPr/>
              <w:t>46,548</w:t>
            </w:r>
          </w:p>
        </w:tc>
        <w:tc>
          <w:tcPr>
            <w:tcW w:w="110" w:type="dxa"/>
            <w:tcBorders/>
            <w:shd w:fill="EEEEEE"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Rent deposit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84" w:name="xdx_98C_ecustom--BusinessCombinationReco"/>
            <w:bookmarkEnd w:id="484"/>
          </w:p>
        </w:tc>
        <w:tc>
          <w:tcPr>
            <w:tcW w:w="1100" w:type="dxa"/>
            <w:tcBorders/>
            <w:shd w:fill="FFFFFF" w:val="clear"/>
            <w:vAlign w:val="center"/>
          </w:tcPr>
          <w:p>
            <w:pPr>
              <w:pStyle w:val="TableContents"/>
              <w:bidi w:val="0"/>
              <w:spacing w:before="0" w:after="283"/>
              <w:jc w:val="right"/>
              <w:rPr/>
            </w:pPr>
            <w:r>
              <w:rPr/>
              <w:t>52,707</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EEEEEE" w:val="clear"/>
            <w:vAlign w:val="center"/>
          </w:tcPr>
          <w:p>
            <w:pPr>
              <w:pStyle w:val="TableContents"/>
              <w:bidi w:val="0"/>
              <w:spacing w:before="0" w:after="283"/>
              <w:jc w:val="left"/>
              <w:rPr/>
            </w:pPr>
            <w:r>
              <w:rPr/>
              <w:t>ROU asset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485" w:name="xdx_989_eus-gaap--BusinessCombinationRec"/>
            <w:bookmarkEnd w:id="485"/>
          </w:p>
        </w:tc>
        <w:tc>
          <w:tcPr>
            <w:tcW w:w="1100" w:type="dxa"/>
            <w:tcBorders/>
            <w:shd w:fill="EEEEEE" w:val="clear"/>
            <w:vAlign w:val="center"/>
          </w:tcPr>
          <w:p>
            <w:pPr>
              <w:pStyle w:val="TableContents"/>
              <w:bidi w:val="0"/>
              <w:spacing w:before="0" w:after="283"/>
              <w:jc w:val="right"/>
              <w:rPr/>
            </w:pPr>
            <w:r>
              <w:rPr/>
              <w:t>234,578</w:t>
            </w:r>
          </w:p>
        </w:tc>
        <w:tc>
          <w:tcPr>
            <w:tcW w:w="110" w:type="dxa"/>
            <w:tcBorders/>
            <w:shd w:fill="EEEEEE"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86" w:name="xdx_98A_eus-gaap--Goodwill_c20220215__us"/>
            <w:bookmarkEnd w:id="486"/>
          </w:p>
        </w:tc>
        <w:tc>
          <w:tcPr>
            <w:tcW w:w="1100" w:type="dxa"/>
            <w:tcBorders/>
            <w:shd w:fill="FFFFFF" w:val="clear"/>
            <w:vAlign w:val="center"/>
          </w:tcPr>
          <w:p>
            <w:pPr>
              <w:pStyle w:val="TableContents"/>
              <w:bidi w:val="0"/>
              <w:spacing w:before="0" w:after="283"/>
              <w:jc w:val="right"/>
              <w:rPr/>
            </w:pPr>
            <w:r>
              <w:rPr/>
              <w:t>6,094,144</w:t>
            </w:r>
          </w:p>
        </w:tc>
        <w:tc>
          <w:tcPr>
            <w:tcW w:w="110" w:type="dxa"/>
            <w:tcBorders/>
            <w:shd w:fill="FFFFFF" w:val="clear"/>
            <w:vAlign w:val="center"/>
          </w:tcPr>
          <w:p>
            <w:pPr>
              <w:pStyle w:val="TableContents"/>
              <w:bidi w:val="0"/>
              <w:spacing w:before="0" w:after="283"/>
              <w:jc w:val="left"/>
              <w:rPr/>
            </w:pPr>
            <w:r>
              <w:rPr/>
              <w:t> </w:t>
            </w:r>
          </w:p>
        </w:tc>
      </w:tr>
      <w:tr>
        <w:trPr/>
        <w:tc>
          <w:tcPr>
            <w:tcW w:w="3995" w:type="dxa"/>
            <w:tcBorders/>
            <w:shd w:fill="EEEEEE" w:val="clear"/>
            <w:vAlign w:val="center"/>
          </w:tcPr>
          <w:p>
            <w:pPr>
              <w:pStyle w:val="TableContents"/>
              <w:bidi w:val="0"/>
              <w:spacing w:before="0" w:after="283"/>
              <w:jc w:val="left"/>
              <w:rPr/>
            </w:pPr>
            <w:r>
              <w:rPr/>
              <w:t>Deferred tax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bookmarkStart w:id="487" w:name="xdx_980_ecustom--BusinessCombinationReco"/>
            <w:bookmarkEnd w:id="487"/>
          </w:p>
        </w:tc>
        <w:tc>
          <w:tcPr>
            <w:tcW w:w="1100" w:type="dxa"/>
            <w:tcBorders/>
            <w:shd w:fill="EEEEEE" w:val="clear"/>
            <w:vAlign w:val="center"/>
          </w:tcPr>
          <w:p>
            <w:pPr>
              <w:pStyle w:val="TableContents"/>
              <w:bidi w:val="0"/>
              <w:spacing w:before="0" w:after="283"/>
              <w:jc w:val="right"/>
              <w:rPr/>
            </w:pPr>
            <w:r>
              <w:rPr/>
              <w:t>(1,389,113</w:t>
            </w:r>
          </w:p>
        </w:tc>
        <w:tc>
          <w:tcPr>
            <w:tcW w:w="110" w:type="dxa"/>
            <w:tcBorders/>
            <w:shd w:fill="EEEEEE"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488" w:name="xdx_981_eus-gaap--BusinessCombinationRec"/>
            <w:bookmarkEnd w:id="488"/>
          </w:p>
        </w:tc>
        <w:tc>
          <w:tcPr>
            <w:tcW w:w="1100" w:type="dxa"/>
            <w:tcBorders/>
            <w:shd w:fill="FFFFFF" w:val="clear"/>
            <w:vAlign w:val="center"/>
          </w:tcPr>
          <w:p>
            <w:pPr>
              <w:pStyle w:val="TableContents"/>
              <w:bidi w:val="0"/>
              <w:spacing w:before="0" w:after="283"/>
              <w:jc w:val="right"/>
              <w:rPr/>
            </w:pPr>
            <w:r>
              <w:rPr/>
              <w:t>(1,143,076</w:t>
            </w:r>
          </w:p>
        </w:tc>
        <w:tc>
          <w:tcPr>
            <w:tcW w:w="110" w:type="dxa"/>
            <w:tcBorders/>
            <w:shd w:fill="FFFFFF" w:val="clear"/>
            <w:vAlign w:val="center"/>
          </w:tcPr>
          <w:p>
            <w:pPr>
              <w:pStyle w:val="TableContents"/>
              <w:bidi w:val="0"/>
              <w:spacing w:before="0" w:after="283"/>
              <w:jc w:val="left"/>
              <w:rPr/>
            </w:pPr>
            <w:r>
              <w:rPr/>
              <w:t>)</w:t>
            </w:r>
          </w:p>
        </w:tc>
      </w:tr>
      <w:tr>
        <w:trPr/>
        <w:tc>
          <w:tcPr>
            <w:tcW w:w="3995" w:type="dxa"/>
            <w:tcBorders/>
            <w:shd w:fill="EEEEEE" w:val="clear"/>
            <w:vAlign w:val="center"/>
          </w:tcPr>
          <w:p>
            <w:pPr>
              <w:pStyle w:val="TableContents"/>
              <w:bidi w:val="0"/>
              <w:spacing w:before="0" w:after="283"/>
              <w:jc w:val="left"/>
              <w:rPr/>
            </w:pPr>
            <w:r>
              <w:rPr/>
              <w:t>Lease liability</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489" w:name="xdx_98A_eus-gaap--BusinessCombinationRec"/>
            <w:bookmarkEnd w:id="489"/>
          </w:p>
        </w:tc>
        <w:tc>
          <w:tcPr>
            <w:tcW w:w="1100" w:type="dxa"/>
            <w:tcBorders>
              <w:bottom w:val="single" w:sz="8" w:space="0" w:color="000000"/>
            </w:tcBorders>
            <w:shd w:fill="EEEEEE" w:val="clear"/>
            <w:tcMar>
              <w:bottom w:w="28" w:type="dxa"/>
            </w:tcMar>
            <w:vAlign w:val="center"/>
          </w:tcPr>
          <w:p>
            <w:pPr>
              <w:pStyle w:val="TableContents"/>
              <w:bidi w:val="0"/>
              <w:spacing w:before="0" w:after="283"/>
              <w:jc w:val="right"/>
              <w:rPr/>
            </w:pPr>
            <w:r>
              <w:rPr/>
              <w:t>(223,858</w:t>
            </w:r>
          </w:p>
        </w:tc>
        <w:tc>
          <w:tcPr>
            <w:tcW w:w="110" w:type="dxa"/>
            <w:tcBorders/>
            <w:shd w:fill="EEEEEE" w:val="clear"/>
            <w:vAlign w:val="center"/>
          </w:tcPr>
          <w:p>
            <w:pPr>
              <w:pStyle w:val="TableContents"/>
              <w:bidi w:val="0"/>
              <w:spacing w:before="0" w:after="283"/>
              <w:jc w:val="left"/>
              <w:rPr/>
            </w:pPr>
            <w:r>
              <w:rPr/>
              <w:t>)</w:t>
            </w:r>
          </w:p>
        </w:tc>
      </w:tr>
      <w:tr>
        <w:trPr/>
        <w:tc>
          <w:tcPr>
            <w:tcW w:w="3995" w:type="dxa"/>
            <w:tcBorders/>
            <w:shd w:fill="FFFFFF" w:val="clear"/>
            <w:vAlign w:val="center"/>
          </w:tcPr>
          <w:p>
            <w:pPr>
              <w:pStyle w:val="TableContents"/>
              <w:bidi w:val="0"/>
              <w:spacing w:before="0" w:after="283"/>
              <w:jc w:val="left"/>
              <w:rPr/>
            </w:pPr>
            <w:r>
              <w:rPr/>
              <w:t>Total purchase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90" w:name="xdx_981_eus-gaap--BusinessCombinationRec"/>
            <w:bookmarkEnd w:id="490"/>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10,629,000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491" w:name="xdx_237_z2ueufmD2Qg1"/>
      <w:bookmarkEnd w:id="491"/>
      <w:r>
        <w:rPr>
          <w:caps w:val="false"/>
          <w:smallCaps w:val="false"/>
        </w:rPr>
        <w:t> </w:t>
      </w:r>
    </w:p>
    <w:p>
      <w:pPr>
        <w:pStyle w:val="TextBody"/>
        <w:bidi w:val="0"/>
        <w:spacing w:before="0" w:after="0"/>
        <w:ind w:left="0" w:right="0" w:hanging="0"/>
        <w:jc w:val="both"/>
        <w:rPr>
          <w:caps w:val="false"/>
          <w:smallCaps w:val="false"/>
        </w:rPr>
      </w:pPr>
      <w:bookmarkStart w:id="492" w:name="xdx_231_zueMu5TDurC3"/>
      <w:bookmarkEnd w:id="492"/>
      <w:r>
        <w:rPr>
          <w:caps w:val="false"/>
          <w:smallCaps w:val="false"/>
        </w:rPr>
        <w:t> </w:t>
      </w:r>
    </w:p>
    <w:p>
      <w:pPr>
        <w:pStyle w:val="Normal"/>
        <w:bidi w:val="0"/>
        <w:spacing w:before="0" w:after="0"/>
        <w:ind w:left="0" w:right="0" w:hanging="0"/>
        <w:jc w:val="left"/>
        <w:rPr>
          <w:sz w:val="4"/>
          <w:szCs w:val="4"/>
        </w:rPr>
      </w:pPr>
      <w:r>
        <w:rPr>
          <w:sz w:val="4"/>
          <w:szCs w:val="4"/>
        </w:rPr>
      </w:r>
      <w:bookmarkStart w:id="493" w:name="xdx_23E_zhFQ5CUsMUn9"/>
      <w:bookmarkStart w:id="494" w:name="xdx_232_z3FrkhNG7s58"/>
      <w:bookmarkStart w:id="495" w:name="xdx_23E_zhFQ5CUsMUn9"/>
      <w:bookmarkStart w:id="496" w:name="xdx_232_z3FrkhNG7s58"/>
      <w:bookmarkEnd w:id="495"/>
      <w:bookmarkEnd w:id="496"/>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bookmarkStart w:id="497" w:name="xdx_23E_zb8oLIxBnyy5"/>
            <w:bookmarkEnd w:id="497"/>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498" w:name="xdx_231_zfIsQpyrUU48"/>
      <w:bookmarkEnd w:id="498"/>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499" w:name="xdx_235_zDyYMHFyXgJd"/>
      <w:bookmarkEnd w:id="49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October 2022, the $1.5 million cash portion of the consideration, which was presented as investment payable, had been fully paid off.</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of operations of Anivia since February 16, 2022 have been included in the Company's consolidated financial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Financial Information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pro forma information presents a summary of the Company’s combined operating results for the nine months ended March 31, 2022 for comparative purposes, as if the acquisition had occurred on July 1, 2021 The following pro forma financial information is not necessarily indicative of the Company’s operating results as they would have been had the acquisition been effected on the assumed date, nor is it necessarily an indication of trends in future results for a number of reasons, including, but not limited to, differences between the assumptions used to prepare the pro forma information, basic shares outstanding and dilutive equivalents, cost savings from operating efficiencies, potential synergies, and the impact of incremental costs incurred in integrating the businesses.</w:t>
      </w:r>
    </w:p>
    <w:p>
      <w:pPr>
        <w:pStyle w:val="Normal"/>
        <w:bidi w:val="0"/>
        <w:spacing w:before="0" w:after="0"/>
        <w:jc w:val="left"/>
        <w:rPr>
          <w:sz w:val="4"/>
          <w:szCs w:val="4"/>
        </w:rPr>
      </w:pPr>
      <w:r>
        <w:rPr>
          <w:sz w:val="4"/>
          <w:szCs w:val="4"/>
        </w:rPr>
      </w:r>
      <w:bookmarkStart w:id="500" w:name="xdx_88B_eus-gaap--BusinessAcquisitionPro"/>
      <w:bookmarkStart w:id="501" w:name="xdx_88B_eus-gaap--BusinessAcquisitionPro"/>
      <w:bookmarkEnd w:id="501"/>
    </w:p>
    <w:tbl>
      <w:tblPr>
        <w:tblW w:w="4794" w:type="dxa"/>
        <w:jc w:val="left"/>
        <w:tblInd w:w="0" w:type="dxa"/>
        <w:tblLayout w:type="fixed"/>
        <w:tblCellMar>
          <w:top w:w="0" w:type="dxa"/>
          <w:left w:w="0" w:type="dxa"/>
          <w:bottom w:w="0" w:type="dxa"/>
          <w:right w:w="0" w:type="dxa"/>
        </w:tblCellMar>
      </w:tblPr>
      <w:tblGrid>
        <w:gridCol w:w="3050"/>
        <w:gridCol w:w="60"/>
        <w:gridCol w:w="187"/>
        <w:gridCol w:w="1422"/>
        <w:gridCol w:w="75"/>
      </w:tblGrid>
      <w:tr>
        <w:trPr/>
        <w:tc>
          <w:tcPr>
            <w:tcW w:w="3050" w:type="dxa"/>
            <w:tcBorders/>
            <w:vAlign w:val="center"/>
          </w:tcPr>
          <w:p>
            <w:pPr>
              <w:pStyle w:val="TableContents"/>
              <w:bidi w:val="0"/>
              <w:spacing w:before="0" w:after="283"/>
              <w:jc w:val="left"/>
              <w:rPr>
                <w:b/>
                <w:sz w:val="20"/>
              </w:rPr>
            </w:pPr>
            <w:bookmarkStart w:id="502" w:name="xdx_8BB_zVVlNZV9Xhni"/>
            <w:bookmarkEnd w:id="502"/>
            <w:r>
              <w:rPr>
                <w:b/>
                <w:sz w:val="20"/>
              </w:rPr>
              <w:t>Schedule of Pro Forma information</w:t>
            </w:r>
          </w:p>
        </w:tc>
        <w:tc>
          <w:tcPr>
            <w:tcW w:w="60" w:type="dxa"/>
            <w:tcBorders/>
            <w:vAlign w:val="center"/>
          </w:tcPr>
          <w:p>
            <w:pPr>
              <w:pStyle w:val="TableContents"/>
              <w:bidi w:val="0"/>
              <w:spacing w:before="0" w:after="283"/>
              <w:jc w:val="left"/>
              <w:rPr/>
            </w:pPr>
            <w:r>
              <w:rPr/>
              <w:t> </w:t>
            </w:r>
            <w:bookmarkStart w:id="503" w:name="xdx_491_20220701__20230331__us-gaap--Bus"/>
            <w:bookmarkEnd w:id="503"/>
          </w:p>
        </w:tc>
        <w:tc>
          <w:tcPr>
            <w:tcW w:w="1609" w:type="dxa"/>
            <w:gridSpan w:val="2"/>
            <w:tcBorders/>
            <w:vAlign w:val="center"/>
          </w:tcPr>
          <w:p>
            <w:pPr>
              <w:pStyle w:val="TableContents"/>
              <w:bidi w:val="0"/>
              <w:spacing w:before="0" w:after="283"/>
              <w:jc w:val="center"/>
              <w:rPr>
                <w:b/>
                <w:sz w:val="20"/>
              </w:rPr>
            </w:pPr>
            <w:r>
              <w:rPr>
                <w:b/>
                <w:sz w:val="20"/>
              </w:rPr>
              <w:t>Nine months ended</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vAlign w:val="center"/>
          </w:tcPr>
          <w:p>
            <w:pPr>
              <w:pStyle w:val="TableContents"/>
              <w:bidi w:val="0"/>
              <w:spacing w:before="0" w:after="283"/>
              <w:jc w:val="center"/>
              <w:rPr>
                <w:b/>
                <w:sz w:val="20"/>
              </w:rPr>
            </w:pPr>
            <w:r>
              <w:rPr>
                <w:b/>
                <w:sz w:val="20"/>
              </w:rPr>
              <w:t>March 31,</w:t>
            </w:r>
          </w:p>
        </w:tc>
        <w:tc>
          <w:tcPr>
            <w:tcW w:w="75" w:type="dxa"/>
            <w:tcBorders/>
            <w:vAlign w:val="center"/>
          </w:tcPr>
          <w:p>
            <w:pPr>
              <w:pStyle w:val="TableContents"/>
              <w:bidi w:val="0"/>
              <w:spacing w:before="0" w:after="283"/>
              <w:jc w:val="left"/>
              <w:rPr/>
            </w:pPr>
            <w:r>
              <w:rPr/>
              <w:t> </w:t>
            </w:r>
          </w:p>
        </w:tc>
      </w:tr>
      <w:tr>
        <w:trPr/>
        <w:tc>
          <w:tcPr>
            <w:tcW w:w="30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9" w:type="dxa"/>
            <w:gridSpan w:val="2"/>
            <w:tcBorders>
              <w:bottom w:val="single" w:sz="8" w:space="0" w:color="000000"/>
            </w:tcBorders>
            <w:tcMar>
              <w:bottom w:w="28" w:type="dxa"/>
            </w:tcMar>
            <w:vAlign w:val="center"/>
          </w:tcPr>
          <w:p>
            <w:pPr>
              <w:pStyle w:val="TableContents"/>
              <w:bidi w:val="0"/>
              <w:spacing w:before="0" w:after="283"/>
              <w:jc w:val="center"/>
              <w:rPr>
                <w:b/>
                <w:sz w:val="20"/>
              </w:rPr>
            </w:pPr>
            <w:r>
              <w:rPr>
                <w:b/>
                <w:sz w:val="20"/>
              </w:rPr>
              <w:t>2022</w:t>
            </w:r>
          </w:p>
        </w:tc>
        <w:tc>
          <w:tcPr>
            <w:tcW w:w="75" w:type="dxa"/>
            <w:tcBorders/>
            <w:vAlign w:val="center"/>
          </w:tcPr>
          <w:p>
            <w:pPr>
              <w:pStyle w:val="TableContents"/>
              <w:bidi w:val="0"/>
              <w:spacing w:before="0" w:after="283"/>
              <w:jc w:val="left"/>
              <w:rPr/>
            </w:pPr>
            <w:r>
              <w:rPr/>
              <w:t> </w:t>
            </w:r>
            <w:bookmarkStart w:id="504" w:name="xdx_400_eus-gaap--BusinessAcquisitionsPr"/>
            <w:bookmarkEnd w:id="504"/>
          </w:p>
        </w:tc>
      </w:tr>
      <w:tr>
        <w:trPr/>
        <w:tc>
          <w:tcPr>
            <w:tcW w:w="3050" w:type="dxa"/>
            <w:tcBorders/>
            <w:shd w:fill="EEEEEE" w:val="clear"/>
            <w:vAlign w:val="center"/>
          </w:tcPr>
          <w:p>
            <w:pPr>
              <w:pStyle w:val="TableContents"/>
              <w:bidi w:val="0"/>
              <w:spacing w:before="0" w:after="283"/>
              <w:jc w:val="left"/>
              <w:rPr>
                <w:sz w:val="20"/>
              </w:rPr>
            </w:pPr>
            <w:r>
              <w:rPr>
                <w:sz w:val="20"/>
              </w:rPr>
              <w:t>Total Revenues</w:t>
            </w:r>
          </w:p>
        </w:tc>
        <w:tc>
          <w:tcPr>
            <w:tcW w:w="60" w:type="dxa"/>
            <w:tcBorders/>
            <w:shd w:fill="EEEEEE" w:val="clear"/>
            <w:vAlign w:val="center"/>
          </w:tcPr>
          <w:p>
            <w:pPr>
              <w:pStyle w:val="TableContents"/>
              <w:bidi w:val="0"/>
              <w:spacing w:before="0" w:after="283"/>
              <w:jc w:val="left"/>
              <w:rPr/>
            </w:pPr>
            <w:r>
              <w:rPr/>
              <w:t> </w:t>
            </w:r>
          </w:p>
        </w:tc>
        <w:tc>
          <w:tcPr>
            <w:tcW w:w="187" w:type="dxa"/>
            <w:tcBorders/>
            <w:shd w:fill="EEEEEE" w:val="clear"/>
            <w:vAlign w:val="center"/>
          </w:tcPr>
          <w:p>
            <w:pPr>
              <w:pStyle w:val="TableContents"/>
              <w:bidi w:val="0"/>
              <w:spacing w:before="0" w:after="283"/>
              <w:jc w:val="left"/>
              <w:rPr>
                <w:sz w:val="20"/>
              </w:rPr>
            </w:pPr>
            <w:r>
              <w:rPr>
                <w:sz w:val="20"/>
              </w:rPr>
              <w:t>$</w:t>
            </w:r>
          </w:p>
        </w:tc>
        <w:tc>
          <w:tcPr>
            <w:tcW w:w="1422" w:type="dxa"/>
            <w:tcBorders/>
            <w:shd w:fill="EEEEEE" w:val="clear"/>
            <w:vAlign w:val="center"/>
          </w:tcPr>
          <w:p>
            <w:pPr>
              <w:pStyle w:val="TableContents"/>
              <w:bidi w:val="0"/>
              <w:spacing w:before="0" w:after="283"/>
              <w:jc w:val="right"/>
              <w:rPr>
                <w:sz w:val="20"/>
              </w:rPr>
            </w:pPr>
            <w:r>
              <w:rPr>
                <w:sz w:val="20"/>
              </w:rPr>
              <w:t>57,300,642</w:t>
            </w:r>
          </w:p>
        </w:tc>
        <w:tc>
          <w:tcPr>
            <w:tcW w:w="75" w:type="dxa"/>
            <w:tcBorders/>
            <w:shd w:fill="EEEEEE" w:val="clear"/>
            <w:vAlign w:val="center"/>
          </w:tcPr>
          <w:p>
            <w:pPr>
              <w:pStyle w:val="TableContents"/>
              <w:bidi w:val="0"/>
              <w:spacing w:before="0" w:after="283"/>
              <w:jc w:val="left"/>
              <w:rPr/>
            </w:pPr>
            <w:r>
              <w:rPr/>
              <w:t> </w:t>
            </w:r>
            <w:bookmarkStart w:id="505" w:name="xdx_407_eus-gaap--BusinessAcquisitionsPr"/>
            <w:bookmarkEnd w:id="505"/>
          </w:p>
        </w:tc>
      </w:tr>
      <w:tr>
        <w:trPr/>
        <w:tc>
          <w:tcPr>
            <w:tcW w:w="3050" w:type="dxa"/>
            <w:tcBorders/>
            <w:shd w:fill="FFFFFF" w:val="clear"/>
            <w:vAlign w:val="center"/>
          </w:tcPr>
          <w:p>
            <w:pPr>
              <w:pStyle w:val="TableContents"/>
              <w:bidi w:val="0"/>
              <w:spacing w:before="0" w:after="283"/>
              <w:jc w:val="left"/>
              <w:rPr>
                <w:sz w:val="20"/>
              </w:rPr>
            </w:pPr>
            <w:r>
              <w:rPr>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sz w:val="20"/>
              </w:rPr>
            </w:pPr>
            <w:r>
              <w:rPr>
                <w:sz w:val="20"/>
              </w:rPr>
              <w:t>$</w:t>
            </w:r>
          </w:p>
        </w:tc>
        <w:tc>
          <w:tcPr>
            <w:tcW w:w="1422" w:type="dxa"/>
            <w:tcBorders/>
            <w:shd w:fill="FFFFFF" w:val="clear"/>
            <w:vAlign w:val="center"/>
          </w:tcPr>
          <w:p>
            <w:pPr>
              <w:pStyle w:val="TableContents"/>
              <w:bidi w:val="0"/>
              <w:spacing w:before="0" w:after="283"/>
              <w:jc w:val="right"/>
              <w:rPr>
                <w:sz w:val="20"/>
              </w:rPr>
            </w:pPr>
            <w:r>
              <w:rPr>
                <w:sz w:val="20"/>
              </w:rPr>
              <w:t>4,623,664</w:t>
            </w:r>
          </w:p>
        </w:tc>
        <w:tc>
          <w:tcPr>
            <w:tcW w:w="75" w:type="dxa"/>
            <w:tcBorders/>
            <w:shd w:fill="FFFFFF" w:val="clear"/>
            <w:vAlign w:val="center"/>
          </w:tcPr>
          <w:p>
            <w:pPr>
              <w:pStyle w:val="TableContents"/>
              <w:bidi w:val="0"/>
              <w:spacing w:before="0" w:after="283"/>
              <w:jc w:val="left"/>
              <w:rPr/>
            </w:pPr>
            <w:r>
              <w:rPr/>
              <w:t> </w:t>
            </w:r>
          </w:p>
        </w:tc>
      </w:tr>
      <w:tr>
        <w:trPr/>
        <w:tc>
          <w:tcPr>
            <w:tcW w:w="3050" w:type="dxa"/>
            <w:tcBorders/>
            <w:shd w:fill="EEEEEE" w:val="clear"/>
            <w:vAlign w:val="center"/>
          </w:tcPr>
          <w:p>
            <w:pPr>
              <w:pStyle w:val="TableContents"/>
              <w:bidi w:val="0"/>
              <w:spacing w:before="0" w:after="283"/>
              <w:jc w:val="left"/>
              <w:rPr>
                <w:sz w:val="20"/>
              </w:rPr>
            </w:pPr>
            <w:r>
              <w:rPr>
                <w:sz w:val="20"/>
              </w:rPr>
              <w:t>Basic and diluted income per share</w:t>
            </w:r>
          </w:p>
        </w:tc>
        <w:tc>
          <w:tcPr>
            <w:tcW w:w="60" w:type="dxa"/>
            <w:tcBorders/>
            <w:shd w:fill="EEEEEE" w:val="clear"/>
            <w:vAlign w:val="center"/>
          </w:tcPr>
          <w:p>
            <w:pPr>
              <w:pStyle w:val="TableContents"/>
              <w:bidi w:val="0"/>
              <w:spacing w:before="0" w:after="283"/>
              <w:jc w:val="left"/>
              <w:rPr/>
            </w:pPr>
            <w:r>
              <w:rPr/>
              <w:t> </w:t>
            </w:r>
          </w:p>
        </w:tc>
        <w:tc>
          <w:tcPr>
            <w:tcW w:w="187" w:type="dxa"/>
            <w:tcBorders/>
            <w:shd w:fill="EEEEEE" w:val="clear"/>
            <w:vAlign w:val="center"/>
          </w:tcPr>
          <w:p>
            <w:pPr>
              <w:pStyle w:val="TableContents"/>
              <w:bidi w:val="0"/>
              <w:spacing w:before="0" w:after="283"/>
              <w:jc w:val="left"/>
              <w:rPr>
                <w:sz w:val="20"/>
              </w:rPr>
            </w:pPr>
            <w:r>
              <w:rPr>
                <w:sz w:val="20"/>
              </w:rPr>
              <w:t>$</w:t>
            </w:r>
          </w:p>
        </w:tc>
        <w:tc>
          <w:tcPr>
            <w:tcW w:w="1422" w:type="dxa"/>
            <w:tcBorders/>
            <w:shd w:fill="EEEEEE" w:val="clear"/>
            <w:vAlign w:val="center"/>
          </w:tcPr>
          <w:p>
            <w:pPr>
              <w:pStyle w:val="TableContents"/>
              <w:bidi w:val="0"/>
              <w:spacing w:before="0" w:after="283"/>
              <w:jc w:val="right"/>
              <w:rPr>
                <w:sz w:val="20"/>
              </w:rPr>
            </w:pPr>
            <w:bookmarkStart w:id="506" w:name="xdx_905_eus-gaap--BusinessAcquisitionPro"/>
            <w:bookmarkStart w:id="507" w:name="xdx_901_eus-gaap--BusinessAcquisitionPro"/>
            <w:bookmarkEnd w:id="506"/>
            <w:bookmarkEnd w:id="507"/>
            <w:r>
              <w:rPr>
                <w:sz w:val="20"/>
              </w:rPr>
              <w:t>0.12</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08" w:name="xdx_801_eus-gaap--VariableInterestEntity"/>
      <w:bookmarkEnd w:id="508"/>
      <w:r>
        <w:rPr>
          <w:rFonts w:ascii="Times New Roman;Times;Serif" w:hAnsi="Times New Roman;Times;Serif"/>
          <w:b/>
          <w:i w:val="false"/>
          <w:caps w:val="false"/>
          <w:smallCaps w:val="false"/>
          <w:sz w:val="20"/>
        </w:rPr>
        <w:t>Note 5 –</w:t>
      </w:r>
      <w:bookmarkStart w:id="509" w:name="xdx_824_zK95Lw9vm9r5"/>
      <w:bookmarkEnd w:id="509"/>
      <w:r>
        <w:rPr>
          <w:rFonts w:ascii="Times New Roman;Times;Serif" w:hAnsi="Times New Roman;Times;Serif"/>
          <w:b/>
          <w:i w:val="false"/>
          <w:caps w:val="false"/>
          <w:smallCaps w:val="false"/>
          <w:sz w:val="20"/>
        </w:rPr>
        <w:t xml:space="preserve"> Variable interest entity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February 15, 2022, upon acquisition of Anivia, the Company assumed the contractual arrangements between the WFOE and DHS through a variable interest operating entity structure. See Note 4 for details.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did not provide financial or other support to the VIE for the periods presented where the Company was not otherwise contractually required to provide such support.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2022, there was no pledge or collateralization of the VIE assets that would be used to settle obligations of the VIE.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assets, liabilities and the results of operations of the VIE included in the Company’s consolidated balance sheets and statements of operations and comprehensive income after the elimination of intercompany balances and transactions with the VIE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 of the VIE’s assets and liabilities were as follows for the periods indicated: </w:t>
      </w:r>
    </w:p>
    <w:p>
      <w:pPr>
        <w:pStyle w:val="Normal"/>
        <w:bidi w:val="0"/>
        <w:spacing w:before="0" w:after="0"/>
        <w:jc w:val="left"/>
        <w:rPr>
          <w:sz w:val="4"/>
          <w:szCs w:val="4"/>
        </w:rPr>
      </w:pPr>
      <w:r>
        <w:rPr>
          <w:sz w:val="4"/>
          <w:szCs w:val="4"/>
        </w:rPr>
      </w:r>
      <w:bookmarkStart w:id="510" w:name="xdx_89F_eus-gaap--ScheduleOfVariableInte"/>
      <w:bookmarkStart w:id="511" w:name="xdx_89F_eus-gaap--ScheduleOfVariableInte"/>
      <w:bookmarkEnd w:id="511"/>
    </w:p>
    <w:tbl>
      <w:tblPr>
        <w:tblW w:w="6709" w:type="dxa"/>
        <w:jc w:val="left"/>
        <w:tblInd w:w="0" w:type="dxa"/>
        <w:tblLayout w:type="fixed"/>
        <w:tblCellMar>
          <w:top w:w="0" w:type="dxa"/>
          <w:left w:w="0" w:type="dxa"/>
          <w:bottom w:w="0" w:type="dxa"/>
          <w:right w:w="0" w:type="dxa"/>
        </w:tblCellMar>
      </w:tblPr>
      <w:tblGrid>
        <w:gridCol w:w="4265"/>
        <w:gridCol w:w="60"/>
        <w:gridCol w:w="159"/>
        <w:gridCol w:w="910"/>
        <w:gridCol w:w="60"/>
        <w:gridCol w:w="60"/>
        <w:gridCol w:w="140"/>
        <w:gridCol w:w="980"/>
        <w:gridCol w:w="75"/>
      </w:tblGrid>
      <w:tr>
        <w:trPr/>
        <w:tc>
          <w:tcPr>
            <w:tcW w:w="4265" w:type="dxa"/>
            <w:tcBorders/>
            <w:vAlign w:val="center"/>
          </w:tcPr>
          <w:p>
            <w:pPr>
              <w:pStyle w:val="TableContents"/>
              <w:bidi w:val="0"/>
              <w:spacing w:before="0" w:after="283"/>
              <w:jc w:val="left"/>
              <w:rPr/>
            </w:pPr>
            <w:bookmarkStart w:id="512" w:name="xdx_8B8_zTTXP4lyFrr4"/>
            <w:bookmarkEnd w:id="512"/>
            <w:r>
              <w:rPr/>
              <w:t>Carrying amount of VIE assets and liabilities</w:t>
            </w:r>
          </w:p>
        </w:tc>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283"/>
              <w:jc w:val="left"/>
              <w:rPr/>
            </w:pPr>
            <w:r>
              <w:rPr/>
              <w:t> </w:t>
            </w:r>
            <w:bookmarkStart w:id="513" w:name="xdx_494_20230331__srt--ConsolidatedEntit"/>
            <w:bookmarkEnd w:id="513"/>
          </w:p>
        </w:tc>
        <w:tc>
          <w:tcPr>
            <w:tcW w:w="91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514" w:name="xdx_495_20220630__srt--ConsolidatedEntit"/>
            <w:bookmarkEnd w:id="514"/>
          </w:p>
        </w:tc>
        <w:tc>
          <w:tcPr>
            <w:tcW w:w="98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2022</w:t>
            </w:r>
          </w:p>
        </w:tc>
        <w:tc>
          <w:tcPr>
            <w:tcW w:w="75" w:type="dxa"/>
            <w:tcBorders/>
            <w:vAlign w:val="center"/>
          </w:tcPr>
          <w:p>
            <w:pPr>
              <w:pStyle w:val="TableContents"/>
              <w:bidi w:val="0"/>
              <w:spacing w:before="0" w:after="283"/>
              <w:jc w:val="left"/>
              <w:rPr/>
            </w:pPr>
            <w:r>
              <w:rPr/>
              <w:t> </w:t>
            </w:r>
            <w:bookmarkStart w:id="515" w:name="xdx_40B_eus-gaap--Cash_iI_pp0p0"/>
            <w:bookmarkEnd w:id="515"/>
          </w:p>
        </w:tc>
      </w:tr>
      <w:tr>
        <w:trPr/>
        <w:tc>
          <w:tcPr>
            <w:tcW w:w="4265" w:type="dxa"/>
            <w:tcBorders/>
            <w:shd w:fill="EEEEEE" w:val="clear"/>
            <w:vAlign w:val="center"/>
          </w:tcPr>
          <w:p>
            <w:pPr>
              <w:pStyle w:val="TableContents"/>
              <w:bidi w:val="0"/>
              <w:spacing w:before="0" w:after="283"/>
              <w:jc w:val="left"/>
              <w:rPr/>
            </w:pPr>
            <w:r>
              <w:rPr/>
              <w:t>Cash in bank</w:t>
            </w:r>
          </w:p>
        </w:tc>
        <w:tc>
          <w:tcPr>
            <w:tcW w:w="60" w:type="dxa"/>
            <w:tcBorders/>
            <w:shd w:fill="EEEEEE" w:val="clear"/>
            <w:vAlign w:val="center"/>
          </w:tcPr>
          <w:p>
            <w:pPr>
              <w:pStyle w:val="TableContents"/>
              <w:bidi w:val="0"/>
              <w:spacing w:before="0" w:after="283"/>
              <w:jc w:val="left"/>
              <w:rPr/>
            </w:pPr>
            <w:r>
              <w:rPr/>
              <w:t> </w:t>
            </w:r>
          </w:p>
        </w:tc>
        <w:tc>
          <w:tcPr>
            <w:tcW w:w="159" w:type="dxa"/>
            <w:tcBorders/>
            <w:shd w:fill="EEEEEE" w:val="clear"/>
            <w:vAlign w:val="center"/>
          </w:tcPr>
          <w:p>
            <w:pPr>
              <w:pStyle w:val="TableContents"/>
              <w:bidi w:val="0"/>
              <w:spacing w:before="0" w:after="283"/>
              <w:jc w:val="left"/>
              <w:rPr/>
            </w:pPr>
            <w:r>
              <w:rPr/>
              <w:t>$</w:t>
            </w:r>
          </w:p>
        </w:tc>
        <w:tc>
          <w:tcPr>
            <w:tcW w:w="910" w:type="dxa"/>
            <w:tcBorders/>
            <w:shd w:fill="EEEEEE" w:val="clear"/>
            <w:vAlign w:val="center"/>
          </w:tcPr>
          <w:p>
            <w:pPr>
              <w:pStyle w:val="TableContents"/>
              <w:bidi w:val="0"/>
              <w:spacing w:before="0" w:after="283"/>
              <w:jc w:val="right"/>
              <w:rPr/>
            </w:pPr>
            <w:r>
              <w:rPr/>
              <w:t>364,314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271,164</w:t>
            </w:r>
          </w:p>
        </w:tc>
        <w:tc>
          <w:tcPr>
            <w:tcW w:w="75" w:type="dxa"/>
            <w:tcBorders/>
            <w:shd w:fill="EEEEEE" w:val="clear"/>
            <w:vAlign w:val="center"/>
          </w:tcPr>
          <w:p>
            <w:pPr>
              <w:pStyle w:val="TableContents"/>
              <w:bidi w:val="0"/>
              <w:spacing w:before="0" w:after="283"/>
              <w:jc w:val="left"/>
              <w:rPr/>
            </w:pPr>
            <w:r>
              <w:rPr/>
              <w:t> </w:t>
            </w:r>
            <w:bookmarkStart w:id="516" w:name="xdx_409_eus-gaap--PrepaidExpenseAndOther"/>
            <w:bookmarkEnd w:id="516"/>
          </w:p>
        </w:tc>
      </w:tr>
      <w:tr>
        <w:trPr/>
        <w:tc>
          <w:tcPr>
            <w:tcW w:w="4265" w:type="dxa"/>
            <w:tcBorders/>
            <w:shd w:fill="FFFFFF" w:val="clear"/>
            <w:vAlign w:val="center"/>
          </w:tcPr>
          <w:p>
            <w:pPr>
              <w:pStyle w:val="TableContents"/>
              <w:bidi w:val="0"/>
              <w:spacing w:before="0" w:after="283"/>
              <w:jc w:val="left"/>
              <w:rPr/>
            </w:pPr>
            <w:r>
              <w:rPr/>
              <w:t>Prepayments and other receivables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910" w:type="dxa"/>
            <w:tcBorders/>
            <w:shd w:fill="FFFFFF" w:val="clear"/>
            <w:vAlign w:val="center"/>
          </w:tcPr>
          <w:p>
            <w:pPr>
              <w:pStyle w:val="TableContents"/>
              <w:bidi w:val="0"/>
              <w:spacing w:before="0" w:after="283"/>
              <w:jc w:val="right"/>
              <w:rPr/>
            </w:pPr>
            <w:r>
              <w:rPr/>
              <w:t>634,323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1,374,698</w:t>
            </w:r>
          </w:p>
        </w:tc>
        <w:tc>
          <w:tcPr>
            <w:tcW w:w="75" w:type="dxa"/>
            <w:tcBorders/>
            <w:shd w:fill="FFFFFF" w:val="clear"/>
            <w:vAlign w:val="center"/>
          </w:tcPr>
          <w:p>
            <w:pPr>
              <w:pStyle w:val="TableContents"/>
              <w:bidi w:val="0"/>
              <w:spacing w:before="0" w:after="283"/>
              <w:jc w:val="left"/>
              <w:rPr/>
            </w:pPr>
            <w:r>
              <w:rPr/>
              <w:t> </w:t>
            </w:r>
            <w:bookmarkStart w:id="517" w:name="xdx_403_eus-gaap--DepositsAssetsCurrent_"/>
            <w:bookmarkEnd w:id="517"/>
          </w:p>
        </w:tc>
      </w:tr>
      <w:tr>
        <w:trPr/>
        <w:tc>
          <w:tcPr>
            <w:tcW w:w="4265" w:type="dxa"/>
            <w:tcBorders/>
            <w:shd w:fill="EEEEEE" w:val="clear"/>
            <w:vAlign w:val="center"/>
          </w:tcPr>
          <w:p>
            <w:pPr>
              <w:pStyle w:val="TableContents"/>
              <w:bidi w:val="0"/>
              <w:spacing w:before="0" w:after="283"/>
              <w:jc w:val="left"/>
              <w:rPr/>
            </w:pPr>
            <w:r>
              <w:rPr/>
              <w:t>Rent deposit</w:t>
            </w:r>
          </w:p>
        </w:tc>
        <w:tc>
          <w:tcPr>
            <w:tcW w:w="60" w:type="dxa"/>
            <w:tcBorders/>
            <w:shd w:fill="EEEEEE" w:val="clear"/>
            <w:vAlign w:val="center"/>
          </w:tcPr>
          <w:p>
            <w:pPr>
              <w:pStyle w:val="TableContents"/>
              <w:bidi w:val="0"/>
              <w:spacing w:before="0" w:after="283"/>
              <w:jc w:val="left"/>
              <w:rPr/>
            </w:pPr>
            <w:r>
              <w:rPr/>
              <w:t> </w:t>
            </w:r>
          </w:p>
        </w:tc>
        <w:tc>
          <w:tcPr>
            <w:tcW w:w="159" w:type="dxa"/>
            <w:tcBorders/>
            <w:shd w:fill="EEEEEE" w:val="clear"/>
            <w:vAlign w:val="center"/>
          </w:tcPr>
          <w:p>
            <w:pPr>
              <w:pStyle w:val="TableContents"/>
              <w:bidi w:val="0"/>
              <w:spacing w:before="0" w:after="283"/>
              <w:jc w:val="left"/>
              <w:rPr/>
            </w:pPr>
            <w:r>
              <w:rPr/>
              <w:t>$</w:t>
            </w:r>
          </w:p>
        </w:tc>
        <w:tc>
          <w:tcPr>
            <w:tcW w:w="910" w:type="dxa"/>
            <w:tcBorders/>
            <w:shd w:fill="EEEEEE" w:val="clear"/>
            <w:vAlign w:val="center"/>
          </w:tcPr>
          <w:p>
            <w:pPr>
              <w:pStyle w:val="TableContents"/>
              <w:bidi w:val="0"/>
              <w:spacing w:before="0" w:after="283"/>
              <w:jc w:val="right"/>
              <w:rPr/>
            </w:pPr>
            <w:r>
              <w:rPr/>
              <w:t>49,653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50,036</w:t>
            </w:r>
          </w:p>
        </w:tc>
        <w:tc>
          <w:tcPr>
            <w:tcW w:w="75" w:type="dxa"/>
            <w:tcBorders/>
            <w:shd w:fill="EEEEEE" w:val="clear"/>
            <w:vAlign w:val="center"/>
          </w:tcPr>
          <w:p>
            <w:pPr>
              <w:pStyle w:val="TableContents"/>
              <w:bidi w:val="0"/>
              <w:spacing w:before="0" w:after="283"/>
              <w:jc w:val="left"/>
              <w:rPr/>
            </w:pPr>
            <w:r>
              <w:rPr/>
              <w:t> </w:t>
            </w:r>
            <w:bookmarkStart w:id="518" w:name="xdx_401_ecustom--OfficeEquipmentNet_iI_p"/>
            <w:bookmarkEnd w:id="518"/>
          </w:p>
        </w:tc>
      </w:tr>
      <w:tr>
        <w:trPr/>
        <w:tc>
          <w:tcPr>
            <w:tcW w:w="4265" w:type="dxa"/>
            <w:tcBorders/>
            <w:shd w:fill="FFFFFF" w:val="clear"/>
            <w:vAlign w:val="center"/>
          </w:tcPr>
          <w:p>
            <w:pPr>
              <w:pStyle w:val="TableContents"/>
              <w:bidi w:val="0"/>
              <w:spacing w:before="0" w:after="283"/>
              <w:jc w:val="left"/>
              <w:rPr/>
            </w:pPr>
            <w:r>
              <w:rPr/>
              <w:t>Office equipment, net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910" w:type="dxa"/>
            <w:tcBorders/>
            <w:shd w:fill="FFFFFF" w:val="clear"/>
            <w:vAlign w:val="center"/>
          </w:tcPr>
          <w:p>
            <w:pPr>
              <w:pStyle w:val="TableContents"/>
              <w:bidi w:val="0"/>
              <w:spacing w:before="0" w:after="283"/>
              <w:jc w:val="right"/>
              <w:rPr/>
            </w:pPr>
            <w:r>
              <w:rPr/>
              <w:t>40,950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57,730</w:t>
            </w:r>
          </w:p>
        </w:tc>
        <w:tc>
          <w:tcPr>
            <w:tcW w:w="75" w:type="dxa"/>
            <w:tcBorders/>
            <w:shd w:fill="FFFFFF" w:val="clear"/>
            <w:vAlign w:val="center"/>
          </w:tcPr>
          <w:p>
            <w:pPr>
              <w:pStyle w:val="TableContents"/>
              <w:bidi w:val="0"/>
              <w:spacing w:before="0" w:after="283"/>
              <w:jc w:val="left"/>
              <w:rPr/>
            </w:pPr>
            <w:r>
              <w:rPr/>
              <w:t> </w:t>
            </w:r>
            <w:bookmarkStart w:id="519" w:name="xdx_40E_eus-gaap--OperatingLeaseRightOfU"/>
            <w:bookmarkEnd w:id="519"/>
          </w:p>
        </w:tc>
      </w:tr>
      <w:tr>
        <w:trPr/>
        <w:tc>
          <w:tcPr>
            <w:tcW w:w="4265" w:type="dxa"/>
            <w:tcBorders/>
            <w:shd w:fill="EEEEEE" w:val="clear"/>
            <w:vAlign w:val="center"/>
          </w:tcPr>
          <w:p>
            <w:pPr>
              <w:pStyle w:val="TableContents"/>
              <w:bidi w:val="0"/>
              <w:spacing w:before="0" w:after="283"/>
              <w:jc w:val="left"/>
              <w:rPr/>
            </w:pPr>
            <w:r>
              <w:rPr/>
              <w:t>Right of use – noncurrent</w:t>
            </w:r>
          </w:p>
        </w:tc>
        <w:tc>
          <w:tcPr>
            <w:tcW w:w="60" w:type="dxa"/>
            <w:tcBorders/>
            <w:shd w:fill="EEEEEE" w:val="clear"/>
            <w:vAlign w:val="center"/>
          </w:tcPr>
          <w:p>
            <w:pPr>
              <w:pStyle w:val="TableContents"/>
              <w:bidi w:val="0"/>
              <w:spacing w:before="0" w:after="283"/>
              <w:jc w:val="left"/>
              <w:rPr/>
            </w:pPr>
            <w:r>
              <w:rPr/>
              <w:t> </w:t>
            </w:r>
          </w:p>
        </w:tc>
        <w:tc>
          <w:tcPr>
            <w:tcW w:w="159" w:type="dxa"/>
            <w:tcBorders/>
            <w:shd w:fill="EEEEEE" w:val="clear"/>
            <w:vAlign w:val="center"/>
          </w:tcPr>
          <w:p>
            <w:pPr>
              <w:pStyle w:val="TableContents"/>
              <w:bidi w:val="0"/>
              <w:spacing w:before="0" w:after="283"/>
              <w:jc w:val="left"/>
              <w:rPr/>
            </w:pPr>
            <w:r>
              <w:rPr/>
              <w:t>$</w:t>
            </w:r>
          </w:p>
        </w:tc>
        <w:tc>
          <w:tcPr>
            <w:tcW w:w="910" w:type="dxa"/>
            <w:tcBorders/>
            <w:shd w:fill="EEEEEE" w:val="clear"/>
            <w:vAlign w:val="center"/>
          </w:tcPr>
          <w:p>
            <w:pPr>
              <w:pStyle w:val="TableContents"/>
              <w:bidi w:val="0"/>
              <w:spacing w:before="0" w:after="283"/>
              <w:jc w:val="right"/>
              <w:rPr/>
            </w:pPr>
            <w:r>
              <w:rPr/>
              <w:t>42,538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153,064</w:t>
            </w:r>
          </w:p>
        </w:tc>
        <w:tc>
          <w:tcPr>
            <w:tcW w:w="75" w:type="dxa"/>
            <w:tcBorders/>
            <w:shd w:fill="EEEEEE" w:val="clear"/>
            <w:vAlign w:val="center"/>
          </w:tcPr>
          <w:p>
            <w:pPr>
              <w:pStyle w:val="TableContents"/>
              <w:bidi w:val="0"/>
              <w:spacing w:before="0" w:after="283"/>
              <w:jc w:val="left"/>
              <w:rPr/>
            </w:pPr>
            <w:r>
              <w:rPr/>
              <w:t> </w:t>
            </w:r>
            <w:bookmarkStart w:id="520" w:name="xdx_40A_eus-gaap--DeferredTaxAssetsGross"/>
            <w:bookmarkEnd w:id="520"/>
          </w:p>
        </w:tc>
      </w:tr>
      <w:tr>
        <w:trPr/>
        <w:tc>
          <w:tcPr>
            <w:tcW w:w="4265" w:type="dxa"/>
            <w:tcBorders/>
            <w:shd w:fill="FFFFFF" w:val="clear"/>
            <w:vAlign w:val="center"/>
          </w:tcPr>
          <w:p>
            <w:pPr>
              <w:pStyle w:val="TableContents"/>
              <w:bidi w:val="0"/>
              <w:spacing w:before="0" w:after="283"/>
              <w:jc w:val="left"/>
              <w:rPr/>
            </w:pPr>
            <w:r>
              <w:rPr/>
              <w:t>Deferred tax asset</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910" w:type="dxa"/>
            <w:tcBorders/>
            <w:shd w:fill="FFFFFF" w:val="clear"/>
            <w:vAlign w:val="center"/>
          </w:tcPr>
          <w:p>
            <w:pPr>
              <w:pStyle w:val="TableContents"/>
              <w:bidi w:val="0"/>
              <w:spacing w:before="0" w:after="283"/>
              <w:jc w:val="right"/>
              <w:rPr/>
            </w:pPr>
            <w:r>
              <w:rPr/>
              <w:t>245,671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21" w:name="xdx_402_ecustom--AdvanceFromShareholders"/>
            <w:bookmarkEnd w:id="521"/>
          </w:p>
        </w:tc>
      </w:tr>
      <w:tr>
        <w:trPr/>
        <w:tc>
          <w:tcPr>
            <w:tcW w:w="4265" w:type="dxa"/>
            <w:tcBorders/>
            <w:shd w:fill="EEEEEE" w:val="clear"/>
            <w:vAlign w:val="center"/>
          </w:tcPr>
          <w:p>
            <w:pPr>
              <w:pStyle w:val="TableContents"/>
              <w:bidi w:val="0"/>
              <w:spacing w:before="0" w:after="283"/>
              <w:jc w:val="left"/>
              <w:rPr/>
            </w:pPr>
            <w:r>
              <w:rPr/>
              <w:t>Advance from shareholders</w:t>
            </w:r>
          </w:p>
        </w:tc>
        <w:tc>
          <w:tcPr>
            <w:tcW w:w="60" w:type="dxa"/>
            <w:tcBorders/>
            <w:shd w:fill="EEEEEE" w:val="clear"/>
            <w:vAlign w:val="center"/>
          </w:tcPr>
          <w:p>
            <w:pPr>
              <w:pStyle w:val="TableContents"/>
              <w:bidi w:val="0"/>
              <w:spacing w:before="0" w:after="283"/>
              <w:jc w:val="left"/>
              <w:rPr/>
            </w:pPr>
            <w:r>
              <w:rPr/>
              <w:t> </w:t>
            </w:r>
          </w:p>
        </w:tc>
        <w:tc>
          <w:tcPr>
            <w:tcW w:w="159" w:type="dxa"/>
            <w:tcBorders/>
            <w:shd w:fill="EEEEEE" w:val="clear"/>
            <w:vAlign w:val="center"/>
          </w:tcPr>
          <w:p>
            <w:pPr>
              <w:pStyle w:val="TableContents"/>
              <w:bidi w:val="0"/>
              <w:spacing w:before="0" w:after="283"/>
              <w:jc w:val="left"/>
              <w:rPr/>
            </w:pPr>
            <w:r>
              <w:rPr/>
              <w:t>$</w:t>
            </w:r>
          </w:p>
        </w:tc>
        <w:tc>
          <w:tcPr>
            <w:tcW w:w="910" w:type="dxa"/>
            <w:tcBorders/>
            <w:shd w:fill="EEEEEE" w:val="clear"/>
            <w:vAlign w:val="center"/>
          </w:tcPr>
          <w:p>
            <w:pPr>
              <w:pStyle w:val="TableContents"/>
              <w:bidi w:val="0"/>
              <w:spacing w:before="0" w:after="283"/>
              <w:jc w:val="right"/>
              <w:rPr/>
            </w:pPr>
            <w:r>
              <w:rPr/>
              <w:t>89,968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92,246</w:t>
            </w:r>
          </w:p>
        </w:tc>
        <w:tc>
          <w:tcPr>
            <w:tcW w:w="75" w:type="dxa"/>
            <w:tcBorders/>
            <w:shd w:fill="EEEEEE" w:val="clear"/>
            <w:vAlign w:val="center"/>
          </w:tcPr>
          <w:p>
            <w:pPr>
              <w:pStyle w:val="TableContents"/>
              <w:bidi w:val="0"/>
              <w:spacing w:before="0" w:after="283"/>
              <w:jc w:val="left"/>
              <w:rPr/>
            </w:pPr>
            <w:r>
              <w:rPr/>
              <w:t> </w:t>
            </w:r>
            <w:bookmarkStart w:id="522" w:name="xdx_407_eus-gaap--AccountsPayableCurrent"/>
            <w:bookmarkEnd w:id="522"/>
          </w:p>
        </w:tc>
      </w:tr>
      <w:tr>
        <w:trPr/>
        <w:tc>
          <w:tcPr>
            <w:tcW w:w="426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910" w:type="dxa"/>
            <w:tcBorders/>
            <w:shd w:fill="FFFFFF" w:val="clear"/>
            <w:vAlign w:val="center"/>
          </w:tcPr>
          <w:p>
            <w:pPr>
              <w:pStyle w:val="TableContents"/>
              <w:bidi w:val="0"/>
              <w:spacing w:before="0" w:after="283"/>
              <w:jc w:val="right"/>
              <w:rPr/>
            </w:pPr>
            <w:r>
              <w:rPr/>
              <w:t>102,506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121,073</w:t>
            </w:r>
          </w:p>
        </w:tc>
        <w:tc>
          <w:tcPr>
            <w:tcW w:w="75" w:type="dxa"/>
            <w:tcBorders/>
            <w:shd w:fill="FFFFFF" w:val="clear"/>
            <w:vAlign w:val="center"/>
          </w:tcPr>
          <w:p>
            <w:pPr>
              <w:pStyle w:val="TableContents"/>
              <w:bidi w:val="0"/>
              <w:spacing w:before="0" w:after="283"/>
              <w:jc w:val="left"/>
              <w:rPr/>
            </w:pPr>
            <w:r>
              <w:rPr/>
              <w:t> </w:t>
            </w:r>
            <w:bookmarkStart w:id="523" w:name="xdx_40F_eus-gaap--OperatingLeaseLiabilit"/>
            <w:bookmarkEnd w:id="523"/>
          </w:p>
        </w:tc>
      </w:tr>
      <w:tr>
        <w:trPr/>
        <w:tc>
          <w:tcPr>
            <w:tcW w:w="4265" w:type="dxa"/>
            <w:tcBorders/>
            <w:shd w:fill="EEEEEE" w:val="clear"/>
            <w:vAlign w:val="center"/>
          </w:tcPr>
          <w:p>
            <w:pPr>
              <w:pStyle w:val="TableContents"/>
              <w:bidi w:val="0"/>
              <w:spacing w:before="0" w:after="283"/>
              <w:jc w:val="left"/>
              <w:rPr/>
            </w:pPr>
            <w:r>
              <w:rPr/>
              <w:t>Lease liability</w:t>
            </w:r>
          </w:p>
        </w:tc>
        <w:tc>
          <w:tcPr>
            <w:tcW w:w="60" w:type="dxa"/>
            <w:tcBorders/>
            <w:shd w:fill="EEEEEE" w:val="clear"/>
            <w:vAlign w:val="center"/>
          </w:tcPr>
          <w:p>
            <w:pPr>
              <w:pStyle w:val="TableContents"/>
              <w:bidi w:val="0"/>
              <w:spacing w:before="0" w:after="283"/>
              <w:jc w:val="left"/>
              <w:rPr/>
            </w:pPr>
            <w:r>
              <w:rPr/>
              <w:t> </w:t>
            </w:r>
          </w:p>
        </w:tc>
        <w:tc>
          <w:tcPr>
            <w:tcW w:w="159" w:type="dxa"/>
            <w:tcBorders/>
            <w:shd w:fill="EEEEEE" w:val="clear"/>
            <w:vAlign w:val="center"/>
          </w:tcPr>
          <w:p>
            <w:pPr>
              <w:pStyle w:val="TableContents"/>
              <w:bidi w:val="0"/>
              <w:spacing w:before="0" w:after="283"/>
              <w:jc w:val="left"/>
              <w:rPr/>
            </w:pPr>
            <w:r>
              <w:rPr/>
              <w:t>$</w:t>
            </w:r>
          </w:p>
        </w:tc>
        <w:tc>
          <w:tcPr>
            <w:tcW w:w="910" w:type="dxa"/>
            <w:tcBorders/>
            <w:shd w:fill="EEEEEE" w:val="clear"/>
            <w:vAlign w:val="center"/>
          </w:tcPr>
          <w:p>
            <w:pPr>
              <w:pStyle w:val="TableContents"/>
              <w:bidi w:val="0"/>
              <w:spacing w:before="0" w:after="283"/>
              <w:jc w:val="right"/>
              <w:rPr/>
            </w:pPr>
            <w:r>
              <w:rPr/>
              <w:t>34,932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154,418</w:t>
            </w:r>
          </w:p>
        </w:tc>
        <w:tc>
          <w:tcPr>
            <w:tcW w:w="75" w:type="dxa"/>
            <w:tcBorders/>
            <w:shd w:fill="EEEEEE" w:val="clear"/>
            <w:vAlign w:val="center"/>
          </w:tcPr>
          <w:p>
            <w:pPr>
              <w:pStyle w:val="TableContents"/>
              <w:bidi w:val="0"/>
              <w:spacing w:before="0" w:after="283"/>
              <w:jc w:val="left"/>
              <w:rPr/>
            </w:pPr>
            <w:r>
              <w:rPr/>
              <w:t> </w:t>
            </w:r>
            <w:bookmarkStart w:id="524" w:name="xdx_405_eus-gaap--TaxesPayableCurrent_iI"/>
            <w:bookmarkEnd w:id="524"/>
          </w:p>
        </w:tc>
      </w:tr>
      <w:tr>
        <w:trPr/>
        <w:tc>
          <w:tcPr>
            <w:tcW w:w="4265" w:type="dxa"/>
            <w:tcBorders/>
            <w:shd w:fill="FFFFFF" w:val="clear"/>
            <w:vAlign w:val="center"/>
          </w:tcPr>
          <w:p>
            <w:pPr>
              <w:pStyle w:val="TableContents"/>
              <w:bidi w:val="0"/>
              <w:spacing w:before="0" w:after="283"/>
              <w:jc w:val="left"/>
              <w:rPr/>
            </w:pPr>
            <w:r>
              <w:rPr/>
              <w:t>Income tax payable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w:t>
            </w:r>
          </w:p>
        </w:tc>
        <w:tc>
          <w:tcPr>
            <w:tcW w:w="910" w:type="dxa"/>
            <w:tcBorders/>
            <w:shd w:fill="FFFFFF" w:val="clear"/>
            <w:vAlign w:val="center"/>
          </w:tcPr>
          <w:p>
            <w:pPr>
              <w:pStyle w:val="TableContents"/>
              <w:bidi w:val="0"/>
              <w:spacing w:before="0" w:after="283"/>
              <w:jc w:val="right"/>
              <w:rPr/>
            </w:pPr>
            <w:r>
              <w:rPr/>
              <w:t>292,166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299,563</w:t>
            </w:r>
          </w:p>
        </w:tc>
        <w:tc>
          <w:tcPr>
            <w:tcW w:w="75" w:type="dxa"/>
            <w:tcBorders/>
            <w:shd w:fill="FFFFFF" w:val="clear"/>
            <w:vAlign w:val="center"/>
          </w:tcPr>
          <w:p>
            <w:pPr>
              <w:pStyle w:val="TableContents"/>
              <w:bidi w:val="0"/>
              <w:spacing w:before="0" w:after="283"/>
              <w:jc w:val="left"/>
              <w:rPr/>
            </w:pPr>
            <w:r>
              <w:rPr/>
              <w:t> </w:t>
            </w:r>
            <w:bookmarkStart w:id="525" w:name="xdx_405_eus-gaap--AccountsPayableAndOthe"/>
            <w:bookmarkEnd w:id="525"/>
          </w:p>
        </w:tc>
      </w:tr>
      <w:tr>
        <w:trPr/>
        <w:tc>
          <w:tcPr>
            <w:tcW w:w="4265" w:type="dxa"/>
            <w:tcBorders/>
            <w:shd w:fill="EEEEEE" w:val="clear"/>
            <w:vAlign w:val="center"/>
          </w:tcPr>
          <w:p>
            <w:pPr>
              <w:pStyle w:val="TableContents"/>
              <w:bidi w:val="0"/>
              <w:spacing w:before="0" w:after="283"/>
              <w:jc w:val="left"/>
              <w:rPr/>
            </w:pPr>
            <w:r>
              <w:rPr/>
              <w:t>Other payables and accrued liabilities</w:t>
            </w:r>
          </w:p>
        </w:tc>
        <w:tc>
          <w:tcPr>
            <w:tcW w:w="60" w:type="dxa"/>
            <w:tcBorders/>
            <w:shd w:fill="EEEEEE" w:val="clear"/>
            <w:vAlign w:val="center"/>
          </w:tcPr>
          <w:p>
            <w:pPr>
              <w:pStyle w:val="TableContents"/>
              <w:bidi w:val="0"/>
              <w:spacing w:before="0" w:after="283"/>
              <w:jc w:val="left"/>
              <w:rPr/>
            </w:pPr>
            <w:r>
              <w:rPr/>
              <w:t> </w:t>
            </w:r>
          </w:p>
        </w:tc>
        <w:tc>
          <w:tcPr>
            <w:tcW w:w="159" w:type="dxa"/>
            <w:tcBorders/>
            <w:shd w:fill="EEEEEE" w:val="clear"/>
            <w:vAlign w:val="center"/>
          </w:tcPr>
          <w:p>
            <w:pPr>
              <w:pStyle w:val="TableContents"/>
              <w:bidi w:val="0"/>
              <w:spacing w:before="0" w:after="283"/>
              <w:jc w:val="left"/>
              <w:rPr/>
            </w:pPr>
            <w:r>
              <w:rPr/>
              <w:t>$</w:t>
            </w:r>
          </w:p>
        </w:tc>
        <w:tc>
          <w:tcPr>
            <w:tcW w:w="910" w:type="dxa"/>
            <w:tcBorders/>
            <w:shd w:fill="EEEEEE" w:val="clear"/>
            <w:vAlign w:val="center"/>
          </w:tcPr>
          <w:p>
            <w:pPr>
              <w:pStyle w:val="TableContents"/>
              <w:bidi w:val="0"/>
              <w:spacing w:before="0" w:after="283"/>
              <w:jc w:val="right"/>
              <w:rPr/>
            </w:pPr>
            <w:r>
              <w:rPr/>
              <w:t>291,243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188,066</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26" w:name="xdx_8A6_zTaNFQRxjp98"/>
      <w:bookmarkEnd w:id="52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of the VIE were as follows for the three and nine months ended March 31, 2023: </w:t>
      </w:r>
    </w:p>
    <w:p>
      <w:pPr>
        <w:pStyle w:val="Normal"/>
        <w:bidi w:val="0"/>
        <w:spacing w:before="0" w:after="0"/>
        <w:jc w:val="left"/>
        <w:rPr>
          <w:sz w:val="4"/>
          <w:szCs w:val="4"/>
        </w:rPr>
      </w:pPr>
      <w:r>
        <w:rPr>
          <w:sz w:val="4"/>
          <w:szCs w:val="4"/>
        </w:rPr>
      </w:r>
      <w:bookmarkStart w:id="527" w:name="xdx_890_ecustom--ScheduleOfOperatingResu"/>
      <w:bookmarkStart w:id="528" w:name="xdx_890_ecustom--ScheduleOfOperatingResu"/>
      <w:bookmarkEnd w:id="528"/>
    </w:p>
    <w:tbl>
      <w:tblPr>
        <w:tblW w:w="8233" w:type="dxa"/>
        <w:jc w:val="left"/>
        <w:tblInd w:w="0" w:type="dxa"/>
        <w:tblLayout w:type="fixed"/>
        <w:tblCellMar>
          <w:top w:w="0" w:type="dxa"/>
          <w:left w:w="0" w:type="dxa"/>
          <w:bottom w:w="0" w:type="dxa"/>
          <w:right w:w="0" w:type="dxa"/>
        </w:tblCellMar>
      </w:tblPr>
      <w:tblGrid>
        <w:gridCol w:w="5165"/>
        <w:gridCol w:w="60"/>
        <w:gridCol w:w="219"/>
        <w:gridCol w:w="1255"/>
        <w:gridCol w:w="60"/>
        <w:gridCol w:w="60"/>
        <w:gridCol w:w="167"/>
        <w:gridCol w:w="1172"/>
        <w:gridCol w:w="75"/>
      </w:tblGrid>
      <w:tr>
        <w:trPr/>
        <w:tc>
          <w:tcPr>
            <w:tcW w:w="5165" w:type="dxa"/>
            <w:tcBorders/>
            <w:vAlign w:val="center"/>
          </w:tcPr>
          <w:p>
            <w:pPr>
              <w:pStyle w:val="TableContents"/>
              <w:bidi w:val="0"/>
              <w:spacing w:before="0" w:after="283"/>
              <w:jc w:val="left"/>
              <w:rPr/>
            </w:pPr>
            <w:bookmarkStart w:id="529" w:name="xdx_8B5_zUOuZnZy5tdc"/>
            <w:bookmarkEnd w:id="529"/>
            <w:r>
              <w:rPr/>
              <w:t>Operating results of the VIE</w:t>
            </w:r>
          </w:p>
        </w:tc>
        <w:tc>
          <w:tcPr>
            <w:tcW w:w="6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bookmarkStart w:id="530" w:name="xdx_495_20230101__20230331__srt--Consoli"/>
            <w:bookmarkEnd w:id="530"/>
          </w:p>
        </w:tc>
        <w:tc>
          <w:tcPr>
            <w:tcW w:w="125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bookmarkStart w:id="531" w:name="xdx_49B_20220701_20230331_srt--Consolida"/>
            <w:bookmarkEnd w:id="531"/>
          </w:p>
        </w:tc>
        <w:tc>
          <w:tcPr>
            <w:tcW w:w="1172"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Three Months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Nine Months</w:t>
            </w:r>
          </w:p>
        </w:tc>
        <w:tc>
          <w:tcPr>
            <w:tcW w:w="75" w:type="dxa"/>
            <w:tcBorders/>
            <w:vAlign w:val="center"/>
          </w:tcPr>
          <w:p>
            <w:pPr>
              <w:pStyle w:val="TableContents"/>
              <w:bidi w:val="0"/>
              <w:spacing w:before="0" w:after="283"/>
              <w:jc w:val="left"/>
              <w:rPr/>
            </w:pPr>
            <w:r>
              <w:rPr/>
              <w:t> </w:t>
            </w:r>
            <w:bookmarkStart w:id="532" w:name="xdx_404_eus-gaap--Revenues_d0_zxr2W6wXzm"/>
            <w:bookmarkEnd w:id="532"/>
          </w:p>
        </w:tc>
      </w:tr>
      <w:tr>
        <w:trPr/>
        <w:tc>
          <w:tcPr>
            <w:tcW w:w="5165" w:type="dxa"/>
            <w:tcBorders/>
            <w:shd w:fill="EEEEEE" w:val="clear"/>
            <w:vAlign w:val="center"/>
          </w:tcPr>
          <w:p>
            <w:pPr>
              <w:pStyle w:val="TableContents"/>
              <w:bidi w:val="0"/>
              <w:spacing w:before="0" w:after="283"/>
              <w:jc w:val="left"/>
              <w:rPr/>
            </w:pPr>
            <w:r>
              <w:rPr/>
              <w:t>Revenue</w:t>
            </w:r>
          </w:p>
        </w:tc>
        <w:tc>
          <w:tcPr>
            <w:tcW w:w="60" w:type="dxa"/>
            <w:tcBorders/>
            <w:shd w:fill="EEEEEE" w:val="clear"/>
            <w:vAlign w:val="center"/>
          </w:tcPr>
          <w:p>
            <w:pPr>
              <w:pStyle w:val="TableContents"/>
              <w:bidi w:val="0"/>
              <w:spacing w:before="0" w:after="283"/>
              <w:jc w:val="left"/>
              <w:rPr/>
            </w:pPr>
            <w:r>
              <w:rPr/>
              <w:t> </w:t>
            </w:r>
          </w:p>
        </w:tc>
        <w:tc>
          <w:tcPr>
            <w:tcW w:w="219" w:type="dxa"/>
            <w:tcBorders/>
            <w:shd w:fill="EEEEEE" w:val="clear"/>
            <w:vAlign w:val="center"/>
          </w:tcPr>
          <w:p>
            <w:pPr>
              <w:pStyle w:val="TableContents"/>
              <w:bidi w:val="0"/>
              <w:spacing w:before="0" w:after="283"/>
              <w:jc w:val="left"/>
              <w:rPr/>
            </w:pPr>
            <w:r>
              <w:rPr/>
              <w:t>$</w:t>
            </w:r>
          </w:p>
        </w:tc>
        <w:tc>
          <w:tcPr>
            <w:tcW w:w="1255" w:type="dxa"/>
            <w:tcBorders/>
            <w:shd w:fill="EEEEEE" w:val="clear"/>
            <w:vAlign w:val="center"/>
          </w:tcPr>
          <w:p>
            <w:pPr>
              <w:pStyle w:val="TableContents"/>
              <w:bidi w:val="0"/>
              <w:spacing w:before="0" w:after="283"/>
              <w:jc w:val="right"/>
              <w:rPr/>
            </w:pPr>
            <w:r>
              <w:rPr/>
              <w:t>–</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7" w:type="dxa"/>
            <w:tcBorders/>
            <w:shd w:fill="EEEEEE" w:val="clear"/>
            <w:vAlign w:val="center"/>
          </w:tcPr>
          <w:p>
            <w:pPr>
              <w:pStyle w:val="TableContents"/>
              <w:bidi w:val="0"/>
              <w:spacing w:before="0" w:after="283"/>
              <w:jc w:val="left"/>
              <w:rPr/>
            </w:pPr>
            <w:r>
              <w:rPr/>
              <w:t>$</w:t>
            </w:r>
          </w:p>
        </w:tc>
        <w:tc>
          <w:tcPr>
            <w:tcW w:w="1172" w:type="dxa"/>
            <w:tcBorders/>
            <w:shd w:fill="EEEEEE" w:val="clear"/>
            <w:vAlign w:val="center"/>
          </w:tcPr>
          <w:p>
            <w:pPr>
              <w:pStyle w:val="TableContents"/>
              <w:bidi w:val="0"/>
              <w:spacing w:before="0" w:after="283"/>
              <w:jc w:val="right"/>
              <w:rPr/>
            </w:pPr>
            <w:r>
              <w:rPr/>
              <w:t>–</w:t>
            </w:r>
          </w:p>
        </w:tc>
        <w:tc>
          <w:tcPr>
            <w:tcW w:w="75" w:type="dxa"/>
            <w:tcBorders/>
            <w:shd w:fill="EEEEEE" w:val="clear"/>
            <w:vAlign w:val="center"/>
          </w:tcPr>
          <w:p>
            <w:pPr>
              <w:pStyle w:val="TableContents"/>
              <w:bidi w:val="0"/>
              <w:spacing w:before="0" w:after="283"/>
              <w:jc w:val="left"/>
              <w:rPr/>
            </w:pPr>
            <w:r>
              <w:rPr/>
              <w:t> </w:t>
            </w:r>
            <w:bookmarkStart w:id="533" w:name="xdx_40D_eus-gaap--NetIncomeLoss_iN_pp0p0"/>
            <w:bookmarkEnd w:id="533"/>
          </w:p>
        </w:tc>
      </w:tr>
      <w:tr>
        <w:trPr/>
        <w:tc>
          <w:tcPr>
            <w:tcW w:w="5165" w:type="dxa"/>
            <w:tcBorders/>
            <w:shd w:fill="FFFFFF" w:val="clear"/>
            <w:vAlign w:val="center"/>
          </w:tcPr>
          <w:p>
            <w:pPr>
              <w:pStyle w:val="TableContents"/>
              <w:bidi w:val="0"/>
              <w:spacing w:before="0" w:after="283"/>
              <w:jc w:val="left"/>
              <w:rPr/>
            </w:pPr>
            <w:r>
              <w:rPr/>
              <w:t>Net loss after elimination of intercompany transactions</w:t>
            </w:r>
          </w:p>
        </w:tc>
        <w:tc>
          <w:tcPr>
            <w:tcW w:w="60"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w:t>
            </w:r>
          </w:p>
        </w:tc>
        <w:tc>
          <w:tcPr>
            <w:tcW w:w="1255" w:type="dxa"/>
            <w:tcBorders/>
            <w:shd w:fill="FFFFFF" w:val="clear"/>
            <w:vAlign w:val="center"/>
          </w:tcPr>
          <w:p>
            <w:pPr>
              <w:pStyle w:val="TableContents"/>
              <w:bidi w:val="0"/>
              <w:spacing w:before="0" w:after="283"/>
              <w:jc w:val="right"/>
              <w:rPr/>
            </w:pPr>
            <w:r>
              <w:rPr/>
              <w:t>389,995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w:t>
            </w:r>
          </w:p>
        </w:tc>
        <w:tc>
          <w:tcPr>
            <w:tcW w:w="1172" w:type="dxa"/>
            <w:tcBorders/>
            <w:shd w:fill="FFFFFF" w:val="clear"/>
            <w:vAlign w:val="center"/>
          </w:tcPr>
          <w:p>
            <w:pPr>
              <w:pStyle w:val="TableContents"/>
              <w:bidi w:val="0"/>
              <w:spacing w:before="0" w:after="283"/>
              <w:jc w:val="right"/>
              <w:rPr/>
            </w:pPr>
            <w:r>
              <w:rPr/>
              <w:t>1,301,559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534" w:name="xdx_8A7_zDu4huaIJvZ"/>
      <w:bookmarkEnd w:id="53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March 31, 2023, the VIE contributed approximately $</w:t>
      </w:r>
      <w:bookmarkStart w:id="535" w:name="xdx_907_ecustom--RevenueBeforeConsolidat"/>
      <w:bookmarkEnd w:id="535"/>
      <w:r>
        <w:rPr>
          <w:rFonts w:ascii="Times New Roman;Times;Serif" w:hAnsi="Times New Roman;Times;Serif"/>
          <w:b w:val="false"/>
          <w:i w:val="false"/>
          <w:caps w:val="false"/>
          <w:smallCaps w:val="false"/>
          <w:sz w:val="20"/>
        </w:rPr>
        <w:t>0.7 million of revenue and $</w:t>
      </w:r>
      <w:bookmarkStart w:id="536" w:name="xdx_900_ecustom--NetIncomeLossBeforeCons"/>
      <w:bookmarkEnd w:id="536"/>
      <w:r>
        <w:rPr>
          <w:rFonts w:ascii="Times New Roman;Times;Serif" w:hAnsi="Times New Roman;Times;Serif"/>
          <w:b w:val="false"/>
          <w:i w:val="false"/>
          <w:caps w:val="false"/>
          <w:smallCaps w:val="false"/>
          <w:sz w:val="20"/>
        </w:rPr>
        <w:t>0.1 million of net loss before elimination. For the nine months ended March 31, 2023, the VIE contributed approximately $</w:t>
      </w:r>
      <w:bookmarkStart w:id="537" w:name="xdx_904_ecustom--RevenueBeforeConsolidat"/>
      <w:bookmarkEnd w:id="537"/>
      <w:r>
        <w:rPr>
          <w:rFonts w:ascii="Times New Roman;Times;Serif" w:hAnsi="Times New Roman;Times;Serif"/>
          <w:b w:val="false"/>
          <w:i w:val="false"/>
          <w:caps w:val="false"/>
          <w:smallCaps w:val="false"/>
          <w:sz w:val="20"/>
        </w:rPr>
        <w:t>5.0 million of revenue and $</w:t>
      </w:r>
      <w:bookmarkStart w:id="538" w:name="xdx_906_ecustom--NetIncomeLossBeforeCons"/>
      <w:bookmarkEnd w:id="538"/>
      <w:r>
        <w:rPr>
          <w:rFonts w:ascii="Times New Roman;Times;Serif" w:hAnsi="Times New Roman;Times;Serif"/>
          <w:b w:val="false"/>
          <w:i w:val="false"/>
          <w:caps w:val="false"/>
          <w:smallCaps w:val="false"/>
          <w:sz w:val="20"/>
        </w:rPr>
        <w:t>0.7 million of net loss before elimination.</w:t>
      </w:r>
    </w:p>
    <w:p>
      <w:pPr>
        <w:pStyle w:val="TextBody"/>
        <w:bidi w:val="0"/>
        <w:spacing w:before="0" w:after="0"/>
        <w:ind w:left="0" w:right="0" w:hanging="0"/>
        <w:jc w:val="both"/>
        <w:rPr>
          <w:caps w:val="false"/>
          <w:smallCaps w:val="false"/>
        </w:rPr>
      </w:pPr>
      <w:bookmarkStart w:id="539" w:name="xdx_8AB_zZlX4sFD4rA9"/>
      <w:bookmarkEnd w:id="539"/>
      <w:r>
        <w:rPr>
          <w:caps w:val="false"/>
          <w:smallCaps w:val="false"/>
        </w:rPr>
        <w:t> </w:t>
      </w:r>
    </w:p>
    <w:p>
      <w:pPr>
        <w:pStyle w:val="TextBody"/>
        <w:bidi w:val="0"/>
        <w:spacing w:before="0" w:after="0"/>
        <w:ind w:left="0" w:right="0" w:hanging="0"/>
        <w:jc w:val="both"/>
        <w:rPr>
          <w:caps w:val="false"/>
          <w:smallCaps w:val="false"/>
        </w:rPr>
      </w:pPr>
      <w:bookmarkStart w:id="540" w:name="xdx_232_zJLJeqga90R1"/>
      <w:bookmarkEnd w:id="540"/>
      <w:r>
        <w:rPr>
          <w:caps w:val="false"/>
          <w:smallCaps w:val="false"/>
        </w:rPr>
        <w:t> </w:t>
      </w:r>
    </w:p>
    <w:p>
      <w:pPr>
        <w:pStyle w:val="TextBody"/>
        <w:bidi w:val="0"/>
        <w:spacing w:before="0" w:after="0"/>
        <w:ind w:left="0" w:right="0" w:hanging="0"/>
        <w:jc w:val="both"/>
        <w:rPr>
          <w:caps w:val="false"/>
          <w:smallCaps w:val="false"/>
        </w:rPr>
      </w:pPr>
      <w:bookmarkStart w:id="541" w:name="xdx_236_zN1vG9jQHUnf"/>
      <w:bookmarkEnd w:id="54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bookmarkStart w:id="542" w:name="xdx_23F_zch6iQVKKVif"/>
            <w:bookmarkEnd w:id="542"/>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543" w:name="xdx_23A_zpvWA9RpnWo"/>
      <w:bookmarkEnd w:id="543"/>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544" w:name="xdx_23B_z8a0yQZ1qFS9"/>
      <w:bookmarkEnd w:id="544"/>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45" w:name="xdx_80E_eus-gaap--LoansNotesTradeAndOthe"/>
      <w:bookmarkEnd w:id="545"/>
      <w:r>
        <w:rPr>
          <w:rFonts w:ascii="Times New Roman;Times;Serif" w:hAnsi="Times New Roman;Times;Serif"/>
          <w:b/>
          <w:i w:val="false"/>
          <w:caps w:val="false"/>
          <w:smallCaps w:val="false"/>
          <w:sz w:val="20"/>
        </w:rPr>
        <w:t>Note 6 –</w:t>
      </w:r>
      <w:bookmarkStart w:id="546" w:name="xdx_829_zX4QNDd8ZSe2"/>
      <w:bookmarkEnd w:id="546"/>
      <w:r>
        <w:rPr>
          <w:rFonts w:ascii="Times New Roman;Times;Serif" w:hAnsi="Times New Roman;Times;Serif"/>
          <w:b/>
          <w:i w:val="false"/>
          <w:caps w:val="false"/>
          <w:smallCaps w:val="false"/>
          <w:sz w:val="20"/>
        </w:rPr>
        <w:t xml:space="preserve"> Accounts receivable,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for the Company consisted of the following as of the dates indicated below: </w:t>
      </w:r>
    </w:p>
    <w:p>
      <w:pPr>
        <w:pStyle w:val="Normal"/>
        <w:bidi w:val="0"/>
        <w:spacing w:before="0" w:after="0"/>
        <w:jc w:val="left"/>
        <w:rPr>
          <w:sz w:val="4"/>
          <w:szCs w:val="4"/>
        </w:rPr>
      </w:pPr>
      <w:r>
        <w:rPr>
          <w:sz w:val="4"/>
          <w:szCs w:val="4"/>
        </w:rPr>
      </w:r>
      <w:bookmarkStart w:id="547" w:name="xdx_887_eus-gaap--ScheduleOfAccountsNote"/>
      <w:bookmarkStart w:id="548" w:name="xdx_887_eus-gaap--ScheduleOfAccountsNote"/>
      <w:bookmarkEnd w:id="548"/>
    </w:p>
    <w:tbl>
      <w:tblPr>
        <w:tblW w:w="5885" w:type="dxa"/>
        <w:jc w:val="left"/>
        <w:tblInd w:w="0" w:type="dxa"/>
        <w:tblLayout w:type="fixed"/>
        <w:tblCellMar>
          <w:top w:w="0" w:type="dxa"/>
          <w:left w:w="0" w:type="dxa"/>
          <w:bottom w:w="0" w:type="dxa"/>
          <w:right w:w="0" w:type="dxa"/>
        </w:tblCellMar>
      </w:tblPr>
      <w:tblGrid>
        <w:gridCol w:w="3080"/>
        <w:gridCol w:w="60"/>
        <w:gridCol w:w="140"/>
        <w:gridCol w:w="1100"/>
        <w:gridCol w:w="95"/>
        <w:gridCol w:w="60"/>
        <w:gridCol w:w="140"/>
        <w:gridCol w:w="1100"/>
        <w:gridCol w:w="110"/>
      </w:tblGrid>
      <w:tr>
        <w:trPr/>
        <w:tc>
          <w:tcPr>
            <w:tcW w:w="3080" w:type="dxa"/>
            <w:tcBorders/>
            <w:vAlign w:val="center"/>
          </w:tcPr>
          <w:p>
            <w:pPr>
              <w:pStyle w:val="TableContents"/>
              <w:bidi w:val="0"/>
              <w:spacing w:before="0" w:after="283"/>
              <w:jc w:val="left"/>
              <w:rPr/>
            </w:pPr>
            <w:bookmarkStart w:id="549" w:name="xdx_8B5_zi3D9RhlEpEc"/>
            <w:bookmarkEnd w:id="549"/>
            <w:r>
              <w:rPr/>
              <w:t>Schedule of accounts receivable</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bookmarkStart w:id="550" w:name="xdx_497_20230331_zsSgpZKOgID6"/>
            <w:bookmarkEnd w:id="550"/>
          </w:p>
        </w:tc>
        <w:tc>
          <w:tcPr>
            <w:tcW w:w="1100" w:type="dxa"/>
            <w:tcBorders>
              <w:bottom w:val="single" w:sz="8" w:space="0" w:color="000000"/>
            </w:tcBorders>
            <w:tcMar>
              <w:bottom w:w="28" w:type="dxa"/>
            </w:tcMar>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bookmarkStart w:id="551" w:name="xdx_490_20220630"/>
            <w:bookmarkEnd w:id="551"/>
          </w:p>
        </w:tc>
        <w:tc>
          <w:tcPr>
            <w:tcW w:w="1100" w:type="dxa"/>
            <w:tcBorders>
              <w:bottom w:val="single" w:sz="8" w:space="0" w:color="000000"/>
            </w:tcBorders>
            <w:tcMar>
              <w:bottom w:w="28" w:type="dxa"/>
            </w:tcMar>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110" w:type="dxa"/>
            <w:tcBorders/>
            <w:vAlign w:val="center"/>
          </w:tcPr>
          <w:p>
            <w:pPr>
              <w:pStyle w:val="TableContents"/>
              <w:bidi w:val="0"/>
              <w:spacing w:before="0" w:after="283"/>
              <w:jc w:val="left"/>
              <w:rPr/>
            </w:pPr>
            <w:r>
              <w:rPr/>
              <w:t> </w:t>
            </w:r>
            <w:bookmarkStart w:id="552" w:name="xdx_402_eus-gaap--AccountsReceivableGros"/>
            <w:bookmarkEnd w:id="552"/>
          </w:p>
        </w:tc>
      </w:tr>
      <w:tr>
        <w:trPr/>
        <w:tc>
          <w:tcPr>
            <w:tcW w:w="3080" w:type="dxa"/>
            <w:tcBorders/>
            <w:shd w:fill="EEEEEE" w:val="clear"/>
            <w:vAlign w:val="center"/>
          </w:tcPr>
          <w:p>
            <w:pPr>
              <w:pStyle w:val="TableContents"/>
              <w:bidi w:val="0"/>
              <w:spacing w:before="0" w:after="283"/>
              <w:jc w:val="left"/>
              <w:rPr/>
            </w:pPr>
            <w:r>
              <w:rPr/>
              <w:t>Accounts receivable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15,774,882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1100" w:type="dxa"/>
            <w:tcBorders/>
            <w:shd w:fill="EEEEEE" w:val="clear"/>
            <w:vAlign w:val="center"/>
          </w:tcPr>
          <w:p>
            <w:pPr>
              <w:pStyle w:val="TableContents"/>
              <w:bidi w:val="0"/>
              <w:spacing w:before="0" w:after="283"/>
              <w:jc w:val="right"/>
              <w:rPr/>
            </w:pPr>
            <w:r>
              <w:rPr/>
              <w:t>17,502,287</w:t>
            </w:r>
          </w:p>
        </w:tc>
        <w:tc>
          <w:tcPr>
            <w:tcW w:w="110" w:type="dxa"/>
            <w:tcBorders/>
            <w:shd w:fill="EEEEEE" w:val="clear"/>
            <w:vAlign w:val="center"/>
          </w:tcPr>
          <w:p>
            <w:pPr>
              <w:pStyle w:val="TableContents"/>
              <w:bidi w:val="0"/>
              <w:spacing w:before="0" w:after="283"/>
              <w:jc w:val="left"/>
              <w:rPr/>
            </w:pPr>
            <w:r>
              <w:rPr/>
              <w:t> </w:t>
            </w:r>
            <w:bookmarkStart w:id="553" w:name="xdx_401_eus-gaap--AllowanceForDoubtfulAc"/>
            <w:bookmarkEnd w:id="553"/>
          </w:p>
        </w:tc>
      </w:tr>
      <w:tr>
        <w:trPr/>
        <w:tc>
          <w:tcPr>
            <w:tcW w:w="3080" w:type="dxa"/>
            <w:tcBorders/>
            <w:shd w:fill="FFFFFF" w:val="clear"/>
            <w:vAlign w:val="center"/>
          </w:tcPr>
          <w:p>
            <w:pPr>
              <w:pStyle w:val="TableContents"/>
              <w:bidi w:val="0"/>
              <w:spacing w:before="0" w:after="283"/>
              <w:jc w:val="left"/>
              <w:rPr/>
            </w:pPr>
            <w:r>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(70,000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(70,000</w:t>
            </w:r>
          </w:p>
        </w:tc>
        <w:tc>
          <w:tcPr>
            <w:tcW w:w="110" w:type="dxa"/>
            <w:tcBorders/>
            <w:shd w:fill="FFFFFF" w:val="clear"/>
            <w:vAlign w:val="center"/>
          </w:tcPr>
          <w:p>
            <w:pPr>
              <w:pStyle w:val="TableContents"/>
              <w:bidi w:val="0"/>
              <w:spacing w:before="0" w:after="283"/>
              <w:jc w:val="left"/>
              <w:rPr/>
            </w:pPr>
            <w:r>
              <w:rPr/>
              <w:t>)</w:t>
            </w:r>
            <w:bookmarkStart w:id="554" w:name="xdx_400_eus-gaap--AccountsReceivableNetC"/>
            <w:bookmarkEnd w:id="554"/>
          </w:p>
        </w:tc>
      </w:tr>
      <w:tr>
        <w:trPr/>
        <w:tc>
          <w:tcPr>
            <w:tcW w:w="3080" w:type="dxa"/>
            <w:tcBorders/>
            <w:shd w:fill="EEEEEE" w:val="clear"/>
            <w:vAlign w:val="center"/>
          </w:tcPr>
          <w:p>
            <w:pPr>
              <w:pStyle w:val="TableContents"/>
              <w:bidi w:val="0"/>
              <w:spacing w:before="0" w:after="283"/>
              <w:jc w:val="left"/>
              <w:rPr/>
            </w:pPr>
            <w:r>
              <w:rPr/>
              <w:t>Total accounts receivable</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15,704,882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17,432,287</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55" w:name="xdx_808_eus-gaap--InventoryDisclosureTex"/>
      <w:bookmarkEnd w:id="555"/>
      <w:r>
        <w:rPr>
          <w:rFonts w:ascii="Times New Roman;Times;Serif" w:hAnsi="Times New Roman;Times;Serif"/>
          <w:b/>
          <w:i w:val="false"/>
          <w:caps w:val="false"/>
          <w:smallCaps w:val="false"/>
          <w:sz w:val="20"/>
        </w:rPr>
        <w:t>Note 7 –</w:t>
      </w:r>
      <w:bookmarkStart w:id="556" w:name="xdx_821_zAtPWRXmGPf3"/>
      <w:bookmarkEnd w:id="556"/>
      <w:r>
        <w:rPr>
          <w:rFonts w:ascii="Times New Roman;Times;Serif" w:hAnsi="Times New Roman;Times;Serif"/>
          <w:b/>
          <w:i w:val="false"/>
          <w:caps w:val="false"/>
          <w:smallCaps w:val="false"/>
          <w:sz w:val="20"/>
        </w:rPr>
        <w:t xml:space="preserve"> Inventories,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June 30, 2022, inventories consisted of finished goods ready for sale, net of allowance for obsolescence, amounted to $</w:t>
      </w:r>
      <w:bookmarkStart w:id="557" w:name="xdx_906_eus-gaap--InventoryNet_iI_pp0p0_"/>
      <w:bookmarkEnd w:id="557"/>
      <w:r>
        <w:rPr>
          <w:rFonts w:ascii="Times New Roman;Times;Serif" w:hAnsi="Times New Roman;Times;Serif"/>
          <w:b w:val="false"/>
          <w:i w:val="false"/>
          <w:caps w:val="false"/>
          <w:smallCaps w:val="false"/>
          <w:sz w:val="20"/>
        </w:rPr>
        <w:t>19,646,934 and $</w:t>
      </w:r>
      <w:bookmarkStart w:id="558" w:name="xdx_90F_eus-gaap--InventoryNet_c20220630"/>
      <w:bookmarkEnd w:id="558"/>
      <w:r>
        <w:rPr>
          <w:rFonts w:ascii="Times New Roman;Times;Serif" w:hAnsi="Times New Roman;Times;Serif"/>
          <w:b w:val="false"/>
          <w:i w:val="false"/>
          <w:caps w:val="false"/>
          <w:smallCaps w:val="false"/>
          <w:sz w:val="20"/>
        </w:rPr>
        <w:t>30,433,766,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June 30, 2022, allowance for obsolescence was $</w:t>
      </w:r>
      <w:bookmarkStart w:id="559" w:name="xdx_905_eus-gaap--InventoryLIFOReserve_i"/>
      <w:bookmarkEnd w:id="559"/>
      <w:r>
        <w:rPr>
          <w:rFonts w:ascii="Times New Roman;Times;Serif" w:hAnsi="Times New Roman;Times;Serif"/>
          <w:b w:val="false"/>
          <w:i w:val="false"/>
          <w:caps w:val="false"/>
          <w:smallCaps w:val="false"/>
          <w:sz w:val="20"/>
        </w:rPr>
        <w:t>558,899 and $</w:t>
      </w:r>
      <w:bookmarkStart w:id="560" w:name="xdx_900_eus-gaap--InventoryLIFOReserve_c"/>
      <w:bookmarkEnd w:id="560"/>
      <w:r>
        <w:rPr>
          <w:rFonts w:ascii="Times New Roman;Times;Serif" w:hAnsi="Times New Roman;Times;Serif"/>
          <w:b w:val="false"/>
          <w:i w:val="false"/>
          <w:caps w:val="false"/>
          <w:smallCaps w:val="false"/>
          <w:sz w:val="20"/>
        </w:rPr>
        <w:t>320,000,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61" w:name="xdx_80D_ecustom--DeferredCostsPrepaidAnd"/>
      <w:bookmarkEnd w:id="561"/>
      <w:r>
        <w:rPr>
          <w:rFonts w:ascii="Times New Roman;Times;Serif" w:hAnsi="Times New Roman;Times;Serif"/>
          <w:b/>
          <w:i w:val="false"/>
          <w:caps w:val="false"/>
          <w:smallCaps w:val="false"/>
          <w:sz w:val="20"/>
        </w:rPr>
        <w:t>Note 8 –</w:t>
      </w:r>
      <w:bookmarkStart w:id="562" w:name="xdx_821_zY7BIgK5FwLj"/>
      <w:bookmarkEnd w:id="562"/>
      <w:r>
        <w:rPr>
          <w:rFonts w:ascii="Times New Roman;Times;Serif" w:hAnsi="Times New Roman;Times;Serif"/>
          <w:b/>
          <w:i w:val="false"/>
          <w:caps w:val="false"/>
          <w:smallCaps w:val="false"/>
          <w:sz w:val="20"/>
        </w:rPr>
        <w:t xml:space="preserve"> Prepayments and other current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June 30, 2022, prepayments and other current assets consisted of the following: </w:t>
      </w:r>
    </w:p>
    <w:p>
      <w:pPr>
        <w:pStyle w:val="Normal"/>
        <w:bidi w:val="0"/>
        <w:spacing w:before="0" w:after="0"/>
        <w:jc w:val="left"/>
        <w:rPr>
          <w:sz w:val="4"/>
          <w:szCs w:val="4"/>
        </w:rPr>
      </w:pPr>
      <w:r>
        <w:rPr>
          <w:sz w:val="4"/>
          <w:szCs w:val="4"/>
        </w:rPr>
      </w:r>
      <w:bookmarkStart w:id="563" w:name="xdx_880_eus-gaap--DeferredCostsCapitaliz"/>
      <w:bookmarkStart w:id="564" w:name="xdx_880_eus-gaap--DeferredCostsCapitaliz"/>
      <w:bookmarkEnd w:id="564"/>
    </w:p>
    <w:tbl>
      <w:tblPr>
        <w:tblW w:w="7180" w:type="dxa"/>
        <w:jc w:val="left"/>
        <w:tblInd w:w="0" w:type="dxa"/>
        <w:tblLayout w:type="fixed"/>
        <w:tblCellMar>
          <w:top w:w="0" w:type="dxa"/>
          <w:left w:w="0" w:type="dxa"/>
          <w:bottom w:w="0" w:type="dxa"/>
          <w:right w:w="0" w:type="dxa"/>
        </w:tblCellMar>
      </w:tblPr>
      <w:tblGrid>
        <w:gridCol w:w="4685"/>
        <w:gridCol w:w="60"/>
        <w:gridCol w:w="140"/>
        <w:gridCol w:w="980"/>
        <w:gridCol w:w="60"/>
        <w:gridCol w:w="60"/>
        <w:gridCol w:w="140"/>
        <w:gridCol w:w="980"/>
        <w:gridCol w:w="75"/>
      </w:tblGrid>
      <w:tr>
        <w:trPr/>
        <w:tc>
          <w:tcPr>
            <w:tcW w:w="4685" w:type="dxa"/>
            <w:tcBorders/>
            <w:vAlign w:val="center"/>
          </w:tcPr>
          <w:p>
            <w:pPr>
              <w:pStyle w:val="TableContents"/>
              <w:bidi w:val="0"/>
              <w:spacing w:before="0" w:after="283"/>
              <w:jc w:val="left"/>
              <w:rPr/>
            </w:pPr>
            <w:bookmarkStart w:id="565" w:name="xdx_8B9_zJTCsi01PFOi"/>
            <w:bookmarkEnd w:id="565"/>
            <w:r>
              <w:rPr/>
              <w:t>Schedule of prepayments and other current assets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4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Advance to suppliers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566" w:name="xdx_98B_eus-gaap--PrepaidExpenseAndOther"/>
            <w:bookmarkEnd w:id="566"/>
          </w:p>
        </w:tc>
        <w:tc>
          <w:tcPr>
            <w:tcW w:w="980" w:type="dxa"/>
            <w:tcBorders/>
            <w:shd w:fill="EEEEEE" w:val="clear"/>
            <w:vAlign w:val="center"/>
          </w:tcPr>
          <w:p>
            <w:pPr>
              <w:pStyle w:val="TableContents"/>
              <w:bidi w:val="0"/>
              <w:spacing w:before="0" w:after="283"/>
              <w:jc w:val="right"/>
              <w:rPr/>
            </w:pPr>
            <w:r>
              <w:rPr/>
              <w:t>1,650,804</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567" w:name="xdx_985_eus-gaap--PrepaidExpenseAndOther"/>
            <w:bookmarkEnd w:id="567"/>
          </w:p>
        </w:tc>
        <w:tc>
          <w:tcPr>
            <w:tcW w:w="980" w:type="dxa"/>
            <w:tcBorders/>
            <w:shd w:fill="EEEEEE" w:val="clear"/>
            <w:vAlign w:val="center"/>
          </w:tcPr>
          <w:p>
            <w:pPr>
              <w:pStyle w:val="TableContents"/>
              <w:bidi w:val="0"/>
              <w:spacing w:before="0" w:after="283"/>
              <w:jc w:val="right"/>
              <w:rPr/>
            </w:pPr>
            <w:r>
              <w:rPr/>
              <w:t>3,938,881</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Prepaid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68" w:name="xdx_98B_eus-gaap--PrepaidExpenseAndOther"/>
            <w:bookmarkEnd w:id="568"/>
          </w:p>
        </w:tc>
        <w:tc>
          <w:tcPr>
            <w:tcW w:w="980" w:type="dxa"/>
            <w:tcBorders/>
            <w:shd w:fill="FFFFFF" w:val="clear"/>
            <w:vAlign w:val="center"/>
          </w:tcPr>
          <w:p>
            <w:pPr>
              <w:pStyle w:val="TableContents"/>
              <w:bidi w:val="0"/>
              <w:spacing w:before="0" w:after="283"/>
              <w:jc w:val="right"/>
              <w:rPr/>
            </w:pPr>
            <w:r>
              <w:rPr/>
              <w:t>152,040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bookmarkStart w:id="569" w:name="xdx_98A_eus-gaap--PrepaidExpenseAndOther"/>
            <w:bookmarkEnd w:id="569"/>
          </w:p>
        </w:tc>
        <w:tc>
          <w:tcPr>
            <w:tcW w:w="980" w:type="dxa"/>
            <w:tcBorders/>
            <w:shd w:fill="FFFFFF" w:val="clear"/>
            <w:vAlign w:val="center"/>
          </w:tcPr>
          <w:p>
            <w:pPr>
              <w:pStyle w:val="TableContents"/>
              <w:bidi w:val="0"/>
              <w:spacing w:before="0" w:after="283"/>
              <w:jc w:val="right"/>
              <w:rPr/>
            </w:pPr>
            <w:r>
              <w:rPr/>
              <w:t>375,087</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Prepaid expenses and other receivables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570" w:name="xdx_981_eus-gaap--PrepaidExpenseAndOther"/>
            <w:bookmarkEnd w:id="570"/>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1,667,323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bookmarkStart w:id="571" w:name="xdx_982_eus-gaap--PrepaidExpenseAndOther"/>
            <w:bookmarkEnd w:id="571"/>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1,130,495</w:t>
            </w:r>
          </w:p>
        </w:tc>
        <w:tc>
          <w:tcPr>
            <w:tcW w:w="75" w:type="dxa"/>
            <w:tcBorders/>
            <w:shd w:fill="EEEEEE" w:val="clear"/>
            <w:vAlign w:val="center"/>
          </w:tcPr>
          <w:p>
            <w:pPr>
              <w:pStyle w:val="TableContents"/>
              <w:bidi w:val="0"/>
              <w:spacing w:before="0" w:after="283"/>
              <w:jc w:val="left"/>
              <w:rPr/>
            </w:pPr>
            <w:r>
              <w:rPr/>
              <w:t> </w:t>
            </w:r>
          </w:p>
        </w:tc>
      </w:tr>
      <w:tr>
        <w:trPr/>
        <w:tc>
          <w:tcPr>
            <w:tcW w:w="4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4685" w:type="dxa"/>
            <w:tcBorders/>
            <w:shd w:fill="EEEEEE" w:val="clear"/>
            <w:vAlign w:val="center"/>
          </w:tcPr>
          <w:p>
            <w:pPr>
              <w:pStyle w:val="TableContents"/>
              <w:bidi w:val="0"/>
              <w:spacing w:before="0" w:after="283"/>
              <w:jc w:val="left"/>
              <w:rPr/>
            </w:pPr>
            <w:r>
              <w:rPr/>
              <w:t>Total</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72" w:name="xdx_98D_eus-gaap--PrepaidExpenseAndOther"/>
            <w:bookmarkEnd w:id="572"/>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3,470,167</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573" w:name="xdx_982_eus-gaap--PrepaidExpenseAndOther"/>
            <w:bookmarkEnd w:id="573"/>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5,444,463</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receivables consisted of delivery fees of $</w:t>
      </w:r>
      <w:bookmarkStart w:id="574" w:name="xdx_908_ecustom--DeliveryFeesReceivable_"/>
      <w:bookmarkEnd w:id="574"/>
      <w:r>
        <w:rPr>
          <w:rFonts w:ascii="Times New Roman;Times;Serif" w:hAnsi="Times New Roman;Times;Serif"/>
          <w:b w:val="false"/>
          <w:i w:val="false"/>
          <w:caps w:val="false"/>
          <w:smallCaps w:val="false"/>
          <w:sz w:val="20"/>
        </w:rPr>
        <w:t>146,840 and $</w:t>
      </w:r>
      <w:bookmarkStart w:id="575" w:name="xdx_908_ecustom--DeliveryFeesReceivable_"/>
      <w:bookmarkEnd w:id="575"/>
      <w:r>
        <w:rPr>
          <w:rFonts w:ascii="Times New Roman;Times;Serif" w:hAnsi="Times New Roman;Times;Serif"/>
          <w:b w:val="false"/>
          <w:i w:val="false"/>
          <w:caps w:val="false"/>
          <w:smallCaps w:val="false"/>
          <w:sz w:val="20"/>
        </w:rPr>
        <w:t>56,884 from two unrelated parties for their use of the Company’s courier accounts at March 31, 2023 and June 30, 2022. As of the date of this report, the amount had been fully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76" w:name="xdx_805_ecustom--NoncurerntPrepaymentTex"/>
      <w:bookmarkEnd w:id="576"/>
      <w:r>
        <w:rPr>
          <w:rFonts w:ascii="Times New Roman;Times;Serif" w:hAnsi="Times New Roman;Times;Serif"/>
          <w:b/>
          <w:i w:val="false"/>
          <w:caps w:val="false"/>
          <w:smallCaps w:val="false"/>
          <w:sz w:val="20"/>
        </w:rPr>
        <w:t xml:space="preserve">Note 9 – </w:t>
      </w:r>
      <w:bookmarkStart w:id="577" w:name="xdx_82D_z2u3p8IRVFf4"/>
      <w:bookmarkEnd w:id="577"/>
      <w:r>
        <w:rPr>
          <w:rFonts w:ascii="Times New Roman;Times;Serif" w:hAnsi="Times New Roman;Times;Serif"/>
          <w:b/>
          <w:i w:val="false"/>
          <w:caps w:val="false"/>
          <w:smallCaps w:val="false"/>
          <w:sz w:val="20"/>
        </w:rPr>
        <w:t>Non-current prepayments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prepayments included payments made for product sourcing, marketing research and promotion, and other management advisory and consulting services to companies owned by an employee and minority shareholder and by relatives of a minority shareholder of the Company. The terms of these services are from two years to five years. In addition, there was a down payment on a four-year car lease. As of March 31, 2023 and June 30, 2022, total non-current prepayments were $</w:t>
      </w:r>
      <w:bookmarkStart w:id="578" w:name="xdx_901_ecustom--NoncurrentPrepayments_i"/>
      <w:bookmarkEnd w:id="578"/>
      <w:r>
        <w:rPr>
          <w:rFonts w:ascii="Times New Roman;Times;Serif" w:hAnsi="Times New Roman;Times;Serif"/>
          <w:b w:val="false"/>
          <w:i w:val="false"/>
          <w:caps w:val="false"/>
          <w:smallCaps w:val="false"/>
          <w:sz w:val="20"/>
        </w:rPr>
        <w:t>601,873 and $</w:t>
      </w:r>
      <w:bookmarkStart w:id="579" w:name="xdx_90C_ecustom--NoncurrentPrepayments_c"/>
      <w:bookmarkEnd w:id="579"/>
      <w:r>
        <w:rPr>
          <w:rFonts w:ascii="Times New Roman;Times;Serif" w:hAnsi="Times New Roman;Times;Serif"/>
          <w:b w:val="false"/>
          <w:i w:val="false"/>
          <w:caps w:val="false"/>
          <w:smallCaps w:val="false"/>
          <w:sz w:val="20"/>
        </w:rPr>
        <w:t>925,624, respectively. For the three and nine months ended March 31, 2023, the Company recorded $</w:t>
      </w:r>
      <w:bookmarkStart w:id="580" w:name="xdx_90A_eus-gaap--AdjustmentForAmortizat"/>
      <w:bookmarkEnd w:id="580"/>
      <w:r>
        <w:rPr>
          <w:rFonts w:ascii="Times New Roman;Times;Serif" w:hAnsi="Times New Roman;Times;Serif"/>
          <w:b w:val="false"/>
          <w:i w:val="false"/>
          <w:caps w:val="false"/>
          <w:smallCaps w:val="false"/>
          <w:sz w:val="20"/>
        </w:rPr>
        <w:t>107,917 and $</w:t>
      </w:r>
      <w:bookmarkStart w:id="581" w:name="xdx_90C_eus-gaap--AdjustmentForAmortizat"/>
      <w:bookmarkEnd w:id="581"/>
      <w:r>
        <w:rPr>
          <w:rFonts w:ascii="Times New Roman;Times;Serif" w:hAnsi="Times New Roman;Times;Serif"/>
          <w:b w:val="false"/>
          <w:i w:val="false"/>
          <w:caps w:val="false"/>
          <w:smallCaps w:val="false"/>
          <w:sz w:val="20"/>
        </w:rPr>
        <w:t>323,751 amortization of prepayments in the operating expenses, respectively. For the three and nine months ended March 31, 2022, the Company recorded $</w:t>
      </w:r>
      <w:bookmarkStart w:id="582" w:name="xdx_902_eus-gaap--AdjustmentForAmortizat"/>
      <w:bookmarkEnd w:id="582"/>
      <w:r>
        <w:rPr>
          <w:rFonts w:ascii="Times New Roman;Times;Serif" w:hAnsi="Times New Roman;Times;Serif"/>
          <w:b w:val="false"/>
          <w:i w:val="false"/>
          <w:caps w:val="false"/>
          <w:smallCaps w:val="false"/>
          <w:sz w:val="20"/>
        </w:rPr>
        <w:t>107,917 and $</w:t>
      </w:r>
      <w:bookmarkStart w:id="583" w:name="xdx_906_eus-gaap--AdjustmentForAmortizat"/>
      <w:bookmarkEnd w:id="583"/>
      <w:r>
        <w:rPr>
          <w:rFonts w:ascii="Times New Roman;Times;Serif" w:hAnsi="Times New Roman;Times;Serif"/>
          <w:b w:val="false"/>
          <w:i w:val="false"/>
          <w:caps w:val="false"/>
          <w:smallCaps w:val="false"/>
          <w:sz w:val="20"/>
        </w:rPr>
        <w:t>323,751 amortization of prepayments in the operating expenses,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584" w:name="xdx_233_zymteOe9d7f5"/>
      <w:bookmarkEnd w:id="584"/>
      <w:r>
        <w:rPr>
          <w:caps w:val="false"/>
          <w:smallCaps w:val="false"/>
        </w:rPr>
        <w:t> </w:t>
      </w:r>
    </w:p>
    <w:p>
      <w:pPr>
        <w:pStyle w:val="TextBody"/>
        <w:bidi w:val="0"/>
        <w:spacing w:before="0" w:after="0"/>
        <w:ind w:left="0" w:right="0" w:hanging="0"/>
        <w:jc w:val="both"/>
        <w:rPr>
          <w:caps w:val="false"/>
          <w:smallCaps w:val="false"/>
        </w:rPr>
      </w:pPr>
      <w:bookmarkStart w:id="585" w:name="xdx_237_zsV3vOAV7asa"/>
      <w:bookmarkEnd w:id="585"/>
      <w:r>
        <w:rPr>
          <w:caps w:val="false"/>
          <w:smallCaps w:val="false"/>
        </w:rPr>
        <w:t> </w:t>
      </w:r>
    </w:p>
    <w:p>
      <w:pPr>
        <w:pStyle w:val="Normal"/>
        <w:bidi w:val="0"/>
        <w:spacing w:before="0" w:after="0"/>
        <w:ind w:left="0" w:right="0" w:hanging="0"/>
        <w:jc w:val="left"/>
        <w:rPr>
          <w:sz w:val="4"/>
          <w:szCs w:val="4"/>
        </w:rPr>
      </w:pPr>
      <w:r>
        <w:rPr>
          <w:sz w:val="4"/>
          <w:szCs w:val="4"/>
        </w:rPr>
      </w:r>
      <w:bookmarkStart w:id="586" w:name="xdx_23C_zFonpIHtVDuf"/>
      <w:bookmarkStart w:id="587" w:name="xdx_238_zYekXiE4yDKb"/>
      <w:bookmarkStart w:id="588" w:name="xdx_23C_zFonpIHtVDuf"/>
      <w:bookmarkStart w:id="589" w:name="xdx_238_zYekXiE4yDKb"/>
      <w:bookmarkEnd w:id="588"/>
      <w:bookmarkEnd w:id="589"/>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bookmarkStart w:id="590" w:name="xdx_239_znjl4raT9YFd"/>
            <w:bookmarkEnd w:id="590"/>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591" w:name="xdx_233_zmGm4TXmviig"/>
      <w:bookmarkEnd w:id="591"/>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592" w:name="xdx_23F_zoaGA5tA6Tw"/>
      <w:bookmarkEnd w:id="59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593" w:name="xdx_806_eus-gaap--IntangibleAssetsDisclo"/>
      <w:bookmarkEnd w:id="593"/>
      <w:r>
        <w:rPr>
          <w:rFonts w:ascii="Times New Roman;Times;Serif" w:hAnsi="Times New Roman;Times;Serif"/>
          <w:b/>
          <w:i w:val="false"/>
          <w:caps w:val="false"/>
          <w:smallCaps w:val="false"/>
          <w:sz w:val="20"/>
        </w:rPr>
        <w:t>Note 10 –</w:t>
      </w:r>
      <w:bookmarkStart w:id="594" w:name="xdx_828_zgNODr25Xi9b"/>
      <w:bookmarkEnd w:id="594"/>
      <w:r>
        <w:rPr>
          <w:rFonts w:ascii="Times New Roman;Times;Serif" w:hAnsi="Times New Roman;Times;Serif"/>
          <w:b/>
          <w:i w:val="false"/>
          <w:caps w:val="false"/>
          <w:smallCaps w:val="false"/>
          <w:sz w:val="20"/>
        </w:rPr>
        <w:t xml:space="preserve">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June 30, 2022, intangible assets, net, consisted of the following: </w:t>
      </w:r>
    </w:p>
    <w:p>
      <w:pPr>
        <w:pStyle w:val="Normal"/>
        <w:bidi w:val="0"/>
        <w:spacing w:before="0" w:after="0"/>
        <w:ind w:left="0" w:right="0" w:hanging="0"/>
        <w:jc w:val="left"/>
        <w:rPr>
          <w:sz w:val="4"/>
          <w:szCs w:val="4"/>
        </w:rPr>
      </w:pPr>
      <w:r>
        <w:rPr>
          <w:sz w:val="4"/>
          <w:szCs w:val="4"/>
        </w:rPr>
      </w:r>
      <w:bookmarkStart w:id="595" w:name="xdx_88C_eus-gaap--ScheduleOfFiniteLivedI"/>
      <w:bookmarkStart w:id="596" w:name="xdx_88C_eus-gaap--ScheduleOfFiniteLivedI"/>
      <w:bookmarkEnd w:id="596"/>
    </w:p>
    <w:tbl>
      <w:tblPr>
        <w:tblW w:w="5903" w:type="dxa"/>
        <w:jc w:val="left"/>
        <w:tblInd w:w="0" w:type="dxa"/>
        <w:tblLayout w:type="fixed"/>
        <w:tblCellMar>
          <w:top w:w="0" w:type="dxa"/>
          <w:left w:w="0" w:type="dxa"/>
          <w:bottom w:w="0" w:type="dxa"/>
          <w:right w:w="0" w:type="dxa"/>
        </w:tblCellMar>
      </w:tblPr>
      <w:tblGrid>
        <w:gridCol w:w="2810"/>
        <w:gridCol w:w="60"/>
        <w:gridCol w:w="169"/>
        <w:gridCol w:w="1185"/>
        <w:gridCol w:w="95"/>
        <w:gridCol w:w="60"/>
        <w:gridCol w:w="176"/>
        <w:gridCol w:w="1238"/>
        <w:gridCol w:w="110"/>
      </w:tblGrid>
      <w:tr>
        <w:trPr/>
        <w:tc>
          <w:tcPr>
            <w:tcW w:w="2810" w:type="dxa"/>
            <w:tcBorders/>
            <w:vAlign w:val="center"/>
          </w:tcPr>
          <w:p>
            <w:pPr>
              <w:pStyle w:val="TableContents"/>
              <w:bidi w:val="0"/>
              <w:spacing w:before="0" w:after="283"/>
              <w:jc w:val="left"/>
              <w:rPr/>
            </w:pPr>
            <w:bookmarkStart w:id="597" w:name="xdx_8B3_z8roL6sPzg3l"/>
            <w:bookmarkEnd w:id="597"/>
            <w:r>
              <w:rPr/>
              <w:t>Schedule of intangible assets </w:t>
            </w:r>
          </w:p>
        </w:tc>
        <w:tc>
          <w:tcPr>
            <w:tcW w:w="60" w:type="dxa"/>
            <w:tcBorders/>
            <w:vAlign w:val="center"/>
          </w:tcPr>
          <w:p>
            <w:pPr>
              <w:pStyle w:val="TableContents"/>
              <w:bidi w:val="0"/>
              <w:spacing w:before="0" w:after="283"/>
              <w:jc w:val="left"/>
              <w:rPr/>
            </w:pPr>
            <w:r>
              <w:rPr/>
              <w:t> </w:t>
            </w:r>
          </w:p>
        </w:tc>
        <w:tc>
          <w:tcPr>
            <w:tcW w:w="169" w:type="dxa"/>
            <w:tcBorders/>
            <w:vAlign w:val="center"/>
          </w:tcPr>
          <w:p>
            <w:pPr>
              <w:pStyle w:val="TableContents"/>
              <w:bidi w:val="0"/>
              <w:spacing w:before="0" w:after="283"/>
              <w:jc w:val="left"/>
              <w:rPr/>
            </w:pPr>
            <w:r>
              <w:rPr/>
              <w:t> </w:t>
            </w:r>
          </w:p>
        </w:tc>
        <w:tc>
          <w:tcPr>
            <w:tcW w:w="1185"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pPr>
            <w:r>
              <w:rPr/>
              <w:t> </w:t>
            </w:r>
          </w:p>
        </w:tc>
        <w:tc>
          <w:tcPr>
            <w:tcW w:w="1238" w:type="dxa"/>
            <w:tcBorders/>
            <w:vAlign w:val="center"/>
          </w:tcPr>
          <w:p>
            <w:pPr>
              <w:pStyle w:val="TableContents"/>
              <w:bidi w:val="0"/>
              <w:spacing w:before="0" w:after="283"/>
              <w:jc w:val="right"/>
              <w:rPr/>
            </w:pPr>
            <w:r>
              <w:rPr/>
              <w:t> </w:t>
            </w:r>
          </w:p>
        </w:tc>
        <w:tc>
          <w:tcPr>
            <w:tcW w:w="11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March 31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2022</w:t>
            </w:r>
          </w:p>
        </w:tc>
        <w:tc>
          <w:tcPr>
            <w:tcW w:w="110" w:type="dxa"/>
            <w:tcBorders/>
            <w:vAlign w:val="center"/>
          </w:tcPr>
          <w:p>
            <w:pPr>
              <w:pStyle w:val="TableContents"/>
              <w:bidi w:val="0"/>
              <w:spacing w:before="0" w:after="283"/>
              <w:jc w:val="left"/>
              <w:rPr/>
            </w:pPr>
            <w:r>
              <w:rPr/>
              <w:t> </w:t>
            </w:r>
          </w:p>
        </w:tc>
      </w:tr>
      <w:tr>
        <w:trPr/>
        <w:tc>
          <w:tcPr>
            <w:tcW w:w="2810" w:type="dxa"/>
            <w:tcBorders/>
            <w:shd w:fill="EEEEEE" w:val="clear"/>
            <w:vAlign w:val="center"/>
          </w:tcPr>
          <w:p>
            <w:pPr>
              <w:pStyle w:val="TableContents"/>
              <w:bidi w:val="0"/>
              <w:spacing w:before="0" w:after="283"/>
              <w:jc w:val="left"/>
              <w:rPr/>
            </w:pPr>
            <w:r>
              <w:rPr/>
              <w:t>Covenant not to compete</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w:t>
            </w:r>
            <w:bookmarkStart w:id="598" w:name="xdx_985_eus-gaap--FiniteLivedIntangibleA"/>
            <w:bookmarkEnd w:id="598"/>
          </w:p>
        </w:tc>
        <w:tc>
          <w:tcPr>
            <w:tcW w:w="1185" w:type="dxa"/>
            <w:tcBorders/>
            <w:shd w:fill="EEEEEE" w:val="clear"/>
            <w:vAlign w:val="center"/>
          </w:tcPr>
          <w:p>
            <w:pPr>
              <w:pStyle w:val="TableContents"/>
              <w:bidi w:val="0"/>
              <w:spacing w:before="0" w:after="283"/>
              <w:jc w:val="right"/>
              <w:rPr/>
            </w:pPr>
            <w:r>
              <w:rPr/>
              <w:t>3,459,120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bookmarkStart w:id="599" w:name="xdx_989_eus-gaap--FiniteLivedIntangibleA"/>
            <w:bookmarkEnd w:id="599"/>
          </w:p>
        </w:tc>
        <w:tc>
          <w:tcPr>
            <w:tcW w:w="1238" w:type="dxa"/>
            <w:tcBorders/>
            <w:shd w:fill="EEEEEE" w:val="clear"/>
            <w:vAlign w:val="center"/>
          </w:tcPr>
          <w:p>
            <w:pPr>
              <w:pStyle w:val="TableContents"/>
              <w:bidi w:val="0"/>
              <w:spacing w:before="0" w:after="283"/>
              <w:jc w:val="right"/>
              <w:rPr/>
            </w:pPr>
            <w:r>
              <w:rPr/>
              <w:t>3,459,120</w:t>
            </w:r>
          </w:p>
        </w:tc>
        <w:tc>
          <w:tcPr>
            <w:tcW w:w="110" w:type="dxa"/>
            <w:tcBorders/>
            <w:shd w:fill="EEEEEE"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Supplier relationships</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bookmarkStart w:id="600" w:name="xdx_988_eus-gaap--FiniteLivedIntangibleA"/>
            <w:bookmarkEnd w:id="600"/>
          </w:p>
        </w:tc>
        <w:tc>
          <w:tcPr>
            <w:tcW w:w="1185" w:type="dxa"/>
            <w:tcBorders/>
            <w:shd w:fill="FFFFFF" w:val="clear"/>
            <w:vAlign w:val="center"/>
          </w:tcPr>
          <w:p>
            <w:pPr>
              <w:pStyle w:val="TableContents"/>
              <w:bidi w:val="0"/>
              <w:spacing w:before="0" w:after="283"/>
              <w:jc w:val="right"/>
              <w:rPr/>
            </w:pPr>
            <w:r>
              <w:rPr/>
              <w:t>1,179,246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bookmarkStart w:id="601" w:name="xdx_989_eus-gaap--FiniteLivedIntangibleA"/>
            <w:bookmarkEnd w:id="601"/>
          </w:p>
        </w:tc>
        <w:tc>
          <w:tcPr>
            <w:tcW w:w="1238" w:type="dxa"/>
            <w:tcBorders/>
            <w:shd w:fill="FFFFFF" w:val="clear"/>
            <w:vAlign w:val="center"/>
          </w:tcPr>
          <w:p>
            <w:pPr>
              <w:pStyle w:val="TableContents"/>
              <w:bidi w:val="0"/>
              <w:spacing w:before="0" w:after="283"/>
              <w:jc w:val="right"/>
              <w:rPr/>
            </w:pPr>
            <w:r>
              <w:rPr/>
              <w:t>1,179,246</w:t>
            </w:r>
          </w:p>
        </w:tc>
        <w:tc>
          <w:tcPr>
            <w:tcW w:w="110" w:type="dxa"/>
            <w:tcBorders/>
            <w:shd w:fill="FFFFFF" w:val="clear"/>
            <w:vAlign w:val="center"/>
          </w:tcPr>
          <w:p>
            <w:pPr>
              <w:pStyle w:val="TableContents"/>
              <w:bidi w:val="0"/>
              <w:spacing w:before="0" w:after="283"/>
              <w:jc w:val="left"/>
              <w:rPr/>
            </w:pPr>
            <w:r>
              <w:rPr/>
              <w:t> </w:t>
            </w:r>
          </w:p>
        </w:tc>
      </w:tr>
      <w:tr>
        <w:trPr/>
        <w:tc>
          <w:tcPr>
            <w:tcW w:w="2810" w:type="dxa"/>
            <w:tcBorders/>
            <w:shd w:fill="EEEEEE" w:val="clear"/>
            <w:vAlign w:val="center"/>
          </w:tcPr>
          <w:p>
            <w:pPr>
              <w:pStyle w:val="TableContents"/>
              <w:bidi w:val="0"/>
              <w:spacing w:before="0" w:after="283"/>
              <w:jc w:val="left"/>
              <w:rPr/>
            </w:pPr>
            <w:r>
              <w:rPr/>
              <w:t>Software</w:t>
            </w:r>
          </w:p>
        </w:tc>
        <w:tc>
          <w:tcPr>
            <w:tcW w:w="60" w:type="dxa"/>
            <w:tcBorders/>
            <w:shd w:fill="EEEEEE" w:val="clear"/>
            <w:vAlign w:val="center"/>
          </w:tcPr>
          <w:p>
            <w:pPr>
              <w:pStyle w:val="TableContents"/>
              <w:bidi w:val="0"/>
              <w:spacing w:before="0" w:after="283"/>
              <w:jc w:val="left"/>
              <w:rPr/>
            </w:pPr>
            <w:r>
              <w:rPr/>
              <w:t> </w:t>
            </w:r>
          </w:p>
        </w:tc>
        <w:tc>
          <w:tcPr>
            <w:tcW w:w="169" w:type="dxa"/>
            <w:tcBorders/>
            <w:shd w:fill="EEEEEE" w:val="clear"/>
            <w:vAlign w:val="center"/>
          </w:tcPr>
          <w:p>
            <w:pPr>
              <w:pStyle w:val="TableContents"/>
              <w:bidi w:val="0"/>
              <w:spacing w:before="0" w:after="283"/>
              <w:jc w:val="left"/>
              <w:rPr/>
            </w:pPr>
            <w:r>
              <w:rPr/>
              <w:t> </w:t>
            </w:r>
            <w:bookmarkStart w:id="602" w:name="xdx_984_eus-gaap--FiniteLivedIntangibleA"/>
            <w:bookmarkEnd w:id="602"/>
          </w:p>
        </w:tc>
        <w:tc>
          <w:tcPr>
            <w:tcW w:w="1185" w:type="dxa"/>
            <w:tcBorders/>
            <w:shd w:fill="EEEEEE" w:val="clear"/>
            <w:vAlign w:val="center"/>
          </w:tcPr>
          <w:p>
            <w:pPr>
              <w:pStyle w:val="TableContents"/>
              <w:bidi w:val="0"/>
              <w:spacing w:before="0" w:after="283"/>
              <w:jc w:val="right"/>
              <w:rPr/>
            </w:pPr>
            <w:r>
              <w:rPr/>
              <w:t>534,591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bookmarkStart w:id="603" w:name="xdx_981_eus-gaap--FiniteLivedIntangibleA"/>
            <w:bookmarkEnd w:id="603"/>
          </w:p>
        </w:tc>
        <w:tc>
          <w:tcPr>
            <w:tcW w:w="1238" w:type="dxa"/>
            <w:tcBorders/>
            <w:shd w:fill="EEEEEE" w:val="clear"/>
            <w:vAlign w:val="center"/>
          </w:tcPr>
          <w:p>
            <w:pPr>
              <w:pStyle w:val="TableContents"/>
              <w:bidi w:val="0"/>
              <w:spacing w:before="0" w:after="283"/>
              <w:jc w:val="right"/>
              <w:rPr/>
            </w:pPr>
            <w:r>
              <w:rPr/>
              <w:t>534,591</w:t>
            </w:r>
          </w:p>
        </w:tc>
        <w:tc>
          <w:tcPr>
            <w:tcW w:w="110" w:type="dxa"/>
            <w:tcBorders/>
            <w:shd w:fill="EEEEEE"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283"/>
              <w:jc w:val="left"/>
              <w:rPr/>
            </w:pPr>
            <w:r>
              <w:rPr/>
              <w:t>Accumulated amortization</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4" w:name="xdx_981_eus-gaap--FiniteLivedIntangibleA"/>
            <w:bookmarkEnd w:id="604"/>
          </w:p>
        </w:tc>
        <w:tc>
          <w:tcPr>
            <w:tcW w:w="1185" w:type="dxa"/>
            <w:tcBorders>
              <w:bottom w:val="single" w:sz="8" w:space="0" w:color="000000"/>
            </w:tcBorders>
            <w:shd w:fill="FFFFFF" w:val="clear"/>
            <w:tcMar>
              <w:bottom w:w="28" w:type="dxa"/>
            </w:tcMar>
            <w:vAlign w:val="center"/>
          </w:tcPr>
          <w:p>
            <w:pPr>
              <w:pStyle w:val="TableContents"/>
              <w:bidi w:val="0"/>
              <w:spacing w:before="0" w:after="283"/>
              <w:jc w:val="right"/>
              <w:rPr/>
            </w:pPr>
            <w:r>
              <w:rPr/>
              <w:t>(730,543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605" w:name="xdx_988_eus-gaap--FiniteLivedIntangibleA"/>
            <w:bookmarkEnd w:id="605"/>
          </w:p>
        </w:tc>
        <w:tc>
          <w:tcPr>
            <w:tcW w:w="1238" w:type="dxa"/>
            <w:tcBorders>
              <w:bottom w:val="single" w:sz="8" w:space="0" w:color="000000"/>
            </w:tcBorders>
            <w:shd w:fill="FFFFFF" w:val="clear"/>
            <w:tcMar>
              <w:bottom w:w="28" w:type="dxa"/>
            </w:tcMar>
            <w:vAlign w:val="center"/>
          </w:tcPr>
          <w:p>
            <w:pPr>
              <w:pStyle w:val="TableContents"/>
              <w:bidi w:val="0"/>
              <w:spacing w:before="0" w:after="283"/>
              <w:jc w:val="right"/>
              <w:rPr/>
            </w:pPr>
            <w:r>
              <w:rPr/>
              <w:t>(243,515</w:t>
            </w:r>
          </w:p>
        </w:tc>
        <w:tc>
          <w:tcPr>
            <w:tcW w:w="110" w:type="dxa"/>
            <w:tcBorders/>
            <w:shd w:fill="FFFFFF" w:val="clear"/>
            <w:vAlign w:val="center"/>
          </w:tcPr>
          <w:p>
            <w:pPr>
              <w:pStyle w:val="TableContents"/>
              <w:bidi w:val="0"/>
              <w:spacing w:before="0" w:after="283"/>
              <w:jc w:val="left"/>
              <w:rPr/>
            </w:pPr>
            <w:r>
              <w:rPr/>
              <w:t>)</w:t>
            </w:r>
          </w:p>
        </w:tc>
      </w:tr>
      <w:tr>
        <w:trPr/>
        <w:tc>
          <w:tcPr>
            <w:tcW w:w="2810" w:type="dxa"/>
            <w:tcBorders/>
            <w:shd w:fill="EEEEEE" w:val="clear"/>
            <w:vAlign w:val="center"/>
          </w:tcPr>
          <w:p>
            <w:pPr>
              <w:pStyle w:val="TableContents"/>
              <w:bidi w:val="0"/>
              <w:spacing w:before="0" w:after="283"/>
              <w:jc w:val="left"/>
              <w:rPr/>
            </w:pPr>
            <w:r>
              <w:rPr/>
              <w:t>Total</w:t>
            </w:r>
          </w:p>
        </w:tc>
        <w:tc>
          <w:tcPr>
            <w:tcW w:w="60" w:type="dxa"/>
            <w:tcBorders/>
            <w:shd w:fill="EEEEEE" w:val="clear"/>
            <w:vAlign w:val="center"/>
          </w:tcPr>
          <w:p>
            <w:pPr>
              <w:pStyle w:val="TableContents"/>
              <w:bidi w:val="0"/>
              <w:spacing w:before="0" w:after="283"/>
              <w:jc w:val="left"/>
              <w:rPr/>
            </w:pPr>
            <w:r>
              <w:rPr/>
              <w:t> </w:t>
            </w:r>
          </w:p>
        </w:tc>
        <w:tc>
          <w:tcPr>
            <w:tcW w:w="16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606" w:name="xdx_985_eus-gaap--FiniteLivedIntangibleA"/>
            <w:bookmarkEnd w:id="606"/>
          </w:p>
        </w:tc>
        <w:tc>
          <w:tcPr>
            <w:tcW w:w="1185" w:type="dxa"/>
            <w:tcBorders>
              <w:bottom w:val="double" w:sz="6" w:space="0" w:color="000000"/>
            </w:tcBorders>
            <w:shd w:fill="EEEEEE" w:val="clear"/>
            <w:tcMar>
              <w:bottom w:w="28" w:type="dxa"/>
            </w:tcMar>
            <w:vAlign w:val="center"/>
          </w:tcPr>
          <w:p>
            <w:pPr>
              <w:pStyle w:val="TableContents"/>
              <w:bidi w:val="0"/>
              <w:spacing w:before="0" w:after="283"/>
              <w:jc w:val="right"/>
              <w:rPr/>
            </w:pPr>
            <w:r>
              <w:rPr/>
              <w:t>4,442,414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7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bookmarkStart w:id="607" w:name="xdx_981_eus-gaap--FiniteLivedIntangibleA"/>
            <w:bookmarkEnd w:id="607"/>
          </w:p>
        </w:tc>
        <w:tc>
          <w:tcPr>
            <w:tcW w:w="1238" w:type="dxa"/>
            <w:tcBorders>
              <w:bottom w:val="double" w:sz="6" w:space="0" w:color="000000"/>
            </w:tcBorders>
            <w:shd w:fill="EEEEEE" w:val="clear"/>
            <w:tcMar>
              <w:bottom w:w="28" w:type="dxa"/>
            </w:tcMar>
            <w:vAlign w:val="center"/>
          </w:tcPr>
          <w:p>
            <w:pPr>
              <w:pStyle w:val="TableContents"/>
              <w:bidi w:val="0"/>
              <w:spacing w:before="0" w:after="283"/>
              <w:jc w:val="right"/>
              <w:rPr/>
            </w:pPr>
            <w:r>
              <w:rPr/>
              <w:t>4,929,442</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608" w:name="xdx_8A9_zBrSPfjatd0f"/>
      <w:bookmarkEnd w:id="60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intangible assets were acquired on February 15, 2022 through the acquisition of Anivia. The weighted average remaining life for finite-lived intangible assets at March 31, 2023 was approximately </w:t>
      </w:r>
      <w:bookmarkStart w:id="609" w:name="xdx_90C_eus-gaap--FiniteLivedIntangibleA"/>
      <w:bookmarkEnd w:id="609"/>
      <w:r>
        <w:rPr>
          <w:rFonts w:ascii="Times New Roman;Times;Serif" w:hAnsi="Times New Roman;Times;Serif"/>
          <w:b w:val="false"/>
          <w:i w:val="false"/>
          <w:caps w:val="false"/>
          <w:smallCaps w:val="false"/>
          <w:sz w:val="20"/>
        </w:rPr>
        <w:t>7.45 years. The amortization expense for the three and nine months ended March 31, 2023 was $</w:t>
      </w:r>
      <w:bookmarkStart w:id="610" w:name="xdx_90F_eus-gaap--AmortizationOfIntangib"/>
      <w:bookmarkEnd w:id="610"/>
      <w:r>
        <w:rPr>
          <w:rFonts w:ascii="Times New Roman;Times;Serif" w:hAnsi="Times New Roman;Times;Serif"/>
          <w:b w:val="false"/>
          <w:i w:val="false"/>
          <w:caps w:val="false"/>
          <w:smallCaps w:val="false"/>
          <w:sz w:val="20"/>
        </w:rPr>
        <w:t>162,343 and $</w:t>
      </w:r>
      <w:bookmarkStart w:id="611" w:name="xdx_90F_eus-gaap--AmortizationOfIntangib"/>
      <w:bookmarkEnd w:id="611"/>
      <w:r>
        <w:rPr>
          <w:rFonts w:ascii="Times New Roman;Times;Serif" w:hAnsi="Times New Roman;Times;Serif"/>
          <w:b w:val="false"/>
          <w:i w:val="false"/>
          <w:caps w:val="false"/>
          <w:smallCaps w:val="false"/>
          <w:sz w:val="20"/>
        </w:rPr>
        <w:t>487,028, respectively. The amortization expense for the three and nine months ended March 31, 2022 was $</w:t>
      </w:r>
      <w:bookmarkStart w:id="612" w:name="xdx_90D_eus-gaap--AmortizationOfIntangib"/>
      <w:bookmarkEnd w:id="612"/>
      <w:r>
        <w:rPr>
          <w:rFonts w:ascii="Times New Roman;Times;Serif" w:hAnsi="Times New Roman;Times;Serif"/>
          <w:b w:val="false"/>
          <w:i w:val="false"/>
          <w:caps w:val="false"/>
          <w:smallCaps w:val="false"/>
          <w:sz w:val="20"/>
        </w:rPr>
        <w:t>81,171 and $</w:t>
      </w:r>
      <w:bookmarkStart w:id="613" w:name="xdx_900_eus-gaap--AmortizationOfIntangib"/>
      <w:bookmarkEnd w:id="613"/>
      <w:r>
        <w:rPr>
          <w:rFonts w:ascii="Times New Roman;Times;Serif" w:hAnsi="Times New Roman;Times;Serif"/>
          <w:b w:val="false"/>
          <w:i w:val="false"/>
          <w:caps w:val="false"/>
          <w:smallCaps w:val="false"/>
          <w:sz w:val="20"/>
        </w:rPr>
        <w:t>81,171, respectively. At March 31, 2023, finite-lived intangible assets are expected to be amortized over their estimated useful lives, which ranges from a period of five to 10 years, and the estimated remaining amortization expense for each of the five succeeding years thereafter is as follows: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614" w:name="xdx_890_eus-gaap--ScheduleofFiniteLivedI"/>
      <w:bookmarkStart w:id="615" w:name="xdx_890_eus-gaap--ScheduleofFiniteLivedI"/>
      <w:bookmarkEnd w:id="615"/>
    </w:p>
    <w:tbl>
      <w:tblPr>
        <w:tblW w:w="4260" w:type="dxa"/>
        <w:jc w:val="left"/>
        <w:tblInd w:w="0" w:type="dxa"/>
        <w:tblLayout w:type="fixed"/>
        <w:tblCellMar>
          <w:top w:w="0" w:type="dxa"/>
          <w:left w:w="0" w:type="dxa"/>
          <w:bottom w:w="0" w:type="dxa"/>
          <w:right w:w="0" w:type="dxa"/>
        </w:tblCellMar>
      </w:tblPr>
      <w:tblGrid>
        <w:gridCol w:w="3005"/>
        <w:gridCol w:w="60"/>
        <w:gridCol w:w="140"/>
        <w:gridCol w:w="980"/>
        <w:gridCol w:w="75"/>
      </w:tblGrid>
      <w:tr>
        <w:trPr/>
        <w:tc>
          <w:tcPr>
            <w:tcW w:w="3005" w:type="dxa"/>
            <w:tcBorders/>
            <w:vAlign w:val="center"/>
          </w:tcPr>
          <w:p>
            <w:pPr>
              <w:pStyle w:val="TableContents"/>
              <w:bidi w:val="0"/>
              <w:spacing w:before="0" w:after="283"/>
              <w:jc w:val="left"/>
              <w:rPr/>
            </w:pPr>
            <w:bookmarkStart w:id="616" w:name="xdx_8B8_zlzGOZ4ri688"/>
            <w:bookmarkEnd w:id="616"/>
            <w:r>
              <w:rPr/>
              <w:t>Schedule of future amortization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617" w:name="xdx_49F_20230331_zAzBKFt3wmF5"/>
            <w:bookmarkEnd w:id="617"/>
          </w:p>
        </w:tc>
        <w:tc>
          <w:tcPr>
            <w:tcW w:w="98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005" w:type="dxa"/>
            <w:tcBorders>
              <w:bottom w:val="single" w:sz="8" w:space="0" w:color="000000"/>
            </w:tcBorders>
            <w:tcMar>
              <w:bottom w:w="28" w:type="dxa"/>
            </w:tcMar>
            <w:vAlign w:val="center"/>
          </w:tcPr>
          <w:p>
            <w:pPr>
              <w:pStyle w:val="TableContents"/>
              <w:bidi w:val="0"/>
              <w:spacing w:before="0" w:after="283"/>
              <w:jc w:val="left"/>
              <w:rPr>
                <w:b/>
              </w:rPr>
            </w:pPr>
            <w:r>
              <w:rPr>
                <w:b/>
              </w:rPr>
              <w:t>Year Ending June 30,</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75" w:type="dxa"/>
            <w:tcBorders/>
            <w:vAlign w:val="center"/>
          </w:tcPr>
          <w:p>
            <w:pPr>
              <w:pStyle w:val="TableContents"/>
              <w:bidi w:val="0"/>
              <w:spacing w:before="0" w:after="283"/>
              <w:jc w:val="left"/>
              <w:rPr/>
            </w:pPr>
            <w:r>
              <w:rPr/>
              <w:t> </w:t>
            </w:r>
            <w:bookmarkStart w:id="618" w:name="xdx_406_eus-gaap--FiniteLivedIntangibleA"/>
            <w:bookmarkEnd w:id="618"/>
          </w:p>
        </w:tc>
      </w:tr>
      <w:tr>
        <w:trPr/>
        <w:tc>
          <w:tcPr>
            <w:tcW w:w="3005" w:type="dxa"/>
            <w:tcBorders/>
            <w:shd w:fill="EEEEEE" w:val="clear"/>
            <w:vAlign w:val="center"/>
          </w:tcPr>
          <w:p>
            <w:pPr>
              <w:pStyle w:val="TableContents"/>
              <w:bidi w:val="0"/>
              <w:spacing w:before="0" w:after="283"/>
              <w:jc w:val="left"/>
              <w:rPr/>
            </w:pPr>
            <w:r>
              <w:rPr/>
              <w:t>2023</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162,343</w:t>
            </w:r>
          </w:p>
        </w:tc>
        <w:tc>
          <w:tcPr>
            <w:tcW w:w="75" w:type="dxa"/>
            <w:tcBorders/>
            <w:shd w:fill="EEEEEE" w:val="clear"/>
            <w:vAlign w:val="center"/>
          </w:tcPr>
          <w:p>
            <w:pPr>
              <w:pStyle w:val="TableContents"/>
              <w:bidi w:val="0"/>
              <w:spacing w:before="0" w:after="283"/>
              <w:jc w:val="left"/>
              <w:rPr/>
            </w:pPr>
            <w:r>
              <w:rPr/>
              <w:t> </w:t>
            </w:r>
            <w:bookmarkStart w:id="619" w:name="xdx_409_eus-gaap--FiniteLivedIntangibleA"/>
            <w:bookmarkEnd w:id="619"/>
          </w:p>
        </w:tc>
      </w:tr>
      <w:tr>
        <w:trPr/>
        <w:tc>
          <w:tcPr>
            <w:tcW w:w="3005" w:type="dxa"/>
            <w:tcBorders/>
            <w:shd w:fill="FFFFFF" w:val="clear"/>
            <w:vAlign w:val="center"/>
          </w:tcPr>
          <w:p>
            <w:pPr>
              <w:pStyle w:val="TableContents"/>
              <w:bidi w:val="0"/>
              <w:spacing w:before="0" w:after="283"/>
              <w:jc w:val="left"/>
              <w:rPr/>
            </w:pPr>
            <w:r>
              <w:rPr/>
              <w:t>2024</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649,371</w:t>
            </w:r>
          </w:p>
        </w:tc>
        <w:tc>
          <w:tcPr>
            <w:tcW w:w="75" w:type="dxa"/>
            <w:tcBorders/>
            <w:shd w:fill="FFFFFF" w:val="clear"/>
            <w:vAlign w:val="center"/>
          </w:tcPr>
          <w:p>
            <w:pPr>
              <w:pStyle w:val="TableContents"/>
              <w:bidi w:val="0"/>
              <w:spacing w:before="0" w:after="283"/>
              <w:jc w:val="left"/>
              <w:rPr/>
            </w:pPr>
            <w:r>
              <w:rPr/>
              <w:t> </w:t>
            </w:r>
            <w:bookmarkStart w:id="620" w:name="xdx_402_eus-gaap--FiniteLivedIntangibleA"/>
            <w:bookmarkEnd w:id="620"/>
          </w:p>
        </w:tc>
      </w:tr>
      <w:tr>
        <w:trPr/>
        <w:tc>
          <w:tcPr>
            <w:tcW w:w="3005" w:type="dxa"/>
            <w:tcBorders/>
            <w:shd w:fill="EEEEEE" w:val="clear"/>
            <w:vAlign w:val="center"/>
          </w:tcPr>
          <w:p>
            <w:pPr>
              <w:pStyle w:val="TableContents"/>
              <w:bidi w:val="0"/>
              <w:spacing w:before="0" w:after="283"/>
              <w:jc w:val="left"/>
              <w:rPr/>
            </w:pPr>
            <w:r>
              <w:rPr/>
              <w:t>2025</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649,371</w:t>
            </w:r>
          </w:p>
        </w:tc>
        <w:tc>
          <w:tcPr>
            <w:tcW w:w="75" w:type="dxa"/>
            <w:tcBorders/>
            <w:shd w:fill="EEEEEE" w:val="clear"/>
            <w:vAlign w:val="center"/>
          </w:tcPr>
          <w:p>
            <w:pPr>
              <w:pStyle w:val="TableContents"/>
              <w:bidi w:val="0"/>
              <w:spacing w:before="0" w:after="283"/>
              <w:jc w:val="left"/>
              <w:rPr/>
            </w:pPr>
            <w:r>
              <w:rPr/>
              <w:t> </w:t>
            </w:r>
            <w:bookmarkStart w:id="621" w:name="xdx_400_eus-gaap--FiniteLivedIntangibleA"/>
            <w:bookmarkEnd w:id="621"/>
          </w:p>
        </w:tc>
      </w:tr>
      <w:tr>
        <w:trPr/>
        <w:tc>
          <w:tcPr>
            <w:tcW w:w="3005" w:type="dxa"/>
            <w:tcBorders/>
            <w:shd w:fill="FFFFFF" w:val="clear"/>
            <w:vAlign w:val="center"/>
          </w:tcPr>
          <w:p>
            <w:pPr>
              <w:pStyle w:val="TableContents"/>
              <w:bidi w:val="0"/>
              <w:spacing w:before="0" w:after="283"/>
              <w:jc w:val="left"/>
              <w:rPr/>
            </w:pPr>
            <w:r>
              <w:rPr/>
              <w:t>2026</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649,371</w:t>
            </w:r>
          </w:p>
        </w:tc>
        <w:tc>
          <w:tcPr>
            <w:tcW w:w="75" w:type="dxa"/>
            <w:tcBorders/>
            <w:shd w:fill="FFFFFF" w:val="clear"/>
            <w:vAlign w:val="center"/>
          </w:tcPr>
          <w:p>
            <w:pPr>
              <w:pStyle w:val="TableContents"/>
              <w:bidi w:val="0"/>
              <w:spacing w:before="0" w:after="283"/>
              <w:jc w:val="left"/>
              <w:rPr/>
            </w:pPr>
            <w:r>
              <w:rPr/>
              <w:t> </w:t>
            </w:r>
            <w:bookmarkStart w:id="622" w:name="xdx_405_eus-gaap--FiniteLivedIntangibleA"/>
            <w:bookmarkEnd w:id="622"/>
          </w:p>
        </w:tc>
      </w:tr>
      <w:tr>
        <w:trPr/>
        <w:tc>
          <w:tcPr>
            <w:tcW w:w="3005" w:type="dxa"/>
            <w:tcBorders/>
            <w:shd w:fill="EEEEEE" w:val="clear"/>
            <w:vAlign w:val="center"/>
          </w:tcPr>
          <w:p>
            <w:pPr>
              <w:pStyle w:val="TableContents"/>
              <w:bidi w:val="0"/>
              <w:spacing w:before="0" w:after="283"/>
              <w:jc w:val="left"/>
              <w:rPr/>
            </w:pPr>
            <w:r>
              <w:rPr/>
              <w:t>2027</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649,371</w:t>
            </w:r>
          </w:p>
        </w:tc>
        <w:tc>
          <w:tcPr>
            <w:tcW w:w="75" w:type="dxa"/>
            <w:tcBorders/>
            <w:shd w:fill="EEEEEE" w:val="clear"/>
            <w:vAlign w:val="center"/>
          </w:tcPr>
          <w:p>
            <w:pPr>
              <w:pStyle w:val="TableContents"/>
              <w:bidi w:val="0"/>
              <w:spacing w:before="0" w:after="283"/>
              <w:jc w:val="left"/>
              <w:rPr/>
            </w:pPr>
            <w:r>
              <w:rPr/>
              <w:t> </w:t>
            </w:r>
            <w:bookmarkStart w:id="623" w:name="xdx_40B_eus-gaap--FiniteLivedIntangibleA"/>
            <w:bookmarkEnd w:id="623"/>
          </w:p>
        </w:tc>
      </w:tr>
      <w:tr>
        <w:trPr/>
        <w:tc>
          <w:tcPr>
            <w:tcW w:w="3005" w:type="dxa"/>
            <w:tcBorders/>
            <w:shd w:fill="FFFFFF" w:val="clear"/>
            <w:vAlign w:val="center"/>
          </w:tcPr>
          <w:p>
            <w:pPr>
              <w:pStyle w:val="TableContents"/>
              <w:bidi w:val="0"/>
              <w:spacing w:before="0" w:after="283"/>
              <w:jc w:val="left"/>
              <w:rPr/>
            </w:pPr>
            <w:r>
              <w:rPr/>
              <w:t>Thereafter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1,682,587</w:t>
            </w:r>
          </w:p>
        </w:tc>
        <w:tc>
          <w:tcPr>
            <w:tcW w:w="75" w:type="dxa"/>
            <w:tcBorders/>
            <w:shd w:fill="FFFFFF" w:val="clear"/>
            <w:vAlign w:val="center"/>
          </w:tcPr>
          <w:p>
            <w:pPr>
              <w:pStyle w:val="TableContents"/>
              <w:bidi w:val="0"/>
              <w:spacing w:before="0" w:after="283"/>
              <w:jc w:val="left"/>
              <w:rPr/>
            </w:pPr>
            <w:r>
              <w:rPr/>
              <w:t> </w:t>
            </w:r>
            <w:bookmarkStart w:id="624" w:name="xdx_409_eus-gaap--FiniteLivedIntangibleA"/>
            <w:bookmarkEnd w:id="624"/>
          </w:p>
        </w:tc>
      </w:tr>
      <w:tr>
        <w:trPr/>
        <w:tc>
          <w:tcPr>
            <w:tcW w:w="3005" w:type="dxa"/>
            <w:tcBorders/>
            <w:shd w:fill="EEEEEE" w:val="clear"/>
            <w:vAlign w:val="center"/>
          </w:tcPr>
          <w:p>
            <w:pPr>
              <w:pStyle w:val="TableContents"/>
              <w:bidi w:val="0"/>
              <w:spacing w:before="0" w:after="283"/>
              <w:jc w:val="left"/>
              <w:rPr/>
            </w:pPr>
            <w:r>
              <w:rPr/>
              <w:t>Intangible assets, net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4,442,414</w:t>
            </w:r>
          </w:p>
        </w:tc>
        <w:tc>
          <w:tcPr>
            <w:tcW w:w="75" w:type="dxa"/>
            <w:tcBorders/>
            <w:shd w:fill="EEEEEE"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both"/>
        <w:rPr>
          <w:caps w:val="false"/>
          <w:smallCaps w:val="false"/>
        </w:rPr>
      </w:pPr>
      <w:bookmarkStart w:id="625" w:name="xdx_8AF_z33awnQdTE6f"/>
      <w:bookmarkEnd w:id="625"/>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26" w:name="xdx_808_eus-gaap--AccountsPayableAndAccr"/>
      <w:bookmarkEnd w:id="626"/>
      <w:r>
        <w:rPr>
          <w:rFonts w:ascii="Times New Roman;Times;Serif" w:hAnsi="Times New Roman;Times;Serif"/>
          <w:b/>
          <w:i w:val="false"/>
          <w:caps w:val="false"/>
          <w:smallCaps w:val="false"/>
          <w:sz w:val="20"/>
        </w:rPr>
        <w:t>Note 11 –</w:t>
      </w:r>
      <w:bookmarkStart w:id="627" w:name="xdx_826_zHPvFGkt6oHj"/>
      <w:bookmarkEnd w:id="627"/>
      <w:r>
        <w:rPr>
          <w:rFonts w:ascii="Times New Roman;Times;Serif" w:hAnsi="Times New Roman;Times;Serif"/>
          <w:b/>
          <w:i w:val="false"/>
          <w:caps w:val="false"/>
          <w:smallCaps w:val="false"/>
          <w:sz w:val="20"/>
        </w:rPr>
        <w:t xml:space="preserve"> Other payables and accrued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June 30, 2022, other payables and accrued liabilities consisted of the following: </w:t>
      </w:r>
    </w:p>
    <w:p>
      <w:pPr>
        <w:pStyle w:val="Normal"/>
        <w:bidi w:val="0"/>
        <w:spacing w:before="0" w:after="0"/>
        <w:jc w:val="left"/>
        <w:rPr>
          <w:sz w:val="4"/>
          <w:szCs w:val="4"/>
        </w:rPr>
      </w:pPr>
      <w:r>
        <w:rPr>
          <w:sz w:val="4"/>
          <w:szCs w:val="4"/>
        </w:rPr>
      </w:r>
      <w:bookmarkStart w:id="628" w:name="xdx_88A_eus-gaap--ScheduleOfAccountsPaya"/>
      <w:bookmarkStart w:id="629" w:name="xdx_88A_eus-gaap--ScheduleOfAccountsPaya"/>
      <w:bookmarkEnd w:id="629"/>
    </w:p>
    <w:tbl>
      <w:tblPr>
        <w:tblW w:w="7435" w:type="dxa"/>
        <w:jc w:val="left"/>
        <w:tblInd w:w="0" w:type="dxa"/>
        <w:tblLayout w:type="fixed"/>
        <w:tblCellMar>
          <w:top w:w="0" w:type="dxa"/>
          <w:left w:w="0" w:type="dxa"/>
          <w:bottom w:w="0" w:type="dxa"/>
          <w:right w:w="0" w:type="dxa"/>
        </w:tblCellMar>
      </w:tblPr>
      <w:tblGrid>
        <w:gridCol w:w="4940"/>
        <w:gridCol w:w="60"/>
        <w:gridCol w:w="140"/>
        <w:gridCol w:w="980"/>
        <w:gridCol w:w="60"/>
        <w:gridCol w:w="60"/>
        <w:gridCol w:w="140"/>
        <w:gridCol w:w="980"/>
        <w:gridCol w:w="75"/>
      </w:tblGrid>
      <w:tr>
        <w:trPr/>
        <w:tc>
          <w:tcPr>
            <w:tcW w:w="4940" w:type="dxa"/>
            <w:tcBorders/>
            <w:vAlign w:val="center"/>
          </w:tcPr>
          <w:p>
            <w:pPr>
              <w:pStyle w:val="TableContents"/>
              <w:bidi w:val="0"/>
              <w:spacing w:before="0" w:after="283"/>
              <w:jc w:val="left"/>
              <w:rPr/>
            </w:pPr>
            <w:bookmarkStart w:id="630" w:name="xdx_8B5_zOS9DvWCxHX7"/>
            <w:bookmarkEnd w:id="630"/>
            <w:r>
              <w:rPr/>
              <w:t>Schedule of accounts payable and accrued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631" w:name="xdx_498_20230331_zHidpA9o5KD6"/>
            <w:bookmarkEnd w:id="631"/>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632" w:name="xdx_496_20220630_z7CoWEnj7Akj"/>
            <w:bookmarkEnd w:id="632"/>
          </w:p>
        </w:tc>
        <w:tc>
          <w:tcPr>
            <w:tcW w:w="98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2022</w:t>
            </w:r>
          </w:p>
        </w:tc>
        <w:tc>
          <w:tcPr>
            <w:tcW w:w="75" w:type="dxa"/>
            <w:tcBorders/>
            <w:vAlign w:val="center"/>
          </w:tcPr>
          <w:p>
            <w:pPr>
              <w:pStyle w:val="TableContents"/>
              <w:bidi w:val="0"/>
              <w:spacing w:before="0" w:after="283"/>
              <w:jc w:val="left"/>
              <w:rPr/>
            </w:pPr>
            <w:r>
              <w:rPr/>
              <w:t> </w:t>
            </w:r>
            <w:bookmarkStart w:id="633" w:name="xdx_40F_ecustom--AccruedPayablesForInven"/>
            <w:bookmarkEnd w:id="633"/>
          </w:p>
        </w:tc>
      </w:tr>
      <w:tr>
        <w:trPr/>
        <w:tc>
          <w:tcPr>
            <w:tcW w:w="4940" w:type="dxa"/>
            <w:tcBorders/>
            <w:shd w:fill="EEEEEE" w:val="clear"/>
            <w:vAlign w:val="center"/>
          </w:tcPr>
          <w:p>
            <w:pPr>
              <w:pStyle w:val="TableContents"/>
              <w:bidi w:val="0"/>
              <w:spacing w:before="0" w:after="283"/>
              <w:jc w:val="left"/>
              <w:rPr/>
            </w:pPr>
            <w:r>
              <w:rPr/>
              <w:t>Accrued payables for inventory in transit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968,026</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980" w:type="dxa"/>
            <w:tcBorders/>
            <w:shd w:fill="EEEEEE" w:val="clear"/>
            <w:vAlign w:val="center"/>
          </w:tcPr>
          <w:p>
            <w:pPr>
              <w:pStyle w:val="TableContents"/>
              <w:bidi w:val="0"/>
              <w:spacing w:before="0" w:after="283"/>
              <w:jc w:val="right"/>
              <w:rPr/>
            </w:pPr>
            <w:r>
              <w:rPr/>
              <w:t>4,217,941</w:t>
            </w:r>
          </w:p>
        </w:tc>
        <w:tc>
          <w:tcPr>
            <w:tcW w:w="75" w:type="dxa"/>
            <w:tcBorders/>
            <w:shd w:fill="EEEEEE" w:val="clear"/>
            <w:vAlign w:val="center"/>
          </w:tcPr>
          <w:p>
            <w:pPr>
              <w:pStyle w:val="TableContents"/>
              <w:bidi w:val="0"/>
              <w:spacing w:before="0" w:after="283"/>
              <w:jc w:val="left"/>
              <w:rPr/>
            </w:pPr>
            <w:r>
              <w:rPr/>
              <w:t> </w:t>
            </w:r>
            <w:bookmarkStart w:id="634" w:name="xdx_40F_ecustom--AccruedAmazonFees_iI_pp"/>
            <w:bookmarkEnd w:id="634"/>
          </w:p>
        </w:tc>
      </w:tr>
      <w:tr>
        <w:trPr/>
        <w:tc>
          <w:tcPr>
            <w:tcW w:w="4940" w:type="dxa"/>
            <w:tcBorders/>
            <w:shd w:fill="FFFFFF" w:val="clear"/>
            <w:vAlign w:val="center"/>
          </w:tcPr>
          <w:p>
            <w:pPr>
              <w:pStyle w:val="TableContents"/>
              <w:bidi w:val="0"/>
              <w:spacing w:before="0" w:after="283"/>
              <w:jc w:val="left"/>
              <w:rPr/>
            </w:pPr>
            <w:r>
              <w:rPr/>
              <w:t>Accrued Amazon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653,666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640,467</w:t>
            </w:r>
          </w:p>
        </w:tc>
        <w:tc>
          <w:tcPr>
            <w:tcW w:w="75" w:type="dxa"/>
            <w:tcBorders/>
            <w:shd w:fill="FFFFFF" w:val="clear"/>
            <w:vAlign w:val="center"/>
          </w:tcPr>
          <w:p>
            <w:pPr>
              <w:pStyle w:val="TableContents"/>
              <w:bidi w:val="0"/>
              <w:spacing w:before="0" w:after="283"/>
              <w:jc w:val="left"/>
              <w:rPr/>
            </w:pPr>
            <w:r>
              <w:rPr/>
              <w:t> </w:t>
            </w:r>
            <w:bookmarkStart w:id="635" w:name="xdx_404_eus-gaap--SalesAndExciseTaxPayab"/>
            <w:bookmarkEnd w:id="635"/>
          </w:p>
        </w:tc>
      </w:tr>
      <w:tr>
        <w:trPr/>
        <w:tc>
          <w:tcPr>
            <w:tcW w:w="4940" w:type="dxa"/>
            <w:tcBorders/>
            <w:shd w:fill="EEEEEE" w:val="clear"/>
            <w:vAlign w:val="center"/>
          </w:tcPr>
          <w:p>
            <w:pPr>
              <w:pStyle w:val="TableContents"/>
              <w:bidi w:val="0"/>
              <w:spacing w:before="0" w:after="283"/>
              <w:jc w:val="left"/>
              <w:rPr/>
            </w:pPr>
            <w:r>
              <w:rPr/>
              <w:t>Sales taxes payable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479,431</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307,152</w:t>
            </w:r>
          </w:p>
        </w:tc>
        <w:tc>
          <w:tcPr>
            <w:tcW w:w="75" w:type="dxa"/>
            <w:tcBorders/>
            <w:shd w:fill="EEEEEE" w:val="clear"/>
            <w:vAlign w:val="center"/>
          </w:tcPr>
          <w:p>
            <w:pPr>
              <w:pStyle w:val="TableContents"/>
              <w:bidi w:val="0"/>
              <w:spacing w:before="0" w:after="283"/>
              <w:jc w:val="left"/>
              <w:rPr/>
            </w:pPr>
            <w:r>
              <w:rPr/>
              <w:t> </w:t>
            </w:r>
            <w:bookmarkStart w:id="636" w:name="xdx_406_eus-gaap--AccruedPayrollTaxesCur"/>
            <w:bookmarkEnd w:id="636"/>
          </w:p>
        </w:tc>
      </w:tr>
      <w:tr>
        <w:trPr/>
        <w:tc>
          <w:tcPr>
            <w:tcW w:w="4940" w:type="dxa"/>
            <w:tcBorders/>
            <w:shd w:fill="FFFFFF" w:val="clear"/>
            <w:vAlign w:val="center"/>
          </w:tcPr>
          <w:p>
            <w:pPr>
              <w:pStyle w:val="TableContents"/>
              <w:bidi w:val="0"/>
              <w:spacing w:before="0" w:after="283"/>
              <w:jc w:val="left"/>
              <w:rPr/>
            </w:pPr>
            <w:r>
              <w:rPr/>
              <w:t>Payroll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137,034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239,248</w:t>
            </w:r>
          </w:p>
        </w:tc>
        <w:tc>
          <w:tcPr>
            <w:tcW w:w="75" w:type="dxa"/>
            <w:tcBorders/>
            <w:shd w:fill="FFFFFF" w:val="clear"/>
            <w:vAlign w:val="center"/>
          </w:tcPr>
          <w:p>
            <w:pPr>
              <w:pStyle w:val="TableContents"/>
              <w:bidi w:val="0"/>
              <w:spacing w:before="0" w:after="283"/>
              <w:jc w:val="left"/>
              <w:rPr/>
            </w:pPr>
            <w:r>
              <w:rPr/>
              <w:t> </w:t>
            </w:r>
            <w:bookmarkStart w:id="637" w:name="xdx_40C_ecustom--OtherAccruedLiabilities"/>
            <w:bookmarkEnd w:id="637"/>
          </w:p>
        </w:tc>
      </w:tr>
      <w:tr>
        <w:trPr/>
        <w:tc>
          <w:tcPr>
            <w:tcW w:w="4940" w:type="dxa"/>
            <w:tcBorders/>
            <w:shd w:fill="EEEEEE" w:val="clear"/>
            <w:vAlign w:val="center"/>
          </w:tcPr>
          <w:p>
            <w:pPr>
              <w:pStyle w:val="TableContents"/>
              <w:bidi w:val="0"/>
              <w:spacing w:before="0" w:after="283"/>
              <w:jc w:val="left"/>
              <w:rPr/>
            </w:pPr>
            <w:r>
              <w:rPr/>
              <w:t>Other accrued liabilities and payables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203,948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EEEEEE" w:val="clear"/>
            <w:tcMar>
              <w:bottom w:w="28" w:type="dxa"/>
            </w:tcMar>
            <w:vAlign w:val="center"/>
          </w:tcPr>
          <w:p>
            <w:pPr>
              <w:pStyle w:val="TableContents"/>
              <w:bidi w:val="0"/>
              <w:spacing w:before="0" w:after="283"/>
              <w:jc w:val="right"/>
              <w:rPr/>
            </w:pPr>
            <w:r>
              <w:rPr/>
              <w:t>510,412</w:t>
            </w:r>
          </w:p>
        </w:tc>
        <w:tc>
          <w:tcPr>
            <w:tcW w:w="75" w:type="dxa"/>
            <w:tcBorders/>
            <w:shd w:fill="EEEEEE" w:val="clear"/>
            <w:vAlign w:val="center"/>
          </w:tcPr>
          <w:p>
            <w:pPr>
              <w:pStyle w:val="TableContents"/>
              <w:bidi w:val="0"/>
              <w:spacing w:before="0" w:after="283"/>
              <w:jc w:val="left"/>
              <w:rPr/>
            </w:pPr>
            <w:r>
              <w:rPr/>
              <w:t>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bookmarkStart w:id="638" w:name="xdx_40D_eus-gaap--AccountsPayableAndOthe"/>
            <w:bookmarkEnd w:id="638"/>
          </w:p>
        </w:tc>
      </w:tr>
      <w:tr>
        <w:trPr/>
        <w:tc>
          <w:tcPr>
            <w:tcW w:w="4940" w:type="dxa"/>
            <w:tcBorders/>
            <w:shd w:fill="EEEEEE" w:val="clear"/>
            <w:vAlign w:val="center"/>
          </w:tcPr>
          <w:p>
            <w:pPr>
              <w:pStyle w:val="TableContents"/>
              <w:bidi w:val="0"/>
              <w:spacing w:before="0" w:after="283"/>
              <w:jc w:val="left"/>
              <w:rPr/>
            </w:pPr>
            <w:r>
              <w:rPr/>
              <w:t>Total</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2,442,105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5,915,220</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39" w:name="xdx_23A_zVW7zAM55U82"/>
      <w:bookmarkEnd w:id="639"/>
      <w:r>
        <w:rPr>
          <w:caps w:val="false"/>
          <w:smallCaps w:val="false"/>
        </w:rPr>
        <w:t> </w:t>
      </w:r>
    </w:p>
    <w:p>
      <w:pPr>
        <w:pStyle w:val="TextBody"/>
        <w:bidi w:val="0"/>
        <w:spacing w:before="0" w:after="0"/>
        <w:ind w:left="0" w:right="0" w:hanging="0"/>
        <w:jc w:val="both"/>
        <w:rPr>
          <w:caps w:val="false"/>
          <w:smallCaps w:val="false"/>
        </w:rPr>
      </w:pPr>
      <w:bookmarkStart w:id="640" w:name="xdx_23E_z2oCd8S0VQwg"/>
      <w:bookmarkEnd w:id="640"/>
      <w:r>
        <w:rPr>
          <w:caps w:val="false"/>
          <w:smallCaps w:val="false"/>
        </w:rPr>
        <w:t> </w:t>
      </w:r>
    </w:p>
    <w:p>
      <w:pPr>
        <w:pStyle w:val="Normal"/>
        <w:bidi w:val="0"/>
        <w:spacing w:before="0" w:after="0"/>
        <w:ind w:left="0" w:right="0" w:hanging="0"/>
        <w:jc w:val="left"/>
        <w:rPr>
          <w:sz w:val="4"/>
          <w:szCs w:val="4"/>
        </w:rPr>
      </w:pPr>
      <w:r>
        <w:rPr>
          <w:sz w:val="4"/>
          <w:szCs w:val="4"/>
        </w:rPr>
      </w:r>
      <w:bookmarkStart w:id="641" w:name="xdx_234_zsNJ7D64Jwdh"/>
      <w:bookmarkStart w:id="642" w:name="xdx_234_zSuTlxzpyKK2"/>
      <w:bookmarkStart w:id="643" w:name="xdx_234_zsNJ7D64Jwdh"/>
      <w:bookmarkStart w:id="644" w:name="xdx_234_zSuTlxzpyKK2"/>
      <w:bookmarkEnd w:id="643"/>
      <w:bookmarkEnd w:id="644"/>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bookmarkStart w:id="645" w:name="xdx_23C_zGoMMjG14cAk"/>
            <w:bookmarkEnd w:id="645"/>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646" w:name="xdx_23F_zQ0QpGcGztDg"/>
      <w:bookmarkEnd w:id="646"/>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647" w:name="xdx_23E_zQrWBonpXESg"/>
      <w:bookmarkEnd w:id="64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controlled VIE, DHS, facilitates the Company in the process of inventory procurement. Through this process, the Company purchased a total of $31,385 in inventories from a supplier which had a payment term of 90 days with a 2% premium on the purchase price. As of March 31, 2023, the outstanding balance was paid off.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48" w:name="xdx_806_eus-gaap--DebtDisclosureTextBloc"/>
      <w:bookmarkEnd w:id="648"/>
      <w:r>
        <w:rPr>
          <w:rFonts w:ascii="Times New Roman;Times;Serif" w:hAnsi="Times New Roman;Times;Serif"/>
          <w:b/>
          <w:i w:val="false"/>
          <w:caps w:val="false"/>
          <w:smallCaps w:val="false"/>
          <w:sz w:val="20"/>
        </w:rPr>
        <w:t>Note 12 –</w:t>
      </w:r>
      <w:bookmarkStart w:id="649" w:name="xdx_825_zMYEEHobCDA3"/>
      <w:bookmarkEnd w:id="649"/>
      <w:r>
        <w:rPr>
          <w:rFonts w:ascii="Times New Roman;Times;Serif" w:hAnsi="Times New Roman;Times;Serif"/>
          <w:b/>
          <w:i w:val="false"/>
          <w:caps w:val="false"/>
          <w:smallCaps w:val="false"/>
          <w:sz w:val="20"/>
        </w:rPr>
        <w:t xml:space="preserve"> Loans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3, 2019, the Company entered into an agreement with WFC Fund LLC (“WFC”) for a revolving loan of up to $2,000,000. The revolving loan bore interest equal to the prime rate plus 4.25% per annum on the outstanding amount. On May 26, 2020, the Loan and Security Agreement was amended and restated as a Receivable Purchase Agreement (the “Original RPA”). On November 16, 2020, the Original RPA was further amended and restated (the “Restated RPA”) to increase the credit limit of the revolving credit facility from $2,000,000 to $</w:t>
      </w:r>
      <w:bookmarkStart w:id="650" w:name="xdx_902_eus-gaap--LineOfCreditFacilityMa"/>
      <w:bookmarkEnd w:id="650"/>
      <w:r>
        <w:rPr>
          <w:rFonts w:ascii="Times New Roman;Times;Serif" w:hAnsi="Times New Roman;Times;Serif"/>
          <w:b w:val="false"/>
          <w:i w:val="false"/>
          <w:caps w:val="false"/>
          <w:smallCaps w:val="false"/>
          <w:sz w:val="20"/>
        </w:rPr>
        <w:t>3,000,000. The Restated RPA bore a discount rate of 3.055555%, subject to a rebate of 0.0277% per day. This revolving credit facility was secured by all of the Company’s assets and guaranteed by Chenlong Tan, the CEO and one of the Company’s major shareholders and founders. Pursuant to the terms of the agreement, all purchases of accounts receivable were without recourse to the Company, and WFC assumed the risk of nonpayment of the accounts receivable due to a customer’s financial inability to pay the accounts receivable or the customer’s insolvency but not the risk of non-payment of the accounts receivable for any other reason. The Company was obligated to collect the accounts receivable and to repurchase or pay back the amount drawn down if the accounts receivable were not collected.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September 30, 2021, the Company terminated the Restated RPA and paid off the balance due to WFC.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June 30, 2022, the outstanding balance due under the RPA was $</w:t>
      </w:r>
      <w:bookmarkStart w:id="651" w:name="xdx_903_eus-gaap--LineOfCredit_c20230331"/>
      <w:bookmarkEnd w:id="651"/>
      <w:r>
        <w:rPr>
          <w:rFonts w:ascii="Times New Roman;Times;Serif" w:hAnsi="Times New Roman;Times;Serif"/>
          <w:b w:val="false"/>
          <w:i w:val="false"/>
          <w:caps w:val="false"/>
          <w:smallCaps w:val="false"/>
          <w:sz w:val="20"/>
        </w:rPr>
        <w:t>0 and $</w:t>
      </w:r>
      <w:bookmarkStart w:id="652" w:name="xdx_904_eus-gaap--LineOfCredit_c20220630"/>
      <w:bookmarkEnd w:id="652"/>
      <w:r>
        <w:rPr>
          <w:rFonts w:ascii="Times New Roman;Times;Serif" w:hAnsi="Times New Roman;Times;Serif"/>
          <w:b w:val="false"/>
          <w:i w:val="false"/>
          <w:caps w:val="false"/>
          <w:smallCaps w:val="false"/>
          <w:sz w:val="20"/>
        </w:rPr>
        <w:t>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Long-term loan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SBA loan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18, 2020, the Company entered into an agreement with the U.S. Small Business Administration (“SBA”) for a loan of $500,000 under Section 7(b) of the Small Business Act pursuant to which we issued a promissory note (the “SBA Note”) to the SBA. The SBA Note bears interest at the rate of 3.75% per annum and matures 30 years from the date of the SBA Note. Monthly installment payments, including principal and interest, will begin twelve months from the date of the SBA Note. During the quarter ended June 30, 2022, the Company paid off the SBA Note, including accrued interest expense of $</w:t>
      </w:r>
      <w:bookmarkStart w:id="653" w:name="xdx_90A_eus-gaap--InterestPaid_c20220401"/>
      <w:bookmarkEnd w:id="653"/>
      <w:r>
        <w:rPr>
          <w:rFonts w:ascii="Times New Roman;Times;Serif" w:hAnsi="Times New Roman;Times;Serif"/>
          <w:b w:val="false"/>
          <w:i w:val="false"/>
          <w:caps w:val="false"/>
          <w:smallCaps w:val="false"/>
          <w:sz w:val="20"/>
        </w:rPr>
        <w:t>39,237. As of March 31, 2023 and June 30, 2022, the outstanding balance of the SBA Note was $</w:t>
      </w:r>
      <w:bookmarkStart w:id="654" w:name="xdx_905_eus-gaap--NotesPayable_c20230331"/>
      <w:bookmarkEnd w:id="654"/>
      <w:r>
        <w:rPr>
          <w:rFonts w:ascii="Times New Roman;Times;Serif" w:hAnsi="Times New Roman;Times;Serif"/>
          <w:b w:val="false"/>
          <w:i w:val="false"/>
          <w:caps w:val="false"/>
          <w:smallCaps w:val="false"/>
          <w:sz w:val="20"/>
        </w:rPr>
        <w:t>0 and $</w:t>
      </w:r>
      <w:bookmarkStart w:id="655" w:name="xdx_902_eus-gaap--NotesPayable_c20220630"/>
      <w:bookmarkEnd w:id="655"/>
      <w:r>
        <w:rPr>
          <w:rFonts w:ascii="Times New Roman;Times;Serif" w:hAnsi="Times New Roman;Times;Serif"/>
          <w:b w:val="false"/>
          <w:i w:val="false"/>
          <w:caps w:val="false"/>
          <w:smallCaps w:val="false"/>
          <w:sz w:val="20"/>
        </w:rPr>
        <w:t>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Asset-based revolving loan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12, 2021, the Company entered into a Credit Agreement with JPMorgan Chase Bank, N.A., as administrative agent, issuing bank and swingline lender, for an asset-based revolving loan (“ABL”) of up to $25 million with key terms listed as follows:</w:t>
      </w:r>
    </w:p>
    <w:p>
      <w:pPr>
        <w:pStyle w:val="TextBody"/>
        <w:bidi w:val="0"/>
        <w:spacing w:before="0" w:after="0"/>
        <w:ind w:left="0" w:right="0" w:hanging="0"/>
        <w:jc w:val="left"/>
        <w:rPr>
          <w:caps w:val="false"/>
          <w:smallCaps w:val="false"/>
        </w:rPr>
      </w:pPr>
      <w:r>
        <w:rPr>
          <w:caps w:val="false"/>
          <w:smallCaps w:val="false"/>
        </w:rPr>
        <w:t> </w:t>
      </w:r>
    </w:p>
    <w:tbl>
      <w:tblPr>
        <w:tblW w:w="3070" w:type="dxa"/>
        <w:jc w:val="left"/>
        <w:tblInd w:w="0" w:type="dxa"/>
        <w:tblLayout w:type="fixed"/>
        <w:tblCellMar>
          <w:top w:w="0" w:type="dxa"/>
          <w:left w:w="0" w:type="dxa"/>
          <w:bottom w:w="0" w:type="dxa"/>
          <w:right w:w="0" w:type="dxa"/>
        </w:tblCellMar>
      </w:tblPr>
      <w:tblGrid>
        <w:gridCol w:w="75"/>
        <w:gridCol w:w="95"/>
        <w:gridCol w:w="290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Borrowing base equal to the sum of</w:t>
            </w:r>
          </w:p>
        </w:tc>
      </w:tr>
    </w:tbl>
    <w:p>
      <w:pPr>
        <w:pStyle w:val="TextBody"/>
        <w:bidi w:val="0"/>
        <w:spacing w:before="0" w:after="0"/>
        <w:ind w:left="0" w:right="0" w:hanging="0"/>
        <w:jc w:val="left"/>
        <w:rPr>
          <w:caps w:val="false"/>
          <w:smallCaps w:val="false"/>
        </w:rPr>
      </w:pPr>
      <w:r>
        <w:rPr>
          <w:caps w:val="false"/>
          <w:smallCaps w:val="false"/>
        </w:rPr>
        <w:t> </w:t>
      </w:r>
    </w:p>
    <w:tbl>
      <w:tblPr>
        <w:tblW w:w="9925" w:type="dxa"/>
        <w:jc w:val="left"/>
        <w:tblInd w:w="0" w:type="dxa"/>
        <w:tblLayout w:type="fixed"/>
        <w:tblCellMar>
          <w:top w:w="0" w:type="dxa"/>
          <w:left w:w="0" w:type="dxa"/>
          <w:bottom w:w="0" w:type="dxa"/>
          <w:right w:w="0" w:type="dxa"/>
        </w:tblCellMar>
      </w:tblPr>
      <w:tblGrid>
        <w:gridCol w:w="75"/>
        <w:gridCol w:w="170"/>
        <w:gridCol w:w="968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90% of eligible credit card receivables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85% of eligible trade accounts receivable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rFonts w:ascii="Wingdings" w:hAnsi="Wingdings"/>
                <w:sz w:val="20"/>
              </w:rPr>
            </w:pPr>
            <w:r>
              <w:rPr>
                <w:rFonts w:ascii="Wingdings" w:hAnsi="Wingdings"/>
                <w:sz w:val="20"/>
              </w:rPr>
              <w:t>Ø</w:t>
            </w:r>
          </w:p>
        </w:tc>
        <w:tc>
          <w:tcPr>
            <w:tcW w:w="96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Up to the lesser of (i) 65% of cost of eligible inventory or (ii) 85% of net orderly liquidation value of eligible inventory</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75"/>
        <w:gridCol w:w="95"/>
        <w:gridCol w:w="73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Interest rates of between LIBOR plus 2% and LIBOR plus 2.25% depending on utilization</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Undrawn fee of between 0.25% and 0.375% depending on utilization</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Maturity Date of </w:t>
            </w:r>
            <w:bookmarkStart w:id="656" w:name="xdx_909_eus-gaap--LineOfCreditFacilityEx"/>
            <w:bookmarkEnd w:id="656"/>
            <w:r>
              <w:rPr>
                <w:rFonts w:ascii="Times New Roman;Times;Serif" w:hAnsi="Times New Roman;Times;Serif"/>
                <w:sz w:val="20"/>
              </w:rPr>
              <w:t>November 12, 2024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657" w:name="xdx_235_zVpg0sZWqEMd"/>
      <w:bookmarkEnd w:id="657"/>
      <w:r>
        <w:rPr>
          <w:caps w:val="false"/>
          <w:smallCaps w:val="false"/>
        </w:rPr>
        <w:t> </w:t>
      </w:r>
    </w:p>
    <w:p>
      <w:pPr>
        <w:pStyle w:val="TextBody"/>
        <w:bidi w:val="0"/>
        <w:spacing w:before="0" w:after="0"/>
        <w:ind w:left="0" w:right="0" w:hanging="0"/>
        <w:jc w:val="left"/>
        <w:rPr>
          <w:caps w:val="false"/>
          <w:smallCaps w:val="false"/>
        </w:rPr>
      </w:pPr>
      <w:bookmarkStart w:id="658" w:name="xdx_23B_zsdgmswtaPR"/>
      <w:bookmarkEnd w:id="65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bookmarkStart w:id="659" w:name="xdx_23A_zUUIwsgrWGxl"/>
            <w:bookmarkEnd w:id="659"/>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660" w:name="xdx_230_zOiMWMcK00Li"/>
      <w:bookmarkEnd w:id="660"/>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661" w:name="xdx_231_z7AQ9RWTMVJa"/>
      <w:bookmarkEnd w:id="66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ABL includes an accordion feature that allows the Company to borrow up to an additional $25.0 million. To secure complete payment and performance of the secured obligations, the Company granted a security interest in all of its right, title and interest in, to and under all of the Company’s assets as collateral to the ABL. Upon closing of the ABL, the Company paid $</w:t>
      </w:r>
      <w:bookmarkStart w:id="662" w:name="xdx_90D_eus-gaap--PaymentsOfFinancingCos"/>
      <w:bookmarkEnd w:id="662"/>
      <w:r>
        <w:rPr>
          <w:rFonts w:ascii="Times New Roman;Times;Serif" w:hAnsi="Times New Roman;Times;Serif"/>
          <w:b w:val="false"/>
          <w:i w:val="false"/>
          <w:caps w:val="false"/>
          <w:smallCaps w:val="false"/>
          <w:sz w:val="20"/>
        </w:rPr>
        <w:t>796,035 in financing fees including 2% of $25.0 million or $500,000 paid to its financial advisor. The financing fees are recorded as debt discount and are to be amortized over three years as financing expenses, the term of the ABL.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Below is a summary of the interest expense recorded for the three and nine months ended March 31, 2023 and 2022: </w:t>
      </w:r>
    </w:p>
    <w:p>
      <w:pPr>
        <w:pStyle w:val="Normal"/>
        <w:bidi w:val="0"/>
        <w:spacing w:before="0" w:after="0"/>
        <w:jc w:val="left"/>
        <w:rPr>
          <w:sz w:val="4"/>
          <w:szCs w:val="4"/>
        </w:rPr>
      </w:pPr>
      <w:r>
        <w:rPr>
          <w:sz w:val="4"/>
          <w:szCs w:val="4"/>
        </w:rPr>
      </w:r>
      <w:bookmarkStart w:id="663" w:name="xdx_887_eus-gaap--InterestIncomeAndInter"/>
      <w:bookmarkStart w:id="664" w:name="xdx_887_eus-gaap--InterestIncomeAndInter"/>
      <w:bookmarkEnd w:id="664"/>
    </w:p>
    <w:tbl>
      <w:tblPr>
        <w:tblW w:w="9836" w:type="dxa"/>
        <w:jc w:val="left"/>
        <w:tblInd w:w="0" w:type="dxa"/>
        <w:tblLayout w:type="fixed"/>
        <w:tblCellMar>
          <w:top w:w="0" w:type="dxa"/>
          <w:left w:w="0" w:type="dxa"/>
          <w:bottom w:w="0" w:type="dxa"/>
          <w:right w:w="0" w:type="dxa"/>
        </w:tblCellMar>
      </w:tblPr>
      <w:tblGrid>
        <w:gridCol w:w="3545"/>
        <w:gridCol w:w="60"/>
        <w:gridCol w:w="214"/>
        <w:gridCol w:w="1226"/>
        <w:gridCol w:w="91"/>
        <w:gridCol w:w="91"/>
        <w:gridCol w:w="214"/>
        <w:gridCol w:w="1226"/>
        <w:gridCol w:w="60"/>
        <w:gridCol w:w="60"/>
        <w:gridCol w:w="208"/>
        <w:gridCol w:w="1190"/>
        <w:gridCol w:w="89"/>
        <w:gridCol w:w="89"/>
        <w:gridCol w:w="208"/>
        <w:gridCol w:w="1190"/>
        <w:gridCol w:w="75"/>
      </w:tblGrid>
      <w:tr>
        <w:trPr/>
        <w:tc>
          <w:tcPr>
            <w:tcW w:w="3545" w:type="dxa"/>
            <w:tcBorders/>
            <w:vAlign w:val="center"/>
          </w:tcPr>
          <w:p>
            <w:pPr>
              <w:pStyle w:val="TableContents"/>
              <w:bidi w:val="0"/>
              <w:spacing w:before="0" w:after="283"/>
              <w:jc w:val="left"/>
              <w:rPr/>
            </w:pPr>
            <w:bookmarkStart w:id="665" w:name="xdx_8B7_z5aNUfwY4EO4"/>
            <w:bookmarkEnd w:id="665"/>
            <w:r>
              <w:rPr/>
              <w:t>Schedule of interest on loans payable</w:t>
            </w:r>
          </w:p>
        </w:tc>
        <w:tc>
          <w:tcPr>
            <w:tcW w:w="60"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bookmarkStart w:id="666" w:name="xdx_493_20230101__20230331_zmxFqwxlENPa"/>
            <w:bookmarkEnd w:id="666"/>
          </w:p>
        </w:tc>
        <w:tc>
          <w:tcPr>
            <w:tcW w:w="1226" w:type="dxa"/>
            <w:tcBorders/>
            <w:vAlign w:val="center"/>
          </w:tcPr>
          <w:p>
            <w:pPr>
              <w:pStyle w:val="TableContents"/>
              <w:bidi w:val="0"/>
              <w:spacing w:before="0" w:after="283"/>
              <w:jc w:val="right"/>
              <w:rPr/>
            </w:pPr>
            <w:r>
              <w:rPr/>
              <w:t> </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214" w:type="dxa"/>
            <w:tcBorders/>
            <w:vAlign w:val="center"/>
          </w:tcPr>
          <w:p>
            <w:pPr>
              <w:pStyle w:val="TableContents"/>
              <w:bidi w:val="0"/>
              <w:spacing w:before="0" w:after="283"/>
              <w:jc w:val="left"/>
              <w:rPr/>
            </w:pPr>
            <w:r>
              <w:rPr/>
              <w:t> </w:t>
            </w:r>
            <w:bookmarkStart w:id="667" w:name="xdx_490_20220101__20220331_zP9pwW7hstEf"/>
            <w:bookmarkEnd w:id="667"/>
          </w:p>
        </w:tc>
        <w:tc>
          <w:tcPr>
            <w:tcW w:w="1226"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bookmarkStart w:id="668" w:name="xdx_496_20220701__20230331_zExp4SaK7JS8"/>
            <w:bookmarkEnd w:id="668"/>
          </w:p>
        </w:tc>
        <w:tc>
          <w:tcPr>
            <w:tcW w:w="1190" w:type="dxa"/>
            <w:tcBorders/>
            <w:vAlign w:val="center"/>
          </w:tcPr>
          <w:p>
            <w:pPr>
              <w:pStyle w:val="TableContents"/>
              <w:bidi w:val="0"/>
              <w:spacing w:before="0" w:after="283"/>
              <w:jc w:val="right"/>
              <w:rPr/>
            </w:pPr>
            <w:r>
              <w:rPr/>
              <w:t> </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bookmarkStart w:id="669" w:name="xdx_49F_20210701__20220331_zStmtL8qoKrb"/>
            <w:bookmarkEnd w:id="669"/>
          </w:p>
        </w:tc>
        <w:tc>
          <w:tcPr>
            <w:tcW w:w="1190"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62" w:type="dxa"/>
            <w:gridSpan w:val="6"/>
            <w:tcBorders>
              <w:bottom w:val="single" w:sz="8" w:space="0" w:color="000000"/>
            </w:tcBorders>
            <w:tcMar>
              <w:bottom w:w="28" w:type="dxa"/>
            </w:tcMar>
            <w:vAlign w:val="center"/>
          </w:tcPr>
          <w:p>
            <w:pPr>
              <w:pStyle w:val="TableContents"/>
              <w:bidi w:val="0"/>
              <w:spacing w:before="0" w:after="283"/>
              <w:jc w:val="center"/>
              <w:rPr/>
            </w:pPr>
            <w:r>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74" w:type="dxa"/>
            <w:gridSpan w:val="6"/>
            <w:tcBorders>
              <w:bottom w:val="single" w:sz="8" w:space="0" w:color="000000"/>
            </w:tcBorders>
            <w:tcMar>
              <w:bottom w:w="28" w:type="dxa"/>
            </w:tcMar>
            <w:vAlign w:val="center"/>
          </w:tcPr>
          <w:p>
            <w:pPr>
              <w:pStyle w:val="TableContents"/>
              <w:bidi w:val="0"/>
              <w:spacing w:before="0" w:after="283"/>
              <w:jc w:val="center"/>
              <w:rPr/>
            </w:pPr>
            <w:r>
              <w:rPr/>
              <w:t>Nine Months Ended March 31,</w:t>
            </w:r>
          </w:p>
        </w:tc>
        <w:tc>
          <w:tcPr>
            <w:tcW w:w="75" w:type="dxa"/>
            <w:tcBorders/>
            <w:vAlign w:val="center"/>
          </w:tcPr>
          <w:p>
            <w:pPr>
              <w:pStyle w:val="TableContents"/>
              <w:bidi w:val="0"/>
              <w:spacing w:before="0" w:after="283"/>
              <w:jc w:val="left"/>
              <w:rPr/>
            </w:pPr>
            <w:r>
              <w:rPr/>
              <w:t> </w:t>
            </w:r>
          </w:p>
        </w:tc>
      </w:tr>
      <w:tr>
        <w:trPr/>
        <w:tc>
          <w:tcPr>
            <w:tcW w:w="35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91"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1440"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398"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75" w:type="dxa"/>
            <w:tcBorders/>
            <w:vAlign w:val="center"/>
          </w:tcPr>
          <w:p>
            <w:pPr>
              <w:pStyle w:val="TableContents"/>
              <w:bidi w:val="0"/>
              <w:spacing w:before="0" w:after="283"/>
              <w:jc w:val="left"/>
              <w:rPr/>
            </w:pPr>
            <w:r>
              <w:rPr/>
              <w:t> </w:t>
            </w:r>
            <w:bookmarkStart w:id="670" w:name="xdx_406_ecustom--AccruedInterestExpensed"/>
            <w:bookmarkEnd w:id="670"/>
          </w:p>
        </w:tc>
      </w:tr>
      <w:tr>
        <w:trPr/>
        <w:tc>
          <w:tcPr>
            <w:tcW w:w="3545" w:type="dxa"/>
            <w:tcBorders/>
            <w:shd w:fill="EEEEEE" w:val="clear"/>
            <w:vAlign w:val="center"/>
          </w:tcPr>
          <w:p>
            <w:pPr>
              <w:pStyle w:val="TableContents"/>
              <w:bidi w:val="0"/>
              <w:spacing w:before="0" w:after="283"/>
              <w:jc w:val="left"/>
              <w:rPr/>
            </w:pPr>
            <w:r>
              <w:rPr/>
              <w:t>Accrued interest</w:t>
            </w:r>
          </w:p>
        </w:tc>
        <w:tc>
          <w:tcPr>
            <w:tcW w:w="60" w:type="dxa"/>
            <w:tcBorders/>
            <w:shd w:fill="EEEEEE" w:val="clear"/>
            <w:vAlign w:val="center"/>
          </w:tcPr>
          <w:p>
            <w:pPr>
              <w:pStyle w:val="TableContents"/>
              <w:bidi w:val="0"/>
              <w:spacing w:before="0" w:after="283"/>
              <w:jc w:val="left"/>
              <w:rPr/>
            </w:pPr>
            <w:r>
              <w:rPr/>
              <w:t> </w:t>
            </w:r>
          </w:p>
        </w:tc>
        <w:tc>
          <w:tcPr>
            <w:tcW w:w="214" w:type="dxa"/>
            <w:tcBorders/>
            <w:shd w:fill="EEEEEE" w:val="clear"/>
            <w:vAlign w:val="center"/>
          </w:tcPr>
          <w:p>
            <w:pPr>
              <w:pStyle w:val="TableContents"/>
              <w:bidi w:val="0"/>
              <w:spacing w:before="0" w:after="283"/>
              <w:jc w:val="left"/>
              <w:rPr/>
            </w:pPr>
            <w:r>
              <w:rPr/>
              <w:t>$</w:t>
            </w:r>
          </w:p>
        </w:tc>
        <w:tc>
          <w:tcPr>
            <w:tcW w:w="1226" w:type="dxa"/>
            <w:tcBorders/>
            <w:shd w:fill="EEEEEE" w:val="clear"/>
            <w:vAlign w:val="center"/>
          </w:tcPr>
          <w:p>
            <w:pPr>
              <w:pStyle w:val="TableContents"/>
              <w:bidi w:val="0"/>
              <w:spacing w:before="0" w:after="283"/>
              <w:jc w:val="right"/>
              <w:rPr/>
            </w:pPr>
            <w:r>
              <w:rPr/>
              <w:t>136,570</w:t>
            </w:r>
          </w:p>
        </w:tc>
        <w:tc>
          <w:tcPr>
            <w:tcW w:w="91" w:type="dxa"/>
            <w:tcBorders/>
            <w:shd w:fill="EEEEEE" w:val="clear"/>
            <w:vAlign w:val="center"/>
          </w:tcPr>
          <w:p>
            <w:pPr>
              <w:pStyle w:val="TableContents"/>
              <w:bidi w:val="0"/>
              <w:spacing w:before="0" w:after="283"/>
              <w:jc w:val="left"/>
              <w:rPr/>
            </w:pPr>
            <w:r>
              <w:rPr/>
              <w:t> </w:t>
            </w:r>
          </w:p>
        </w:tc>
        <w:tc>
          <w:tcPr>
            <w:tcW w:w="91" w:type="dxa"/>
            <w:tcBorders/>
            <w:shd w:fill="EEEEEE" w:val="clear"/>
            <w:vAlign w:val="center"/>
          </w:tcPr>
          <w:p>
            <w:pPr>
              <w:pStyle w:val="TableContents"/>
              <w:bidi w:val="0"/>
              <w:spacing w:before="0" w:after="283"/>
              <w:jc w:val="left"/>
              <w:rPr/>
            </w:pPr>
            <w:r>
              <w:rPr/>
              <w:t> </w:t>
            </w:r>
          </w:p>
        </w:tc>
        <w:tc>
          <w:tcPr>
            <w:tcW w:w="214" w:type="dxa"/>
            <w:tcBorders/>
            <w:shd w:fill="EEEEEE" w:val="clear"/>
            <w:vAlign w:val="center"/>
          </w:tcPr>
          <w:p>
            <w:pPr>
              <w:pStyle w:val="TableContents"/>
              <w:bidi w:val="0"/>
              <w:spacing w:before="0" w:after="283"/>
              <w:jc w:val="left"/>
              <w:rPr/>
            </w:pPr>
            <w:r>
              <w:rPr/>
              <w:t>$</w:t>
            </w:r>
          </w:p>
        </w:tc>
        <w:tc>
          <w:tcPr>
            <w:tcW w:w="1226" w:type="dxa"/>
            <w:tcBorders/>
            <w:shd w:fill="EEEEEE" w:val="clear"/>
            <w:vAlign w:val="center"/>
          </w:tcPr>
          <w:p>
            <w:pPr>
              <w:pStyle w:val="TableContents"/>
              <w:bidi w:val="0"/>
              <w:spacing w:before="0" w:after="283"/>
              <w:jc w:val="right"/>
              <w:rPr/>
            </w:pPr>
            <w:r>
              <w:rPr/>
              <w:t>50,419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w:t>
            </w:r>
          </w:p>
        </w:tc>
        <w:tc>
          <w:tcPr>
            <w:tcW w:w="1190" w:type="dxa"/>
            <w:tcBorders/>
            <w:shd w:fill="EEEEEE" w:val="clear"/>
            <w:vAlign w:val="center"/>
          </w:tcPr>
          <w:p>
            <w:pPr>
              <w:pStyle w:val="TableContents"/>
              <w:bidi w:val="0"/>
              <w:spacing w:before="0" w:after="283"/>
              <w:jc w:val="right"/>
              <w:rPr/>
            </w:pPr>
            <w:r>
              <w:rPr/>
              <w:t>500,117</w:t>
            </w:r>
          </w:p>
        </w:tc>
        <w:tc>
          <w:tcPr>
            <w:tcW w:w="89"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8" w:type="dxa"/>
            <w:tcBorders/>
            <w:shd w:fill="EEEEEE" w:val="clear"/>
            <w:vAlign w:val="center"/>
          </w:tcPr>
          <w:p>
            <w:pPr>
              <w:pStyle w:val="TableContents"/>
              <w:bidi w:val="0"/>
              <w:spacing w:before="0" w:after="283"/>
              <w:jc w:val="left"/>
              <w:rPr/>
            </w:pPr>
            <w:r>
              <w:rPr/>
              <w:t>$</w:t>
            </w:r>
          </w:p>
        </w:tc>
        <w:tc>
          <w:tcPr>
            <w:tcW w:w="1190" w:type="dxa"/>
            <w:tcBorders/>
            <w:shd w:fill="EEEEEE" w:val="clear"/>
            <w:vAlign w:val="center"/>
          </w:tcPr>
          <w:p>
            <w:pPr>
              <w:pStyle w:val="TableContents"/>
              <w:bidi w:val="0"/>
              <w:spacing w:before="0" w:after="283"/>
              <w:jc w:val="right"/>
              <w:rPr/>
            </w:pPr>
            <w:r>
              <w:rPr/>
              <w:t>81,328</w:t>
            </w:r>
          </w:p>
        </w:tc>
        <w:tc>
          <w:tcPr>
            <w:tcW w:w="75" w:type="dxa"/>
            <w:tcBorders/>
            <w:shd w:fill="EEEEEE" w:val="clear"/>
            <w:vAlign w:val="center"/>
          </w:tcPr>
          <w:p>
            <w:pPr>
              <w:pStyle w:val="TableContents"/>
              <w:bidi w:val="0"/>
              <w:spacing w:before="0" w:after="283"/>
              <w:jc w:val="left"/>
              <w:rPr/>
            </w:pPr>
            <w:r>
              <w:rPr/>
              <w:t> </w:t>
            </w:r>
            <w:bookmarkStart w:id="671" w:name="xdx_401_ecustom--CreditUtilizationFees_d"/>
            <w:bookmarkEnd w:id="671"/>
          </w:p>
        </w:tc>
      </w:tr>
      <w:tr>
        <w:trPr/>
        <w:tc>
          <w:tcPr>
            <w:tcW w:w="3545" w:type="dxa"/>
            <w:tcBorders/>
            <w:shd w:fill="FFFFFF" w:val="clear"/>
            <w:vAlign w:val="center"/>
          </w:tcPr>
          <w:p>
            <w:pPr>
              <w:pStyle w:val="TableContents"/>
              <w:bidi w:val="0"/>
              <w:spacing w:before="0" w:after="283"/>
              <w:jc w:val="left"/>
              <w:rPr/>
            </w:pPr>
            <w:r>
              <w:rPr/>
              <w:t>Credit utilization fees</w:t>
            </w:r>
          </w:p>
        </w:tc>
        <w:tc>
          <w:tcPr>
            <w:tcW w:w="60"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15,679</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12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29,265</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672" w:name="xdx_40C_eus-gaap--AmortizationOfFinancin"/>
            <w:bookmarkEnd w:id="672"/>
          </w:p>
        </w:tc>
      </w:tr>
      <w:tr>
        <w:trPr/>
        <w:tc>
          <w:tcPr>
            <w:tcW w:w="3545" w:type="dxa"/>
            <w:tcBorders/>
            <w:shd w:fill="EEEEEE" w:val="clear"/>
            <w:vAlign w:val="center"/>
          </w:tcPr>
          <w:p>
            <w:pPr>
              <w:pStyle w:val="TableContents"/>
              <w:bidi w:val="0"/>
              <w:spacing w:before="0" w:after="283"/>
              <w:jc w:val="left"/>
              <w:rPr/>
            </w:pPr>
            <w:r>
              <w:rPr/>
              <w:t>Amortization of debt discount</w:t>
            </w:r>
          </w:p>
        </w:tc>
        <w:tc>
          <w:tcPr>
            <w:tcW w:w="60" w:type="dxa"/>
            <w:tcBorders/>
            <w:shd w:fill="EEEEEE" w:val="clear"/>
            <w:vAlign w:val="center"/>
          </w:tcPr>
          <w:p>
            <w:pPr>
              <w:pStyle w:val="TableContents"/>
              <w:bidi w:val="0"/>
              <w:spacing w:before="0" w:after="283"/>
              <w:jc w:val="left"/>
              <w:rPr/>
            </w:pPr>
            <w:r>
              <w:rPr/>
              <w:t> </w:t>
            </w:r>
          </w:p>
        </w:tc>
        <w:tc>
          <w:tcPr>
            <w:tcW w:w="21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EEEEEE" w:val="clear"/>
            <w:tcMar>
              <w:bottom w:w="28" w:type="dxa"/>
            </w:tcMar>
            <w:vAlign w:val="center"/>
          </w:tcPr>
          <w:p>
            <w:pPr>
              <w:pStyle w:val="TableContents"/>
              <w:bidi w:val="0"/>
              <w:spacing w:before="0" w:after="283"/>
              <w:jc w:val="right"/>
              <w:rPr/>
            </w:pPr>
            <w:r>
              <w:rPr/>
              <w:t>66,305</w:t>
            </w:r>
          </w:p>
        </w:tc>
        <w:tc>
          <w:tcPr>
            <w:tcW w:w="91" w:type="dxa"/>
            <w:tcBorders/>
            <w:shd w:fill="EEEEEE" w:val="clear"/>
            <w:vAlign w:val="center"/>
          </w:tcPr>
          <w:p>
            <w:pPr>
              <w:pStyle w:val="TableContents"/>
              <w:bidi w:val="0"/>
              <w:spacing w:before="0" w:after="283"/>
              <w:jc w:val="left"/>
              <w:rPr/>
            </w:pPr>
            <w:r>
              <w:rPr/>
              <w:t> </w:t>
            </w:r>
          </w:p>
        </w:tc>
        <w:tc>
          <w:tcPr>
            <w:tcW w:w="91" w:type="dxa"/>
            <w:tcBorders/>
            <w:shd w:fill="EEEEEE" w:val="clear"/>
            <w:vAlign w:val="center"/>
          </w:tcPr>
          <w:p>
            <w:pPr>
              <w:pStyle w:val="TableContents"/>
              <w:bidi w:val="0"/>
              <w:spacing w:before="0" w:after="283"/>
              <w:jc w:val="left"/>
              <w:rPr/>
            </w:pPr>
            <w:r>
              <w:rPr/>
              <w:t> </w:t>
            </w:r>
          </w:p>
        </w:tc>
        <w:tc>
          <w:tcPr>
            <w:tcW w:w="214"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26" w:type="dxa"/>
            <w:tcBorders>
              <w:bottom w:val="single" w:sz="8" w:space="0" w:color="000000"/>
            </w:tcBorders>
            <w:shd w:fill="EEEEEE" w:val="clear"/>
            <w:tcMar>
              <w:bottom w:w="28" w:type="dxa"/>
            </w:tcMar>
            <w:vAlign w:val="center"/>
          </w:tcPr>
          <w:p>
            <w:pPr>
              <w:pStyle w:val="TableContents"/>
              <w:bidi w:val="0"/>
              <w:spacing w:before="0" w:after="283"/>
              <w:jc w:val="right"/>
              <w:rPr/>
            </w:pPr>
            <w:r>
              <w:rPr/>
              <w:t>68,813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20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EEEEEE" w:val="clear"/>
            <w:tcMar>
              <w:bottom w:w="28" w:type="dxa"/>
            </w:tcMar>
            <w:vAlign w:val="center"/>
          </w:tcPr>
          <w:p>
            <w:pPr>
              <w:pStyle w:val="TableContents"/>
              <w:bidi w:val="0"/>
              <w:spacing w:before="0" w:after="283"/>
              <w:jc w:val="right"/>
              <w:rPr/>
            </w:pPr>
            <w:r>
              <w:rPr/>
              <w:t>198,914</w:t>
            </w:r>
          </w:p>
        </w:tc>
        <w:tc>
          <w:tcPr>
            <w:tcW w:w="89" w:type="dxa"/>
            <w:tcBorders/>
            <w:shd w:fill="EEEEEE" w:val="clear"/>
            <w:vAlign w:val="center"/>
          </w:tcPr>
          <w:p>
            <w:pPr>
              <w:pStyle w:val="TableContents"/>
              <w:bidi w:val="0"/>
              <w:spacing w:before="0" w:after="283"/>
              <w:jc w:val="left"/>
              <w:rPr/>
            </w:pPr>
            <w:r>
              <w:rPr/>
              <w:t> </w:t>
            </w:r>
          </w:p>
        </w:tc>
        <w:tc>
          <w:tcPr>
            <w:tcW w:w="89" w:type="dxa"/>
            <w:tcBorders/>
            <w:shd w:fill="EEEEEE" w:val="clear"/>
            <w:vAlign w:val="center"/>
          </w:tcPr>
          <w:p>
            <w:pPr>
              <w:pStyle w:val="TableContents"/>
              <w:bidi w:val="0"/>
              <w:spacing w:before="0" w:after="283"/>
              <w:jc w:val="left"/>
              <w:rPr/>
            </w:pPr>
            <w:r>
              <w:rPr/>
              <w:t> </w:t>
            </w:r>
          </w:p>
        </w:tc>
        <w:tc>
          <w:tcPr>
            <w:tcW w:w="208"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90" w:type="dxa"/>
            <w:tcBorders>
              <w:bottom w:val="single" w:sz="8" w:space="0" w:color="000000"/>
            </w:tcBorders>
            <w:shd w:fill="EEEEEE" w:val="clear"/>
            <w:tcMar>
              <w:bottom w:w="28" w:type="dxa"/>
            </w:tcMar>
            <w:vAlign w:val="center"/>
          </w:tcPr>
          <w:p>
            <w:pPr>
              <w:pStyle w:val="TableContents"/>
              <w:bidi w:val="0"/>
              <w:spacing w:before="0" w:after="283"/>
              <w:jc w:val="right"/>
              <w:rPr/>
            </w:pPr>
            <w:r>
              <w:rPr/>
              <w:t>113,016</w:t>
            </w:r>
          </w:p>
        </w:tc>
        <w:tc>
          <w:tcPr>
            <w:tcW w:w="75" w:type="dxa"/>
            <w:tcBorders/>
            <w:shd w:fill="EEEEEE" w:val="clear"/>
            <w:vAlign w:val="center"/>
          </w:tcPr>
          <w:p>
            <w:pPr>
              <w:pStyle w:val="TableContents"/>
              <w:bidi w:val="0"/>
              <w:spacing w:before="0" w:after="283"/>
              <w:jc w:val="left"/>
              <w:rPr/>
            </w:pPr>
            <w:r>
              <w:rPr/>
              <w:t> </w:t>
            </w:r>
            <w:bookmarkStart w:id="673" w:name="xdx_403_eus-gaap--InterestExpense_mtIEzt"/>
            <w:bookmarkEnd w:id="673"/>
          </w:p>
        </w:tc>
      </w:tr>
      <w:tr>
        <w:trPr/>
        <w:tc>
          <w:tcPr>
            <w:tcW w:w="354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pPr>
            <w:r>
              <w:rPr/>
              <w:t>218,554</w:t>
            </w:r>
          </w:p>
        </w:tc>
        <w:tc>
          <w:tcPr>
            <w:tcW w:w="91"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26" w:type="dxa"/>
            <w:tcBorders>
              <w:bottom w:val="double" w:sz="6" w:space="0" w:color="000000"/>
            </w:tcBorders>
            <w:shd w:fill="FFFFFF" w:val="clear"/>
            <w:tcMar>
              <w:bottom w:w="28" w:type="dxa"/>
            </w:tcMar>
            <w:vAlign w:val="center"/>
          </w:tcPr>
          <w:p>
            <w:pPr>
              <w:pStyle w:val="TableContents"/>
              <w:bidi w:val="0"/>
              <w:spacing w:before="0" w:after="283"/>
              <w:jc w:val="right"/>
              <w:rPr/>
            </w:pPr>
            <w:r>
              <w:rPr/>
              <w:t>119,232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pPr>
            <w:r>
              <w:rPr/>
              <w:t>728,296</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90" w:type="dxa"/>
            <w:tcBorders>
              <w:bottom w:val="double" w:sz="6" w:space="0" w:color="000000"/>
            </w:tcBorders>
            <w:shd w:fill="FFFFFF" w:val="clear"/>
            <w:tcMar>
              <w:bottom w:w="28" w:type="dxa"/>
            </w:tcMar>
            <w:vAlign w:val="center"/>
          </w:tcPr>
          <w:p>
            <w:pPr>
              <w:pStyle w:val="TableContents"/>
              <w:bidi w:val="0"/>
              <w:spacing w:before="0" w:after="283"/>
              <w:jc w:val="right"/>
              <w:rPr/>
            </w:pPr>
            <w:r>
              <w:rPr/>
              <w:t>194,344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the outstanding amount of the revolving loan payable, net of debt discount and including interest payable of $</w:t>
      </w:r>
      <w:bookmarkStart w:id="674" w:name="xdx_906_eus-gaap--InterestPayableCurrent"/>
      <w:bookmarkEnd w:id="674"/>
      <w:r>
        <w:rPr>
          <w:rFonts w:ascii="Times New Roman;Times;Serif" w:hAnsi="Times New Roman;Times;Serif"/>
          <w:b w:val="false"/>
          <w:i w:val="false"/>
          <w:caps w:val="false"/>
          <w:smallCaps w:val="false"/>
          <w:sz w:val="20"/>
        </w:rPr>
        <w:t>529,382, was $</w:t>
      </w:r>
      <w:bookmarkStart w:id="675" w:name="xdx_907_eus-gaap--LineOfCredit_iI_pp0p0_"/>
      <w:bookmarkEnd w:id="675"/>
      <w:r>
        <w:rPr>
          <w:rFonts w:ascii="Times New Roman;Times;Serif" w:hAnsi="Times New Roman;Times;Serif"/>
          <w:b w:val="false"/>
          <w:i w:val="false"/>
          <w:caps w:val="false"/>
          <w:smallCaps w:val="false"/>
          <w:sz w:val="20"/>
        </w:rPr>
        <w:t>7,653,372. As of June 30, 2022, the outstanding amount of the long-term revolving loan payable, net of debt discount, was $</w:t>
      </w:r>
      <w:bookmarkStart w:id="676" w:name="xdx_905_eus-gaap--LineOfCredit_iI_pp0p0_"/>
      <w:bookmarkEnd w:id="676"/>
      <w:r>
        <w:rPr>
          <w:rFonts w:ascii="Times New Roman;Times;Serif" w:hAnsi="Times New Roman;Times;Serif"/>
          <w:b w:val="false"/>
          <w:i w:val="false"/>
          <w:caps w:val="false"/>
          <w:smallCaps w:val="false"/>
          <w:sz w:val="20"/>
        </w:rPr>
        <w:t>12,314,627, including interest payable of $</w:t>
      </w:r>
      <w:bookmarkStart w:id="677" w:name="xdx_902_eus-gaap--InterestPayableCurrent"/>
      <w:bookmarkEnd w:id="677"/>
      <w:r>
        <w:rPr>
          <w:rFonts w:ascii="Times New Roman;Times;Serif" w:hAnsi="Times New Roman;Times;Serif"/>
          <w:b w:val="false"/>
          <w:i w:val="false"/>
          <w:caps w:val="false"/>
          <w:smallCaps w:val="false"/>
          <w:sz w:val="20"/>
        </w:rPr>
        <w:t>182,543.</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7, 2022, the Company entered into a second amendment to the credit agreement and consent (the “Second Amendment to the Credit Agreement”), originally dated November 12, 2021, as amended, with JPMorgan Chase Bank, N.A., as administrative agent and lender (“JPMorgan”). The Company entered into the Second Amendment to the Credit Agreement primarily for the purpose of changing the interest rate repayment calculations from LIBOR to the Secured Overnight Financing Rate, or SOFR, which adjustment had originally been anticipated under the terms of the original Credit Agreement. In addition, two of the negative covenants set forth in the original credit agreement were amended in order to (i) adjust the definition of “Covenant Testing Trigger Period” to increase the required cash availability from $3,000,000 to $4,000,000, or 10% of the aggregate revolving commitment for the preceding 30 days, and (ii) require that the Company will not and will not permit any of its subsidiaries, after reasonable due diligence and due inquiry, to knowingly sell their products, inventory or services directly to any commercial businesses that grow or cultivate cannabis; it being acknowledged, however, that the Company does not generally conduct due diligence on its individual retail customers.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11, 2022, the Company and JPMorgan entered into a default waiver and consent agreement (the “Waiver Letter”) pursuant to which the parties recognized that the Company was in default on its failure to satisfy the minimum Excess Availability requirement of $7,500,000, as defined in the Credit Agreement, and deliver a certificate to JPMorgan accurately reflecting the Excess Availability (together, the “Existing Defaults”). Under the terms of the Waiver Letter, JPMorgan agreed to waive the right to enforce an event of default based on the aforementioned Existing Defaults.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Promissory note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as part of the consideration for acquisition of Anivia Limited, the Company issued a two-year unsecured 6% subordinated promissory note, payable in equal semi-annual installments commencing August 15, 2022 (the “Purchase Note”). The principal amount of the Purchase Note was $</w:t>
      </w:r>
      <w:bookmarkStart w:id="678" w:name="xdx_900_eus-gaap--DebtInstrumentFaceAmou"/>
      <w:bookmarkEnd w:id="678"/>
      <w:r>
        <w:rPr>
          <w:rFonts w:ascii="Times New Roman;Times;Serif" w:hAnsi="Times New Roman;Times;Serif"/>
          <w:b w:val="false"/>
          <w:i w:val="false"/>
          <w:caps w:val="false"/>
          <w:smallCaps w:val="false"/>
          <w:sz w:val="20"/>
        </w:rPr>
        <w:t>3.5 million with a fair value of $</w:t>
      </w:r>
      <w:bookmarkStart w:id="679" w:name="xdx_902_eus-gaap--DebtInstrumentFairValu"/>
      <w:bookmarkEnd w:id="679"/>
      <w:r>
        <w:rPr>
          <w:rFonts w:ascii="Times New Roman;Times;Serif" w:hAnsi="Times New Roman;Times;Serif"/>
          <w:b w:val="false"/>
          <w:i w:val="false"/>
          <w:caps w:val="false"/>
          <w:smallCaps w:val="false"/>
          <w:sz w:val="20"/>
        </w:rPr>
        <w:t>3.6 million as of February 15, 2022. In October 2022, the Company paid the first installment of $</w:t>
      </w:r>
      <w:bookmarkStart w:id="680" w:name="xdx_90B_eus-gaap--RepaymentsOfDebt_pp0p0"/>
      <w:bookmarkEnd w:id="680"/>
      <w:r>
        <w:rPr>
          <w:rFonts w:ascii="Times New Roman;Times;Serif" w:hAnsi="Times New Roman;Times;Serif"/>
          <w:b w:val="false"/>
          <w:i w:val="false"/>
          <w:caps w:val="false"/>
          <w:smallCaps w:val="false"/>
          <w:sz w:val="20"/>
        </w:rPr>
        <w:t>875,000. And in February 2023, the Company paid the second installment of $</w:t>
      </w:r>
      <w:bookmarkStart w:id="681" w:name="xdx_90B_eus-gaap--RepaymentsOfDebt_pp0p0"/>
      <w:bookmarkEnd w:id="681"/>
      <w:r>
        <w:rPr>
          <w:rFonts w:ascii="Times New Roman;Times;Serif" w:hAnsi="Times New Roman;Times;Serif"/>
          <w:b w:val="false"/>
          <w:i w:val="false"/>
          <w:caps w:val="false"/>
          <w:smallCaps w:val="false"/>
          <w:sz w:val="20"/>
        </w:rPr>
        <w:t>875,000. For the three months ended March 31, 2023, the Company recorded accrued interest of $</w:t>
      </w:r>
      <w:bookmarkStart w:id="682" w:name="xdx_90F_eus-gaap--InterestExpenseDebt_pp"/>
      <w:bookmarkEnd w:id="682"/>
      <w:r>
        <w:rPr>
          <w:rFonts w:ascii="Times New Roman;Times;Serif" w:hAnsi="Times New Roman;Times;Serif"/>
          <w:b w:val="false"/>
          <w:i w:val="false"/>
          <w:caps w:val="false"/>
          <w:smallCaps w:val="false"/>
          <w:sz w:val="20"/>
        </w:rPr>
        <w:t>32,813 and amortization of note premium of $</w:t>
      </w:r>
      <w:bookmarkStart w:id="683" w:name="xdx_909_eus-gaap--AmortizationOfDebtDisc"/>
      <w:bookmarkEnd w:id="683"/>
      <w:r>
        <w:rPr>
          <w:rFonts w:ascii="Times New Roman;Times;Serif" w:hAnsi="Times New Roman;Times;Serif"/>
          <w:b w:val="false"/>
          <w:i w:val="false"/>
          <w:caps w:val="false"/>
          <w:smallCaps w:val="false"/>
          <w:sz w:val="20"/>
        </w:rPr>
        <w:t>12,579. For the nine months ended March 31, 2023, the Company recorded accrued interest of $</w:t>
      </w:r>
      <w:bookmarkStart w:id="684" w:name="xdx_90F_eus-gaap--InterestExpenseDebt_pp"/>
      <w:bookmarkEnd w:id="684"/>
      <w:r>
        <w:rPr>
          <w:rFonts w:ascii="Times New Roman;Times;Serif" w:hAnsi="Times New Roman;Times;Serif"/>
          <w:b w:val="false"/>
          <w:i w:val="false"/>
          <w:caps w:val="false"/>
          <w:smallCaps w:val="false"/>
          <w:sz w:val="20"/>
        </w:rPr>
        <w:t>131,250 and amortization of note premium of $</w:t>
      </w:r>
      <w:bookmarkStart w:id="685" w:name="xdx_900_eus-gaap--AmortizationOfDebtDisc"/>
      <w:bookmarkEnd w:id="685"/>
      <w:r>
        <w:rPr>
          <w:rFonts w:ascii="Times New Roman;Times;Serif" w:hAnsi="Times New Roman;Times;Serif"/>
          <w:b w:val="false"/>
          <w:i w:val="false"/>
          <w:caps w:val="false"/>
          <w:smallCaps w:val="false"/>
          <w:sz w:val="20"/>
        </w:rPr>
        <w:t>37,839. As of March 31, 2023, including $</w:t>
      </w:r>
      <w:bookmarkStart w:id="686" w:name="xdx_901_eus-gaap--InterestPayableCurrent"/>
      <w:bookmarkEnd w:id="686"/>
      <w:r>
        <w:rPr>
          <w:rFonts w:ascii="Times New Roman;Times;Serif" w:hAnsi="Times New Roman;Times;Serif"/>
          <w:b w:val="false"/>
          <w:i w:val="false"/>
          <w:caps w:val="false"/>
          <w:smallCaps w:val="false"/>
          <w:sz w:val="20"/>
        </w:rPr>
        <w:t>210,000 of accrued interest and $</w:t>
      </w:r>
      <w:bookmarkStart w:id="687" w:name="xdx_907_eus-gaap--DebtInstrumentUnamorti"/>
      <w:bookmarkEnd w:id="687"/>
      <w:r>
        <w:rPr>
          <w:rFonts w:ascii="Times New Roman;Times;Serif" w:hAnsi="Times New Roman;Times;Serif"/>
          <w:b w:val="false"/>
          <w:i w:val="false"/>
          <w:caps w:val="false"/>
          <w:smallCaps w:val="false"/>
          <w:sz w:val="20"/>
        </w:rPr>
        <w:t>44,181 of unamortized premium, the total outstanding balance of the Purchase Note was $</w:t>
      </w:r>
      <w:bookmarkStart w:id="688" w:name="xdx_90F_eus-gaap--LongTermNotesPayable_c"/>
      <w:bookmarkEnd w:id="688"/>
      <w:r>
        <w:rPr>
          <w:rFonts w:ascii="Times New Roman;Times;Serif" w:hAnsi="Times New Roman;Times;Serif"/>
          <w:b w:val="false"/>
          <w:i w:val="false"/>
          <w:caps w:val="false"/>
          <w:smallCaps w:val="false"/>
          <w:sz w:val="20"/>
        </w:rPr>
        <w:t>2,004,181, which is presented on the consolidated balance sheet as a current portion of $</w:t>
      </w:r>
      <w:bookmarkStart w:id="689" w:name="xdx_90A_eus-gaap--LongTermDebtCurrent_c2"/>
      <w:bookmarkEnd w:id="689"/>
      <w:r>
        <w:rPr>
          <w:rFonts w:ascii="Times New Roman;Times;Serif" w:hAnsi="Times New Roman;Times;Serif"/>
          <w:b w:val="false"/>
          <w:i w:val="false"/>
          <w:caps w:val="false"/>
          <w:smallCaps w:val="false"/>
          <w:sz w:val="20"/>
        </w:rPr>
        <w:t>2,004,181 and a non-current portion of $</w:t>
      </w:r>
      <w:bookmarkStart w:id="690" w:name="xdx_905_eus-gaap--LongTermDebtNoncurrent"/>
      <w:bookmarkEnd w:id="690"/>
      <w:r>
        <w:rPr>
          <w:rFonts w:ascii="Times New Roman;Times;Serif" w:hAnsi="Times New Roman;Times;Serif"/>
          <w:b w:val="false"/>
          <w:i w:val="false"/>
          <w:caps w:val="false"/>
          <w:smallCaps w:val="false"/>
          <w:sz w:val="20"/>
        </w:rPr>
        <w:t>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691" w:name="xdx_23E_zyXSoO8X1CG9"/>
      <w:bookmarkEnd w:id="691"/>
      <w:r>
        <w:rPr>
          <w:caps w:val="false"/>
          <w:smallCaps w:val="false"/>
        </w:rPr>
        <w:t> </w:t>
      </w:r>
    </w:p>
    <w:p>
      <w:pPr>
        <w:pStyle w:val="TextBody"/>
        <w:bidi w:val="0"/>
        <w:spacing w:before="0" w:after="0"/>
        <w:ind w:left="0" w:right="0" w:hanging="0"/>
        <w:jc w:val="both"/>
        <w:rPr>
          <w:caps w:val="false"/>
          <w:smallCaps w:val="false"/>
        </w:rPr>
      </w:pPr>
      <w:bookmarkStart w:id="692" w:name="xdx_23F_zqnTLggT1iJ6"/>
      <w:bookmarkEnd w:id="692"/>
      <w:r>
        <w:rPr>
          <w:caps w:val="false"/>
          <w:smallCaps w:val="false"/>
        </w:rPr>
        <w:t> </w:t>
      </w:r>
    </w:p>
    <w:p>
      <w:pPr>
        <w:pStyle w:val="Normal"/>
        <w:bidi w:val="0"/>
        <w:spacing w:before="0" w:after="0"/>
        <w:ind w:left="0" w:right="0" w:hanging="0"/>
        <w:jc w:val="left"/>
        <w:rPr>
          <w:sz w:val="4"/>
          <w:szCs w:val="4"/>
        </w:rPr>
      </w:pPr>
      <w:r>
        <w:rPr>
          <w:sz w:val="4"/>
          <w:szCs w:val="4"/>
        </w:rPr>
      </w:r>
      <w:bookmarkStart w:id="693" w:name="xdx_234_zcVUhe0Vnsa5"/>
      <w:bookmarkStart w:id="694" w:name="xdx_23B_zFsz1EpKsaV1"/>
      <w:bookmarkStart w:id="695" w:name="xdx_234_zcVUhe0Vnsa5"/>
      <w:bookmarkStart w:id="696" w:name="xdx_23B_zFsz1EpKsaV1"/>
      <w:bookmarkEnd w:id="695"/>
      <w:bookmarkEnd w:id="696"/>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bookmarkStart w:id="697" w:name="xdx_230_zZY6TlG6I7lg"/>
            <w:bookmarkEnd w:id="697"/>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698" w:name="xdx_232_zEE7DEIPZrGc"/>
      <w:bookmarkEnd w:id="698"/>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699" w:name="xdx_234_zaUqP82EBENd"/>
      <w:bookmarkEnd w:id="699"/>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00" w:name="xdx_808_eus-gaap--RelatedPartyTransactio"/>
      <w:bookmarkEnd w:id="700"/>
      <w:r>
        <w:rPr>
          <w:rFonts w:ascii="Times New Roman;Times;Serif" w:hAnsi="Times New Roman;Times;Serif"/>
          <w:b/>
          <w:i w:val="false"/>
          <w:caps w:val="false"/>
          <w:smallCaps w:val="false"/>
          <w:sz w:val="20"/>
        </w:rPr>
        <w:t>Note 13 -</w:t>
      </w:r>
      <w:bookmarkStart w:id="701" w:name="xdx_820_zKXZPtX7ZLe8"/>
      <w:bookmarkEnd w:id="701"/>
      <w:r>
        <w:rPr>
          <w:rFonts w:ascii="Times New Roman;Times;Serif" w:hAnsi="Times New Roman;Times;Serif"/>
          <w:b/>
          <w:i w:val="false"/>
          <w:caps w:val="false"/>
          <w:smallCaps w:val="false"/>
          <w:sz w:val="20"/>
        </w:rPr>
        <w:t xml:space="preserve">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Starting March 1, 2022, the Company subleases up to 50,000 square feet of its warehouse space to Box Harmony, LLC, which is a 40% owned joint venture of the Company as disclosed on Note 1 and Note 2 above. For the three and nine months ended March 31, 2023, the Company recorded a sublease fee of $</w:t>
      </w:r>
      <w:bookmarkStart w:id="702" w:name="xdx_90E_eus-gaap--SubleaseIncome_pp0p0_c"/>
      <w:bookmarkEnd w:id="702"/>
      <w:r>
        <w:rPr>
          <w:rFonts w:ascii="Times New Roman;Times;Serif" w:hAnsi="Times New Roman;Times;Serif"/>
          <w:b w:val="false"/>
          <w:i w:val="false"/>
          <w:caps w:val="false"/>
          <w:smallCaps w:val="false"/>
          <w:sz w:val="20"/>
        </w:rPr>
        <w:t>0 and $</w:t>
      </w:r>
      <w:bookmarkStart w:id="703" w:name="xdx_90D_eus-gaap--SubleaseIncome_pp0p0_c"/>
      <w:bookmarkEnd w:id="703"/>
      <w:r>
        <w:rPr>
          <w:rFonts w:ascii="Times New Roman;Times;Serif" w:hAnsi="Times New Roman;Times;Serif"/>
          <w:b w:val="false"/>
          <w:i w:val="false"/>
          <w:caps w:val="false"/>
          <w:smallCaps w:val="false"/>
          <w:sz w:val="20"/>
        </w:rPr>
        <w:t>387,750 as other non-operating income. As of March 31, 2023 and June 30, 2022, other receivables due from Box Harmony was $</w:t>
      </w:r>
      <w:bookmarkStart w:id="704" w:name="xdx_90E_eus-gaap--OtherReceivables_iI_pp"/>
      <w:bookmarkEnd w:id="704"/>
      <w:r>
        <w:rPr>
          <w:rFonts w:ascii="Times New Roman;Times;Serif" w:hAnsi="Times New Roman;Times;Serif"/>
          <w:b w:val="false"/>
          <w:i w:val="false"/>
          <w:caps w:val="false"/>
          <w:smallCaps w:val="false"/>
          <w:sz w:val="20"/>
        </w:rPr>
        <w:t>39,853 and $</w:t>
      </w:r>
      <w:bookmarkStart w:id="705" w:name="xdx_90D_eus-gaap--OtherReceivables_iI_pp"/>
      <w:bookmarkEnd w:id="705"/>
      <w:r>
        <w:rPr>
          <w:rFonts w:ascii="Times New Roman;Times;Serif" w:hAnsi="Times New Roman;Times;Serif"/>
          <w:b w:val="false"/>
          <w:i w:val="false"/>
          <w:caps w:val="false"/>
          <w:smallCaps w:val="false"/>
          <w:sz w:val="20"/>
        </w:rPr>
        <w:t>51,762,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assumed $</w:t>
      </w:r>
      <w:bookmarkStart w:id="706" w:name="xdx_903_ecustom--AdvanceFromShareholders"/>
      <w:bookmarkEnd w:id="706"/>
      <w:r>
        <w:rPr>
          <w:rFonts w:ascii="Times New Roman;Times;Serif" w:hAnsi="Times New Roman;Times;Serif"/>
          <w:b w:val="false"/>
          <w:i w:val="false"/>
          <w:caps w:val="false"/>
          <w:smallCaps w:val="false"/>
          <w:sz w:val="20"/>
        </w:rPr>
        <w:t>92,246 (RMB618,000) of advance from shareholders of DHS through the acquisition of Anivia. This amount was for capital injection pending capital inspection by the local government in accordance with the PRC rules. As of March 31, 2023 and June 30, 2022, the balance of advance from shareholders was $</w:t>
      </w:r>
      <w:bookmarkStart w:id="707" w:name="xdx_900_ecustom--AdvanceFromShareholders"/>
      <w:bookmarkEnd w:id="707"/>
      <w:r>
        <w:rPr>
          <w:rFonts w:ascii="Times New Roman;Times;Serif" w:hAnsi="Times New Roman;Times;Serif"/>
          <w:b w:val="false"/>
          <w:i w:val="false"/>
          <w:caps w:val="false"/>
          <w:smallCaps w:val="false"/>
          <w:sz w:val="20"/>
        </w:rPr>
        <w:t>89,968 and $</w:t>
      </w:r>
      <w:bookmarkStart w:id="708" w:name="xdx_902_ecustom--AdvanceFromShareholders"/>
      <w:bookmarkEnd w:id="708"/>
      <w:r>
        <w:rPr>
          <w:rFonts w:ascii="Times New Roman;Times;Serif" w:hAnsi="Times New Roman;Times;Serif"/>
          <w:b w:val="false"/>
          <w:i w:val="false"/>
          <w:caps w:val="false"/>
          <w:smallCaps w:val="false"/>
          <w:sz w:val="20"/>
        </w:rPr>
        <w:t>92,246,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09" w:name="xdx_801_eus-gaap--IncomeTaxDisclosureTex"/>
      <w:bookmarkEnd w:id="709"/>
      <w:r>
        <w:rPr>
          <w:rFonts w:ascii="Times New Roman;Times;Serif" w:hAnsi="Times New Roman;Times;Serif"/>
          <w:b/>
          <w:i w:val="false"/>
          <w:caps w:val="false"/>
          <w:smallCaps w:val="false"/>
          <w:sz w:val="20"/>
        </w:rPr>
        <w:t>Note 14 –</w:t>
      </w:r>
      <w:bookmarkStart w:id="710" w:name="xdx_82D_zRE67j5Vycw4"/>
      <w:bookmarkEnd w:id="710"/>
      <w:r>
        <w:rPr>
          <w:rFonts w:ascii="Times New Roman;Times;Serif" w:hAnsi="Times New Roman;Times;Serif"/>
          <w:b/>
          <w:i w:val="false"/>
          <w:caps w:val="false"/>
          <w:smallCaps w:val="false"/>
          <w:sz w:val="20"/>
        </w:rPr>
        <w:t xml:space="preserve">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and nine months ended March 31, 2023, as a result of the Company’s inability to establish a reliable estimate for annual effective tax rate, the Company calculated income tax expense using the actual effective tax rate year to date, as opposed to the estimated annual effective tax rate, as provided in Accounting Standards Codification (ASC) 740-270-30-18.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income tax provision for the three and nine months ended March 31, 2023 and 2022 consisted of the following: </w:t>
      </w:r>
    </w:p>
    <w:p>
      <w:pPr>
        <w:pStyle w:val="Normal"/>
        <w:bidi w:val="0"/>
        <w:spacing w:before="0" w:after="0"/>
        <w:jc w:val="left"/>
        <w:rPr>
          <w:sz w:val="4"/>
          <w:szCs w:val="4"/>
        </w:rPr>
      </w:pPr>
      <w:r>
        <w:rPr>
          <w:sz w:val="4"/>
          <w:szCs w:val="4"/>
        </w:rPr>
      </w:r>
      <w:bookmarkStart w:id="711" w:name="xdx_891_eus-gaap--ScheduleOfComponentsOf"/>
      <w:bookmarkStart w:id="712" w:name="xdx_891_eus-gaap--ScheduleOfComponentsOf"/>
      <w:bookmarkEnd w:id="712"/>
    </w:p>
    <w:tbl>
      <w:tblPr>
        <w:tblW w:w="10205" w:type="dxa"/>
        <w:jc w:val="left"/>
        <w:tblInd w:w="0" w:type="dxa"/>
        <w:tblLayout w:type="fixed"/>
        <w:tblCellMar>
          <w:top w:w="0" w:type="dxa"/>
          <w:left w:w="0" w:type="dxa"/>
          <w:bottom w:w="0" w:type="dxa"/>
          <w:right w:w="0" w:type="dxa"/>
        </w:tblCellMar>
      </w:tblPr>
      <w:tblGrid>
        <w:gridCol w:w="3991"/>
        <w:gridCol w:w="60"/>
        <w:gridCol w:w="190"/>
        <w:gridCol w:w="1189"/>
        <w:gridCol w:w="128"/>
        <w:gridCol w:w="81"/>
        <w:gridCol w:w="190"/>
        <w:gridCol w:w="1189"/>
        <w:gridCol w:w="95"/>
        <w:gridCol w:w="60"/>
        <w:gridCol w:w="165"/>
        <w:gridCol w:w="1247"/>
        <w:gridCol w:w="111"/>
        <w:gridCol w:w="70"/>
        <w:gridCol w:w="165"/>
        <w:gridCol w:w="1158"/>
        <w:gridCol w:w="116"/>
      </w:tblGrid>
      <w:tr>
        <w:trPr/>
        <w:tc>
          <w:tcPr>
            <w:tcW w:w="3991" w:type="dxa"/>
            <w:tcBorders/>
            <w:vAlign w:val="center"/>
          </w:tcPr>
          <w:p>
            <w:pPr>
              <w:pStyle w:val="TableContents"/>
              <w:bidi w:val="0"/>
              <w:spacing w:before="0" w:after="283"/>
              <w:jc w:val="left"/>
              <w:rPr/>
            </w:pPr>
            <w:bookmarkStart w:id="713" w:name="xdx_8BA_zm2dN0fcYwk5"/>
            <w:bookmarkEnd w:id="713"/>
            <w:r>
              <w:rPr/>
              <w:t>Schedule of provision for income tax expense</w:t>
            </w:r>
          </w:p>
        </w:tc>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bookmarkStart w:id="714" w:name="xdx_492_20230101_20230331"/>
            <w:bookmarkEnd w:id="714"/>
          </w:p>
        </w:tc>
        <w:tc>
          <w:tcPr>
            <w:tcW w:w="1189" w:type="dxa"/>
            <w:tcBorders/>
            <w:vAlign w:val="center"/>
          </w:tcPr>
          <w:p>
            <w:pPr>
              <w:pStyle w:val="TableContents"/>
              <w:bidi w:val="0"/>
              <w:spacing w:before="0" w:after="283"/>
              <w:jc w:val="center"/>
              <w:rPr/>
            </w:pPr>
            <w:r>
              <w:rPr/>
              <w:t> </w:t>
            </w:r>
          </w:p>
        </w:tc>
        <w:tc>
          <w:tcPr>
            <w:tcW w:w="12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283"/>
              <w:jc w:val="left"/>
              <w:rPr/>
            </w:pPr>
            <w:r>
              <w:rPr/>
              <w:t> </w:t>
            </w:r>
            <w:bookmarkStart w:id="715" w:name="xdx_490_20220101_20220331"/>
            <w:bookmarkEnd w:id="715"/>
          </w:p>
        </w:tc>
        <w:tc>
          <w:tcPr>
            <w:tcW w:w="1189"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bookmarkStart w:id="716" w:name="xdx_493_20220701__20230331_ziFwTPqpIyS2"/>
            <w:bookmarkEnd w:id="716"/>
          </w:p>
        </w:tc>
        <w:tc>
          <w:tcPr>
            <w:tcW w:w="1247" w:type="dxa"/>
            <w:tcBorders/>
            <w:vAlign w:val="center"/>
          </w:tcPr>
          <w:p>
            <w:pPr>
              <w:pStyle w:val="TableContents"/>
              <w:bidi w:val="0"/>
              <w:spacing w:before="0" w:after="283"/>
              <w:jc w:val="center"/>
              <w:rPr/>
            </w:pPr>
            <w:r>
              <w:rPr/>
              <w:t> </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bookmarkStart w:id="717" w:name="xdx_497_20210701_20220331"/>
            <w:bookmarkEnd w:id="717"/>
          </w:p>
        </w:tc>
        <w:tc>
          <w:tcPr>
            <w:tcW w:w="1158" w:type="dxa"/>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left"/>
              <w:rPr/>
            </w:pPr>
            <w:r>
              <w:rPr/>
              <w:t> </w:t>
            </w:r>
          </w:p>
        </w:tc>
      </w:tr>
      <w:tr>
        <w:trPr/>
        <w:tc>
          <w:tcPr>
            <w:tcW w:w="39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67" w:type="dxa"/>
            <w:gridSpan w:val="6"/>
            <w:tcBorders>
              <w:bottom w:val="single" w:sz="8" w:space="0" w:color="000000"/>
            </w:tcBorders>
            <w:tcMar>
              <w:bottom w:w="28" w:type="dxa"/>
            </w:tcMar>
            <w:vAlign w:val="center"/>
          </w:tcPr>
          <w:p>
            <w:pPr>
              <w:pStyle w:val="TableContents"/>
              <w:bidi w:val="0"/>
              <w:spacing w:before="0" w:after="283"/>
              <w:jc w:val="center"/>
              <w:rPr/>
            </w:pPr>
            <w:r>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6" w:type="dxa"/>
            <w:gridSpan w:val="6"/>
            <w:tcBorders>
              <w:bottom w:val="single" w:sz="8" w:space="0" w:color="000000"/>
            </w:tcBorders>
            <w:tcMar>
              <w:bottom w:w="28" w:type="dxa"/>
            </w:tcMar>
            <w:vAlign w:val="center"/>
          </w:tcPr>
          <w:p>
            <w:pPr>
              <w:pStyle w:val="TableContents"/>
              <w:bidi w:val="0"/>
              <w:spacing w:before="0" w:after="283"/>
              <w:jc w:val="center"/>
              <w:rPr/>
            </w:pPr>
            <w:r>
              <w:rPr/>
              <w:t>Nine Months Ended March 31,</w:t>
            </w:r>
          </w:p>
        </w:tc>
        <w:tc>
          <w:tcPr>
            <w:tcW w:w="116" w:type="dxa"/>
            <w:tcBorders/>
            <w:vAlign w:val="center"/>
          </w:tcPr>
          <w:p>
            <w:pPr>
              <w:pStyle w:val="TableContents"/>
              <w:bidi w:val="0"/>
              <w:spacing w:before="0" w:after="283"/>
              <w:jc w:val="left"/>
              <w:rPr/>
            </w:pPr>
            <w:r>
              <w:rPr/>
              <w:t> </w:t>
            </w:r>
          </w:p>
        </w:tc>
      </w:tr>
      <w:tr>
        <w:trPr/>
        <w:tc>
          <w:tcPr>
            <w:tcW w:w="399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28" w:type="dxa"/>
            <w:tcBorders/>
            <w:vAlign w:val="center"/>
          </w:tcPr>
          <w:p>
            <w:pPr>
              <w:pStyle w:val="TableContents"/>
              <w:bidi w:val="0"/>
              <w:spacing w:before="0" w:after="283"/>
              <w:jc w:val="left"/>
              <w:rPr/>
            </w:pPr>
            <w:r>
              <w:rPr/>
              <w:t> </w:t>
            </w:r>
          </w:p>
        </w:tc>
        <w:tc>
          <w:tcPr>
            <w:tcW w:w="81" w:type="dxa"/>
            <w:tcBorders/>
            <w:vAlign w:val="center"/>
          </w:tcPr>
          <w:p>
            <w:pPr>
              <w:pStyle w:val="TableContents"/>
              <w:bidi w:val="0"/>
              <w:spacing w:before="0" w:after="283"/>
              <w:jc w:val="left"/>
              <w:rPr/>
            </w:pPr>
            <w:r>
              <w:rPr/>
              <w:t> </w:t>
            </w:r>
          </w:p>
        </w:tc>
        <w:tc>
          <w:tcPr>
            <w:tcW w:w="1379"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11" w:type="dxa"/>
            <w:tcBorders/>
            <w:vAlign w:val="center"/>
          </w:tcPr>
          <w:p>
            <w:pPr>
              <w:pStyle w:val="TableContents"/>
              <w:bidi w:val="0"/>
              <w:spacing w:before="0" w:after="283"/>
              <w:jc w:val="left"/>
              <w:rPr/>
            </w:pPr>
            <w:r>
              <w:rPr/>
              <w:t> </w:t>
            </w:r>
          </w:p>
        </w:tc>
        <w:tc>
          <w:tcPr>
            <w:tcW w:w="70" w:type="dxa"/>
            <w:tcBorders/>
            <w:vAlign w:val="center"/>
          </w:tcPr>
          <w:p>
            <w:pPr>
              <w:pStyle w:val="TableContents"/>
              <w:bidi w:val="0"/>
              <w:spacing w:before="0" w:after="283"/>
              <w:jc w:val="left"/>
              <w:rPr/>
            </w:pPr>
            <w:r>
              <w:rPr/>
              <w:t> </w:t>
            </w:r>
          </w:p>
        </w:tc>
        <w:tc>
          <w:tcPr>
            <w:tcW w:w="1323"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116" w:type="dxa"/>
            <w:tcBorders/>
            <w:vAlign w:val="center"/>
          </w:tcPr>
          <w:p>
            <w:pPr>
              <w:pStyle w:val="TableContents"/>
              <w:bidi w:val="0"/>
              <w:spacing w:before="0" w:after="283"/>
              <w:jc w:val="left"/>
              <w:rPr/>
            </w:pPr>
            <w:r>
              <w:rPr/>
              <w:t> </w:t>
            </w:r>
            <w:bookmarkStart w:id="718" w:name="xdx_403_eus-gaap--CurrentFederalStateAnd"/>
            <w:bookmarkEnd w:id="718"/>
          </w:p>
        </w:tc>
      </w:tr>
      <w:tr>
        <w:trPr/>
        <w:tc>
          <w:tcPr>
            <w:tcW w:w="3991" w:type="dxa"/>
            <w:tcBorders/>
            <w:shd w:fill="EEEEEE" w:val="clear"/>
            <w:vAlign w:val="center"/>
          </w:tcPr>
          <w:p>
            <w:pPr>
              <w:pStyle w:val="TableContents"/>
              <w:bidi w:val="0"/>
              <w:spacing w:before="0" w:after="283"/>
              <w:jc w:val="left"/>
              <w:rPr/>
            </w:pPr>
            <w:r>
              <w:rPr/>
              <w:t>Current:</w:t>
            </w:r>
          </w:p>
        </w:tc>
        <w:tc>
          <w:tcPr>
            <w:tcW w:w="60"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 </w:t>
            </w:r>
          </w:p>
        </w:tc>
        <w:tc>
          <w:tcPr>
            <w:tcW w:w="128"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 </w:t>
            </w:r>
          </w:p>
        </w:tc>
        <w:tc>
          <w:tcPr>
            <w:tcW w:w="111"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158"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bookmarkStart w:id="719" w:name="xdx_402_eus-gaap--CurrentFederalTaxExpen"/>
            <w:bookmarkEnd w:id="719"/>
          </w:p>
        </w:tc>
      </w:tr>
      <w:tr>
        <w:trPr/>
        <w:tc>
          <w:tcPr>
            <w:tcW w:w="3991"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p>
        </w:tc>
        <w:tc>
          <w:tcPr>
            <w:tcW w:w="1189" w:type="dxa"/>
            <w:tcBorders/>
            <w:shd w:fill="FFFFFF" w:val="clear"/>
            <w:vAlign w:val="center"/>
          </w:tcPr>
          <w:p>
            <w:pPr>
              <w:pStyle w:val="TableContents"/>
              <w:bidi w:val="0"/>
              <w:spacing w:before="0" w:after="283"/>
              <w:jc w:val="right"/>
              <w:rPr/>
            </w:pPr>
            <w:r>
              <w:rPr/>
              <w:t>105,492</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w:t>
            </w:r>
          </w:p>
        </w:tc>
        <w:tc>
          <w:tcPr>
            <w:tcW w:w="1189" w:type="dxa"/>
            <w:tcBorders/>
            <w:shd w:fill="FFFFFF" w:val="clear"/>
            <w:vAlign w:val="center"/>
          </w:tcPr>
          <w:p>
            <w:pPr>
              <w:pStyle w:val="TableContents"/>
              <w:bidi w:val="0"/>
              <w:spacing w:before="0" w:after="283"/>
              <w:jc w:val="right"/>
              <w:rPr/>
            </w:pPr>
            <w:r>
              <w:rPr/>
              <w:t>402,373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1247" w:type="dxa"/>
            <w:tcBorders/>
            <w:shd w:fill="FFFFFF" w:val="clear"/>
            <w:vAlign w:val="center"/>
          </w:tcPr>
          <w:p>
            <w:pPr>
              <w:pStyle w:val="TableContents"/>
              <w:bidi w:val="0"/>
              <w:spacing w:before="0" w:after="283"/>
              <w:jc w:val="right"/>
              <w:rPr/>
            </w:pPr>
            <w:r>
              <w:rPr/>
              <w:t>386,273</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w:t>
            </w:r>
          </w:p>
        </w:tc>
        <w:tc>
          <w:tcPr>
            <w:tcW w:w="1158" w:type="dxa"/>
            <w:tcBorders/>
            <w:shd w:fill="FFFFFF" w:val="clear"/>
            <w:vAlign w:val="center"/>
          </w:tcPr>
          <w:p>
            <w:pPr>
              <w:pStyle w:val="TableContents"/>
              <w:bidi w:val="0"/>
              <w:spacing w:before="0" w:after="283"/>
              <w:jc w:val="right"/>
              <w:rPr/>
            </w:pPr>
            <w:r>
              <w:rPr/>
              <w:t>859,341</w:t>
            </w:r>
          </w:p>
        </w:tc>
        <w:tc>
          <w:tcPr>
            <w:tcW w:w="116" w:type="dxa"/>
            <w:tcBorders/>
            <w:shd w:fill="FFFFFF" w:val="clear"/>
            <w:vAlign w:val="center"/>
          </w:tcPr>
          <w:p>
            <w:pPr>
              <w:pStyle w:val="TableContents"/>
              <w:bidi w:val="0"/>
              <w:spacing w:before="0" w:after="283"/>
              <w:jc w:val="left"/>
              <w:rPr/>
            </w:pPr>
            <w:r>
              <w:rPr/>
              <w:t> </w:t>
            </w:r>
            <w:bookmarkStart w:id="720" w:name="xdx_403_eus-gaap--CurrentStateAndLocalTa"/>
            <w:bookmarkEnd w:id="720"/>
          </w:p>
        </w:tc>
      </w:tr>
      <w:tr>
        <w:trPr/>
        <w:tc>
          <w:tcPr>
            <w:tcW w:w="3991" w:type="dxa"/>
            <w:tcBorders/>
            <w:shd w:fill="EEEEEE" w:val="clear"/>
            <w:vAlign w:val="center"/>
          </w:tcPr>
          <w:p>
            <w:pPr>
              <w:pStyle w:val="TableContents"/>
              <w:bidi w:val="0"/>
              <w:spacing w:before="0" w:after="283"/>
              <w:jc w:val="left"/>
              <w:rPr/>
            </w:pPr>
            <w:r>
              <w:rPr/>
              <w:t>States</w:t>
            </w:r>
          </w:p>
        </w:tc>
        <w:tc>
          <w:tcPr>
            <w:tcW w:w="60"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1,797</w:t>
            </w:r>
          </w:p>
        </w:tc>
        <w:tc>
          <w:tcPr>
            <w:tcW w:w="128"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67,642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11,596</w:t>
            </w:r>
          </w:p>
        </w:tc>
        <w:tc>
          <w:tcPr>
            <w:tcW w:w="111"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158" w:type="dxa"/>
            <w:tcBorders/>
            <w:shd w:fill="EEEEEE" w:val="clear"/>
            <w:vAlign w:val="center"/>
          </w:tcPr>
          <w:p>
            <w:pPr>
              <w:pStyle w:val="TableContents"/>
              <w:bidi w:val="0"/>
              <w:spacing w:before="0" w:after="283"/>
              <w:jc w:val="right"/>
              <w:rPr/>
            </w:pPr>
            <w:r>
              <w:rPr/>
              <w:t>276,364</w:t>
            </w:r>
          </w:p>
        </w:tc>
        <w:tc>
          <w:tcPr>
            <w:tcW w:w="116" w:type="dxa"/>
            <w:tcBorders/>
            <w:shd w:fill="EEEEEE" w:val="clear"/>
            <w:vAlign w:val="center"/>
          </w:tcPr>
          <w:p>
            <w:pPr>
              <w:pStyle w:val="TableContents"/>
              <w:bidi w:val="0"/>
              <w:spacing w:before="0" w:after="283"/>
              <w:jc w:val="left"/>
              <w:rPr/>
            </w:pPr>
            <w:r>
              <w:rPr/>
              <w:t> </w:t>
            </w:r>
            <w:bookmarkStart w:id="721" w:name="xdx_400_eus-gaap--CurrentForeignTaxExpen"/>
            <w:bookmarkEnd w:id="721"/>
          </w:p>
        </w:tc>
      </w:tr>
      <w:tr>
        <w:trPr/>
        <w:tc>
          <w:tcPr>
            <w:tcW w:w="3991"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FFFFFF" w:val="clear"/>
            <w:tcMar>
              <w:bottom w:w="28" w:type="dxa"/>
            </w:tcMar>
            <w:vAlign w:val="center"/>
          </w:tcPr>
          <w:p>
            <w:pPr>
              <w:pStyle w:val="TableContents"/>
              <w:bidi w:val="0"/>
              <w:spacing w:before="0" w:after="283"/>
              <w:jc w:val="right"/>
              <w:rPr/>
            </w:pPr>
            <w:r>
              <w:rPr/>
              <w:t>122,623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single" w:sz="8" w:space="0" w:color="000000"/>
            </w:tcBorders>
            <w:shd w:fill="FFFFFF" w:val="clear"/>
            <w:tcMar>
              <w:bottom w:w="28" w:type="dxa"/>
            </w:tcMar>
            <w:vAlign w:val="center"/>
          </w:tcPr>
          <w:p>
            <w:pPr>
              <w:pStyle w:val="TableContents"/>
              <w:bidi w:val="0"/>
              <w:spacing w:before="0" w:after="283"/>
              <w:jc w:val="right"/>
              <w:rPr/>
            </w:pPr>
            <w:r>
              <w:rPr/>
              <w:t>122,623</w:t>
            </w:r>
          </w:p>
        </w:tc>
        <w:tc>
          <w:tcPr>
            <w:tcW w:w="116" w:type="dxa"/>
            <w:tcBorders/>
            <w:shd w:fill="FFFFFF" w:val="clear"/>
            <w:vAlign w:val="center"/>
          </w:tcPr>
          <w:p>
            <w:pPr>
              <w:pStyle w:val="TableContents"/>
              <w:bidi w:val="0"/>
              <w:spacing w:before="0" w:after="283"/>
              <w:jc w:val="left"/>
              <w:rPr/>
            </w:pPr>
            <w:r>
              <w:rPr/>
              <w:t> </w:t>
            </w:r>
            <w:bookmarkStart w:id="722" w:name="xdx_404_eus-gaap--CurrentIncomeTaxExpens"/>
            <w:bookmarkEnd w:id="722"/>
          </w:p>
        </w:tc>
      </w:tr>
      <w:tr>
        <w:trPr/>
        <w:tc>
          <w:tcPr>
            <w:tcW w:w="3991" w:type="dxa"/>
            <w:tcBorders/>
            <w:shd w:fill="EEEEEE" w:val="clear"/>
            <w:vAlign w:val="center"/>
          </w:tcPr>
          <w:p>
            <w:pPr>
              <w:pStyle w:val="TableContents"/>
              <w:bidi w:val="0"/>
              <w:spacing w:before="0" w:after="283"/>
              <w:jc w:val="left"/>
              <w:rPr/>
            </w:pPr>
            <w:r>
              <w:rPr/>
              <w:t>Total current income tax provision</w:t>
            </w:r>
          </w:p>
        </w:tc>
        <w:tc>
          <w:tcPr>
            <w:tcW w:w="60" w:type="dxa"/>
            <w:tcBorders/>
            <w:shd w:fill="EEEEEE" w:val="clear"/>
            <w:vAlign w:val="center"/>
          </w:tcPr>
          <w:p>
            <w:pPr>
              <w:pStyle w:val="TableContents"/>
              <w:bidi w:val="0"/>
              <w:spacing w:before="0" w:after="283"/>
              <w:jc w:val="left"/>
              <w:rPr/>
            </w:pPr>
            <w:r>
              <w:rPr/>
              <w:t> </w:t>
            </w:r>
          </w:p>
        </w:tc>
        <w:tc>
          <w:tcPr>
            <w:tcW w:w="19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EEEEEE" w:val="clear"/>
            <w:tcMar>
              <w:bottom w:w="28" w:type="dxa"/>
            </w:tcMar>
            <w:vAlign w:val="center"/>
          </w:tcPr>
          <w:p>
            <w:pPr>
              <w:pStyle w:val="TableContents"/>
              <w:bidi w:val="0"/>
              <w:spacing w:before="0" w:after="283"/>
              <w:jc w:val="right"/>
              <w:rPr/>
            </w:pPr>
            <w:r>
              <w:rPr/>
              <w:t>107,289</w:t>
            </w:r>
          </w:p>
        </w:tc>
        <w:tc>
          <w:tcPr>
            <w:tcW w:w="128"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9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EEEEEE" w:val="clear"/>
            <w:tcMar>
              <w:bottom w:w="28" w:type="dxa"/>
            </w:tcMar>
            <w:vAlign w:val="center"/>
          </w:tcPr>
          <w:p>
            <w:pPr>
              <w:pStyle w:val="TableContents"/>
              <w:bidi w:val="0"/>
              <w:spacing w:before="0" w:after="283"/>
              <w:jc w:val="right"/>
              <w:rPr/>
            </w:pPr>
            <w:r>
              <w:rPr/>
              <w:t>592,638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EEEEEE" w:val="clear"/>
            <w:tcMar>
              <w:bottom w:w="28" w:type="dxa"/>
            </w:tcMar>
            <w:vAlign w:val="center"/>
          </w:tcPr>
          <w:p>
            <w:pPr>
              <w:pStyle w:val="TableContents"/>
              <w:bidi w:val="0"/>
              <w:spacing w:before="0" w:after="283"/>
              <w:jc w:val="right"/>
              <w:rPr/>
            </w:pPr>
            <w:r>
              <w:rPr/>
              <w:t>397,869</w:t>
            </w:r>
          </w:p>
        </w:tc>
        <w:tc>
          <w:tcPr>
            <w:tcW w:w="111"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58" w:type="dxa"/>
            <w:tcBorders>
              <w:bottom w:val="single" w:sz="8" w:space="0" w:color="000000"/>
            </w:tcBorders>
            <w:shd w:fill="EEEEEE" w:val="clear"/>
            <w:tcMar>
              <w:bottom w:w="28" w:type="dxa"/>
            </w:tcMar>
            <w:vAlign w:val="center"/>
          </w:tcPr>
          <w:p>
            <w:pPr>
              <w:pStyle w:val="TableContents"/>
              <w:bidi w:val="0"/>
              <w:spacing w:before="0" w:after="283"/>
              <w:jc w:val="right"/>
              <w:rPr/>
            </w:pPr>
            <w:r>
              <w:rPr/>
              <w:t>1,258,328</w:t>
            </w:r>
          </w:p>
        </w:tc>
        <w:tc>
          <w:tcPr>
            <w:tcW w:w="116" w:type="dxa"/>
            <w:tcBorders/>
            <w:shd w:fill="EEEEEE" w:val="clear"/>
            <w:vAlign w:val="center"/>
          </w:tcPr>
          <w:p>
            <w:pPr>
              <w:pStyle w:val="TableContents"/>
              <w:bidi w:val="0"/>
              <w:spacing w:before="0" w:after="283"/>
              <w:jc w:val="left"/>
              <w:rPr/>
            </w:pPr>
            <w:r>
              <w:rPr/>
              <w:t> </w:t>
            </w:r>
          </w:p>
        </w:tc>
      </w:tr>
      <w:tr>
        <w:trPr/>
        <w:tc>
          <w:tcPr>
            <w:tcW w:w="39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723" w:name="xdx_40A_eus-gaap--DeferredFederalStateAn"/>
            <w:bookmarkEnd w:id="723"/>
          </w:p>
        </w:tc>
      </w:tr>
      <w:tr>
        <w:trPr/>
        <w:tc>
          <w:tcPr>
            <w:tcW w:w="3991" w:type="dxa"/>
            <w:tcBorders/>
            <w:shd w:fill="EEEEEE" w:val="clear"/>
            <w:vAlign w:val="center"/>
          </w:tcPr>
          <w:p>
            <w:pPr>
              <w:pStyle w:val="TableContents"/>
              <w:bidi w:val="0"/>
              <w:spacing w:before="0" w:after="283"/>
              <w:jc w:val="left"/>
              <w:rPr/>
            </w:pPr>
            <w:r>
              <w:rPr/>
              <w:t>Deferred:</w:t>
            </w:r>
          </w:p>
        </w:tc>
        <w:tc>
          <w:tcPr>
            <w:tcW w:w="60"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 </w:t>
            </w:r>
          </w:p>
        </w:tc>
        <w:tc>
          <w:tcPr>
            <w:tcW w:w="128" w:type="dxa"/>
            <w:tcBorders/>
            <w:shd w:fill="EEEEEE" w:val="clear"/>
            <w:vAlign w:val="center"/>
          </w:tcPr>
          <w:p>
            <w:pPr>
              <w:pStyle w:val="TableContents"/>
              <w:bidi w:val="0"/>
              <w:spacing w:before="0" w:after="283"/>
              <w:jc w:val="left"/>
              <w:rPr/>
            </w:pPr>
            <w:r>
              <w:rPr/>
              <w:t> </w:t>
            </w:r>
          </w:p>
        </w:tc>
        <w:tc>
          <w:tcPr>
            <w:tcW w:w="81"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 </w:t>
            </w:r>
          </w:p>
        </w:tc>
        <w:tc>
          <w:tcPr>
            <w:tcW w:w="111" w:type="dxa"/>
            <w:tcBorders/>
            <w:shd w:fill="EEEEEE" w:val="clear"/>
            <w:vAlign w:val="center"/>
          </w:tcPr>
          <w:p>
            <w:pPr>
              <w:pStyle w:val="TableContents"/>
              <w:bidi w:val="0"/>
              <w:spacing w:before="0" w:after="283"/>
              <w:jc w:val="left"/>
              <w:rPr/>
            </w:pPr>
            <w:r>
              <w:rPr/>
              <w:t> </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158"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bookmarkStart w:id="724" w:name="xdx_40C_eus-gaap--DeferredFederalIncomeT"/>
            <w:bookmarkEnd w:id="724"/>
          </w:p>
        </w:tc>
      </w:tr>
      <w:tr>
        <w:trPr/>
        <w:tc>
          <w:tcPr>
            <w:tcW w:w="3991"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(558,437</w:t>
            </w:r>
          </w:p>
        </w:tc>
        <w:tc>
          <w:tcPr>
            <w:tcW w:w="128"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(432,290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(1,818,222</w:t>
            </w:r>
          </w:p>
        </w:tc>
        <w:tc>
          <w:tcPr>
            <w:tcW w:w="111"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(432,290</w:t>
            </w:r>
          </w:p>
        </w:tc>
        <w:tc>
          <w:tcPr>
            <w:tcW w:w="116" w:type="dxa"/>
            <w:tcBorders/>
            <w:shd w:fill="FFFFFF" w:val="clear"/>
            <w:vAlign w:val="center"/>
          </w:tcPr>
          <w:p>
            <w:pPr>
              <w:pStyle w:val="TableContents"/>
              <w:bidi w:val="0"/>
              <w:spacing w:before="0" w:after="283"/>
              <w:jc w:val="left"/>
              <w:rPr/>
            </w:pPr>
            <w:r>
              <w:rPr/>
              <w:t>)</w:t>
            </w:r>
            <w:bookmarkStart w:id="725" w:name="xdx_40E_eus-gaap--DeferredStateAndLocalI"/>
            <w:bookmarkEnd w:id="725"/>
          </w:p>
        </w:tc>
      </w:tr>
      <w:tr>
        <w:trPr/>
        <w:tc>
          <w:tcPr>
            <w:tcW w:w="3991" w:type="dxa"/>
            <w:tcBorders/>
            <w:shd w:fill="EEEEEE" w:val="clear"/>
            <w:vAlign w:val="center"/>
          </w:tcPr>
          <w:p>
            <w:pPr>
              <w:pStyle w:val="TableContents"/>
              <w:bidi w:val="0"/>
              <w:spacing w:before="0" w:after="283"/>
              <w:jc w:val="left"/>
              <w:rPr/>
            </w:pPr>
            <w:r>
              <w:rPr/>
              <w:t>States</w:t>
            </w:r>
          </w:p>
        </w:tc>
        <w:tc>
          <w:tcPr>
            <w:tcW w:w="60"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(114,675</w:t>
            </w:r>
          </w:p>
        </w:tc>
        <w:tc>
          <w:tcPr>
            <w:tcW w:w="128" w:type="dxa"/>
            <w:tcBorders/>
            <w:shd w:fill="EEEEEE" w:val="clear"/>
            <w:vAlign w:val="center"/>
          </w:tcPr>
          <w:p>
            <w:pPr>
              <w:pStyle w:val="TableContents"/>
              <w:bidi w:val="0"/>
              <w:spacing w:before="0" w:after="283"/>
              <w:jc w:val="left"/>
              <w:rPr/>
            </w:pPr>
            <w:r>
              <w:rPr/>
              <w:t>)</w:t>
            </w:r>
          </w:p>
        </w:tc>
        <w:tc>
          <w:tcPr>
            <w:tcW w:w="81" w:type="dxa"/>
            <w:tcBorders/>
            <w:shd w:fill="EEEEEE" w:val="clear"/>
            <w:vAlign w:val="center"/>
          </w:tcPr>
          <w:p>
            <w:pPr>
              <w:pStyle w:val="TableContents"/>
              <w:bidi w:val="0"/>
              <w:spacing w:before="0" w:after="283"/>
              <w:jc w:val="left"/>
              <w:rPr/>
            </w:pPr>
            <w:r>
              <w:rPr/>
              <w:t> </w:t>
            </w:r>
          </w:p>
        </w:tc>
        <w:tc>
          <w:tcPr>
            <w:tcW w:w="190" w:type="dxa"/>
            <w:tcBorders/>
            <w:shd w:fill="EEEEEE" w:val="clear"/>
            <w:vAlign w:val="center"/>
          </w:tcPr>
          <w:p>
            <w:pPr>
              <w:pStyle w:val="TableContents"/>
              <w:bidi w:val="0"/>
              <w:spacing w:before="0" w:after="283"/>
              <w:jc w:val="left"/>
              <w:rPr/>
            </w:pPr>
            <w:r>
              <w:rPr/>
              <w:t> </w:t>
            </w:r>
          </w:p>
        </w:tc>
        <w:tc>
          <w:tcPr>
            <w:tcW w:w="1189" w:type="dxa"/>
            <w:tcBorders/>
            <w:shd w:fill="EEEEEE" w:val="clear"/>
            <w:vAlign w:val="center"/>
          </w:tcPr>
          <w:p>
            <w:pPr>
              <w:pStyle w:val="TableContents"/>
              <w:bidi w:val="0"/>
              <w:spacing w:before="0" w:after="283"/>
              <w:jc w:val="right"/>
              <w:rPr/>
            </w:pPr>
            <w:r>
              <w:rPr/>
              <w:t>(120,493</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247" w:type="dxa"/>
            <w:tcBorders/>
            <w:shd w:fill="EEEEEE" w:val="clear"/>
            <w:vAlign w:val="center"/>
          </w:tcPr>
          <w:p>
            <w:pPr>
              <w:pStyle w:val="TableContents"/>
              <w:bidi w:val="0"/>
              <w:spacing w:before="0" w:after="283"/>
              <w:jc w:val="right"/>
              <w:rPr/>
            </w:pPr>
            <w:r>
              <w:rPr/>
              <w:t>(421,382</w:t>
            </w:r>
          </w:p>
        </w:tc>
        <w:tc>
          <w:tcPr>
            <w:tcW w:w="111" w:type="dxa"/>
            <w:tcBorders/>
            <w:shd w:fill="EEEEEE" w:val="clear"/>
            <w:vAlign w:val="center"/>
          </w:tcPr>
          <w:p>
            <w:pPr>
              <w:pStyle w:val="TableContents"/>
              <w:bidi w:val="0"/>
              <w:spacing w:before="0" w:after="283"/>
              <w:jc w:val="left"/>
              <w:rPr/>
            </w:pPr>
            <w:r>
              <w:rPr/>
              <w:t>)</w:t>
            </w:r>
          </w:p>
        </w:tc>
        <w:tc>
          <w:tcPr>
            <w:tcW w:w="70" w:type="dxa"/>
            <w:tcBorders/>
            <w:shd w:fill="EEEEEE" w:val="clear"/>
            <w:vAlign w:val="center"/>
          </w:tcPr>
          <w:p>
            <w:pPr>
              <w:pStyle w:val="TableContents"/>
              <w:bidi w:val="0"/>
              <w:spacing w:before="0" w:after="283"/>
              <w:jc w:val="left"/>
              <w:rPr/>
            </w:pPr>
            <w:r>
              <w:rPr/>
              <w:t> </w:t>
            </w:r>
          </w:p>
        </w:tc>
        <w:tc>
          <w:tcPr>
            <w:tcW w:w="165" w:type="dxa"/>
            <w:tcBorders/>
            <w:shd w:fill="EEEEEE" w:val="clear"/>
            <w:vAlign w:val="center"/>
          </w:tcPr>
          <w:p>
            <w:pPr>
              <w:pStyle w:val="TableContents"/>
              <w:bidi w:val="0"/>
              <w:spacing w:before="0" w:after="283"/>
              <w:jc w:val="left"/>
              <w:rPr/>
            </w:pPr>
            <w:r>
              <w:rPr/>
              <w:t> </w:t>
            </w:r>
          </w:p>
        </w:tc>
        <w:tc>
          <w:tcPr>
            <w:tcW w:w="1158" w:type="dxa"/>
            <w:tcBorders/>
            <w:shd w:fill="EEEEEE" w:val="clear"/>
            <w:vAlign w:val="center"/>
          </w:tcPr>
          <w:p>
            <w:pPr>
              <w:pStyle w:val="TableContents"/>
              <w:bidi w:val="0"/>
              <w:spacing w:before="0" w:after="283"/>
              <w:jc w:val="right"/>
              <w:rPr/>
            </w:pPr>
            <w:r>
              <w:rPr/>
              <w:t>(120,493</w:t>
            </w:r>
          </w:p>
        </w:tc>
        <w:tc>
          <w:tcPr>
            <w:tcW w:w="116" w:type="dxa"/>
            <w:tcBorders/>
            <w:shd w:fill="EEEEEE" w:val="clear"/>
            <w:vAlign w:val="center"/>
          </w:tcPr>
          <w:p>
            <w:pPr>
              <w:pStyle w:val="TableContents"/>
              <w:bidi w:val="0"/>
              <w:spacing w:before="0" w:after="283"/>
              <w:jc w:val="left"/>
              <w:rPr/>
            </w:pPr>
            <w:r>
              <w:rPr/>
              <w:t>)</w:t>
            </w:r>
            <w:bookmarkStart w:id="726" w:name="xdx_401_eus-gaap--DeferredForeignIncomeT"/>
            <w:bookmarkEnd w:id="726"/>
          </w:p>
        </w:tc>
      </w:tr>
      <w:tr>
        <w:trPr/>
        <w:tc>
          <w:tcPr>
            <w:tcW w:w="3991" w:type="dxa"/>
            <w:tcBorders/>
            <w:shd w:fill="FFFFFF" w:val="clear"/>
            <w:vAlign w:val="center"/>
          </w:tcPr>
          <w:p>
            <w:pPr>
              <w:pStyle w:val="TableContents"/>
              <w:bidi w:val="0"/>
              <w:spacing w:before="0" w:after="283"/>
              <w:jc w:val="left"/>
              <w:rPr/>
            </w:pPr>
            <w:r>
              <w:rPr/>
              <w:t>Foreign</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FFFFFF" w:val="clear"/>
            <w:tcMar>
              <w:bottom w:w="28" w:type="dxa"/>
            </w:tcMar>
            <w:vAlign w:val="center"/>
          </w:tcPr>
          <w:p>
            <w:pPr>
              <w:pStyle w:val="TableContents"/>
              <w:bidi w:val="0"/>
              <w:spacing w:before="0" w:after="283"/>
              <w:jc w:val="right"/>
              <w:rPr/>
            </w:pPr>
            <w:r>
              <w:rPr/>
              <w:t>(23,758</w:t>
            </w:r>
          </w:p>
        </w:tc>
        <w:tc>
          <w:tcPr>
            <w:tcW w:w="128" w:type="dxa"/>
            <w:tcBorders/>
            <w:shd w:fill="FFFFFF" w:val="clear"/>
            <w:vAlign w:val="center"/>
          </w:tcPr>
          <w:p>
            <w:pPr>
              <w:pStyle w:val="TableContents"/>
              <w:bidi w:val="0"/>
              <w:spacing w:before="0" w:after="283"/>
              <w:jc w:val="left"/>
              <w:rPr/>
            </w:pPr>
            <w:r>
              <w:rPr/>
              <w:t>)</w:t>
            </w:r>
          </w:p>
        </w:tc>
        <w:tc>
          <w:tcPr>
            <w:tcW w:w="81" w:type="dxa"/>
            <w:tcBorders/>
            <w:shd w:fill="FFFFFF" w:val="clear"/>
            <w:vAlign w:val="center"/>
          </w:tcPr>
          <w:p>
            <w:pPr>
              <w:pStyle w:val="TableContents"/>
              <w:bidi w:val="0"/>
              <w:spacing w:before="0" w:after="283"/>
              <w:jc w:val="left"/>
              <w:rPr/>
            </w:pPr>
            <w:r>
              <w:rPr/>
              <w:t> </w:t>
            </w:r>
          </w:p>
        </w:tc>
        <w:tc>
          <w:tcPr>
            <w:tcW w:w="19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FFFFFF" w:val="clear"/>
            <w:tcMar>
              <w:bottom w:w="28" w:type="dxa"/>
            </w:tcMar>
            <w:vAlign w:val="center"/>
          </w:tcPr>
          <w:p>
            <w:pPr>
              <w:pStyle w:val="TableContents"/>
              <w:bidi w:val="0"/>
              <w:spacing w:before="0" w:after="283"/>
              <w:jc w:val="right"/>
              <w:rPr/>
            </w:pPr>
            <w:r>
              <w:rPr/>
              <w:t>(243,391</w:t>
            </w:r>
          </w:p>
        </w:tc>
        <w:tc>
          <w:tcPr>
            <w:tcW w:w="111" w:type="dxa"/>
            <w:tcBorders/>
            <w:shd w:fill="FFFFFF" w:val="clear"/>
            <w:vAlign w:val="center"/>
          </w:tcPr>
          <w:p>
            <w:pPr>
              <w:pStyle w:val="TableContents"/>
              <w:bidi w:val="0"/>
              <w:spacing w:before="0" w:after="283"/>
              <w:jc w:val="left"/>
              <w:rPr/>
            </w:pPr>
            <w:r>
              <w:rPr/>
              <w:t>)</w:t>
            </w:r>
          </w:p>
        </w:tc>
        <w:tc>
          <w:tcPr>
            <w:tcW w:w="7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5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bookmarkStart w:id="727" w:name="xdx_401_eus-gaap--DeferredIncomeTaxExpen"/>
            <w:bookmarkEnd w:id="727"/>
          </w:p>
        </w:tc>
      </w:tr>
      <w:tr>
        <w:trPr/>
        <w:tc>
          <w:tcPr>
            <w:tcW w:w="3991" w:type="dxa"/>
            <w:tcBorders/>
            <w:shd w:fill="EEEEEE" w:val="clear"/>
            <w:vAlign w:val="center"/>
          </w:tcPr>
          <w:p>
            <w:pPr>
              <w:pStyle w:val="TableContents"/>
              <w:bidi w:val="0"/>
              <w:spacing w:before="0" w:after="283"/>
              <w:jc w:val="left"/>
              <w:rPr/>
            </w:pPr>
            <w:r>
              <w:rPr/>
              <w:t>Total deferred taxes</w:t>
            </w:r>
          </w:p>
        </w:tc>
        <w:tc>
          <w:tcPr>
            <w:tcW w:w="60" w:type="dxa"/>
            <w:tcBorders/>
            <w:shd w:fill="EEEEEE" w:val="clear"/>
            <w:vAlign w:val="center"/>
          </w:tcPr>
          <w:p>
            <w:pPr>
              <w:pStyle w:val="TableContents"/>
              <w:bidi w:val="0"/>
              <w:spacing w:before="0" w:after="283"/>
              <w:jc w:val="left"/>
              <w:rPr/>
            </w:pPr>
            <w:r>
              <w:rPr/>
              <w:t> </w:t>
            </w:r>
          </w:p>
        </w:tc>
        <w:tc>
          <w:tcPr>
            <w:tcW w:w="19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EEEEEE" w:val="clear"/>
            <w:tcMar>
              <w:bottom w:w="28" w:type="dxa"/>
            </w:tcMar>
            <w:vAlign w:val="center"/>
          </w:tcPr>
          <w:p>
            <w:pPr>
              <w:pStyle w:val="TableContents"/>
              <w:bidi w:val="0"/>
              <w:spacing w:before="0" w:after="283"/>
              <w:jc w:val="right"/>
              <w:rPr/>
            </w:pPr>
            <w:r>
              <w:rPr/>
              <w:t>(696,870</w:t>
            </w:r>
          </w:p>
        </w:tc>
        <w:tc>
          <w:tcPr>
            <w:tcW w:w="128" w:type="dxa"/>
            <w:tcBorders/>
            <w:shd w:fill="EEEEEE" w:val="clear"/>
            <w:vAlign w:val="center"/>
          </w:tcPr>
          <w:p>
            <w:pPr>
              <w:pStyle w:val="TableContents"/>
              <w:bidi w:val="0"/>
              <w:spacing w:before="0" w:after="283"/>
              <w:jc w:val="left"/>
              <w:rPr/>
            </w:pPr>
            <w:r>
              <w:rPr/>
              <w:t>)</w:t>
            </w:r>
          </w:p>
        </w:tc>
        <w:tc>
          <w:tcPr>
            <w:tcW w:w="81" w:type="dxa"/>
            <w:tcBorders/>
            <w:shd w:fill="EEEEEE" w:val="clear"/>
            <w:vAlign w:val="center"/>
          </w:tcPr>
          <w:p>
            <w:pPr>
              <w:pStyle w:val="TableContents"/>
              <w:bidi w:val="0"/>
              <w:spacing w:before="0" w:after="283"/>
              <w:jc w:val="left"/>
              <w:rPr/>
            </w:pPr>
            <w:r>
              <w:rPr/>
              <w:t> </w:t>
            </w:r>
          </w:p>
        </w:tc>
        <w:tc>
          <w:tcPr>
            <w:tcW w:w="19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89" w:type="dxa"/>
            <w:tcBorders>
              <w:bottom w:val="single" w:sz="8" w:space="0" w:color="000000"/>
            </w:tcBorders>
            <w:shd w:fill="EEEEEE" w:val="clear"/>
            <w:tcMar>
              <w:bottom w:w="28" w:type="dxa"/>
            </w:tcMar>
            <w:vAlign w:val="center"/>
          </w:tcPr>
          <w:p>
            <w:pPr>
              <w:pStyle w:val="TableContents"/>
              <w:bidi w:val="0"/>
              <w:spacing w:before="0" w:after="283"/>
              <w:jc w:val="right"/>
              <w:rPr/>
            </w:pPr>
            <w:r>
              <w:rPr/>
              <w:t>(552,783</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247" w:type="dxa"/>
            <w:tcBorders>
              <w:bottom w:val="single" w:sz="8" w:space="0" w:color="000000"/>
            </w:tcBorders>
            <w:shd w:fill="EEEEEE" w:val="clear"/>
            <w:tcMar>
              <w:bottom w:w="28" w:type="dxa"/>
            </w:tcMar>
            <w:vAlign w:val="center"/>
          </w:tcPr>
          <w:p>
            <w:pPr>
              <w:pStyle w:val="TableContents"/>
              <w:bidi w:val="0"/>
              <w:spacing w:before="0" w:after="283"/>
              <w:jc w:val="right"/>
              <w:rPr/>
            </w:pPr>
            <w:r>
              <w:rPr/>
              <w:t>(2,482,995</w:t>
            </w:r>
          </w:p>
        </w:tc>
        <w:tc>
          <w:tcPr>
            <w:tcW w:w="111" w:type="dxa"/>
            <w:tcBorders/>
            <w:shd w:fill="EEEEEE" w:val="clear"/>
            <w:vAlign w:val="center"/>
          </w:tcPr>
          <w:p>
            <w:pPr>
              <w:pStyle w:val="TableContents"/>
              <w:bidi w:val="0"/>
              <w:spacing w:before="0" w:after="283"/>
              <w:jc w:val="left"/>
              <w:rPr/>
            </w:pPr>
            <w:r>
              <w:rPr/>
              <w:t>)</w:t>
            </w:r>
          </w:p>
        </w:tc>
        <w:tc>
          <w:tcPr>
            <w:tcW w:w="70" w:type="dxa"/>
            <w:tcBorders/>
            <w:shd w:fill="EEEEEE" w:val="clear"/>
            <w:vAlign w:val="center"/>
          </w:tcPr>
          <w:p>
            <w:pPr>
              <w:pStyle w:val="TableContents"/>
              <w:bidi w:val="0"/>
              <w:spacing w:before="0" w:after="283"/>
              <w:jc w:val="left"/>
              <w:rPr/>
            </w:pPr>
            <w:r>
              <w:rPr/>
              <w:t> </w:t>
            </w:r>
          </w:p>
        </w:tc>
        <w:tc>
          <w:tcPr>
            <w:tcW w:w="165"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158" w:type="dxa"/>
            <w:tcBorders>
              <w:bottom w:val="single" w:sz="8" w:space="0" w:color="000000"/>
            </w:tcBorders>
            <w:shd w:fill="EEEEEE" w:val="clear"/>
            <w:tcMar>
              <w:bottom w:w="28" w:type="dxa"/>
            </w:tcMar>
            <w:vAlign w:val="center"/>
          </w:tcPr>
          <w:p>
            <w:pPr>
              <w:pStyle w:val="TableContents"/>
              <w:bidi w:val="0"/>
              <w:spacing w:before="0" w:after="283"/>
              <w:jc w:val="right"/>
              <w:rPr/>
            </w:pPr>
            <w:r>
              <w:rPr/>
              <w:t>(552,783</w:t>
            </w:r>
          </w:p>
        </w:tc>
        <w:tc>
          <w:tcPr>
            <w:tcW w:w="116" w:type="dxa"/>
            <w:tcBorders/>
            <w:shd w:fill="EEEEEE" w:val="clear"/>
            <w:vAlign w:val="center"/>
          </w:tcPr>
          <w:p>
            <w:pPr>
              <w:pStyle w:val="TableContents"/>
              <w:bidi w:val="0"/>
              <w:spacing w:before="0" w:after="283"/>
              <w:jc w:val="left"/>
              <w:rPr/>
            </w:pPr>
            <w:r>
              <w:rPr/>
              <w:t>)</w:t>
            </w:r>
          </w:p>
        </w:tc>
      </w:tr>
      <w:tr>
        <w:trPr/>
        <w:tc>
          <w:tcPr>
            <w:tcW w:w="399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128"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jc w:val="left"/>
              <w:rPr/>
            </w:pPr>
            <w:r>
              <w:rPr/>
              <w:t> </w:t>
            </w:r>
          </w:p>
        </w:tc>
        <w:tc>
          <w:tcPr>
            <w:tcW w:w="118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47"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158"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jc w:val="left"/>
              <w:rPr/>
            </w:pPr>
            <w:r>
              <w:rPr/>
              <w:t> </w:t>
            </w:r>
            <w:bookmarkStart w:id="728" w:name="xdx_403_eus-gaap--OtherTaxExpenseBenefit"/>
            <w:bookmarkEnd w:id="728"/>
          </w:p>
        </w:tc>
      </w:tr>
      <w:tr>
        <w:trPr/>
        <w:tc>
          <w:tcPr>
            <w:tcW w:w="3991" w:type="dxa"/>
            <w:tcBorders/>
            <w:shd w:fill="EEEEEE" w:val="clear"/>
            <w:vAlign w:val="center"/>
          </w:tcPr>
          <w:p>
            <w:pPr>
              <w:pStyle w:val="TableContents"/>
              <w:bidi w:val="0"/>
              <w:spacing w:before="0" w:after="283"/>
              <w:jc w:val="left"/>
              <w:rPr/>
            </w:pPr>
            <w:r>
              <w:rPr/>
              <w:t>Total provision for income taxes</w:t>
            </w:r>
          </w:p>
        </w:tc>
        <w:tc>
          <w:tcPr>
            <w:tcW w:w="60" w:type="dxa"/>
            <w:tcBorders/>
            <w:shd w:fill="EEEEEE" w:val="clear"/>
            <w:vAlign w:val="center"/>
          </w:tcPr>
          <w:p>
            <w:pPr>
              <w:pStyle w:val="TableContents"/>
              <w:bidi w:val="0"/>
              <w:spacing w:before="0" w:after="283"/>
              <w:jc w:val="left"/>
              <w:rPr/>
            </w:pPr>
            <w:r>
              <w:rPr/>
              <w:t> </w:t>
            </w:r>
          </w:p>
        </w:tc>
        <w:tc>
          <w:tcPr>
            <w:tcW w:w="19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89" w:type="dxa"/>
            <w:tcBorders>
              <w:bottom w:val="double" w:sz="6" w:space="0" w:color="000000"/>
            </w:tcBorders>
            <w:shd w:fill="EEEEEE" w:val="clear"/>
            <w:tcMar>
              <w:bottom w:w="28" w:type="dxa"/>
            </w:tcMar>
            <w:vAlign w:val="center"/>
          </w:tcPr>
          <w:p>
            <w:pPr>
              <w:pStyle w:val="TableContents"/>
              <w:bidi w:val="0"/>
              <w:spacing w:before="0" w:after="283"/>
              <w:jc w:val="right"/>
              <w:rPr/>
            </w:pPr>
            <w:r>
              <w:rPr/>
              <w:t>(589,581</w:t>
            </w:r>
          </w:p>
        </w:tc>
        <w:tc>
          <w:tcPr>
            <w:tcW w:w="128" w:type="dxa"/>
            <w:tcBorders/>
            <w:shd w:fill="EEEEEE" w:val="clear"/>
            <w:vAlign w:val="center"/>
          </w:tcPr>
          <w:p>
            <w:pPr>
              <w:pStyle w:val="TableContents"/>
              <w:bidi w:val="0"/>
              <w:spacing w:before="0" w:after="283"/>
              <w:jc w:val="left"/>
              <w:rPr/>
            </w:pPr>
            <w:r>
              <w:rPr/>
              <w:t>)</w:t>
            </w:r>
          </w:p>
        </w:tc>
        <w:tc>
          <w:tcPr>
            <w:tcW w:w="81" w:type="dxa"/>
            <w:tcBorders/>
            <w:shd w:fill="EEEEEE" w:val="clear"/>
            <w:vAlign w:val="center"/>
          </w:tcPr>
          <w:p>
            <w:pPr>
              <w:pStyle w:val="TableContents"/>
              <w:bidi w:val="0"/>
              <w:spacing w:before="0" w:after="283"/>
              <w:jc w:val="left"/>
              <w:rPr/>
            </w:pPr>
            <w:r>
              <w:rPr/>
              <w:t> </w:t>
            </w:r>
          </w:p>
        </w:tc>
        <w:tc>
          <w:tcPr>
            <w:tcW w:w="19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89" w:type="dxa"/>
            <w:tcBorders>
              <w:bottom w:val="double" w:sz="6" w:space="0" w:color="000000"/>
            </w:tcBorders>
            <w:shd w:fill="EEEEEE" w:val="clear"/>
            <w:tcMar>
              <w:bottom w:w="28" w:type="dxa"/>
            </w:tcMar>
            <w:vAlign w:val="center"/>
          </w:tcPr>
          <w:p>
            <w:pPr>
              <w:pStyle w:val="TableContents"/>
              <w:bidi w:val="0"/>
              <w:spacing w:before="0" w:after="283"/>
              <w:jc w:val="right"/>
              <w:rPr/>
            </w:pPr>
            <w:r>
              <w:rPr/>
              <w:t>39,855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6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247" w:type="dxa"/>
            <w:tcBorders>
              <w:bottom w:val="double" w:sz="6" w:space="0" w:color="000000"/>
            </w:tcBorders>
            <w:shd w:fill="EEEEEE" w:val="clear"/>
            <w:tcMar>
              <w:bottom w:w="28" w:type="dxa"/>
            </w:tcMar>
            <w:vAlign w:val="center"/>
          </w:tcPr>
          <w:p>
            <w:pPr>
              <w:pStyle w:val="TableContents"/>
              <w:bidi w:val="0"/>
              <w:spacing w:before="0" w:after="283"/>
              <w:jc w:val="right"/>
              <w:rPr/>
            </w:pPr>
            <w:r>
              <w:rPr/>
              <w:t>(2,085,126</w:t>
            </w:r>
          </w:p>
        </w:tc>
        <w:tc>
          <w:tcPr>
            <w:tcW w:w="111" w:type="dxa"/>
            <w:tcBorders/>
            <w:shd w:fill="EEEEEE" w:val="clear"/>
            <w:vAlign w:val="center"/>
          </w:tcPr>
          <w:p>
            <w:pPr>
              <w:pStyle w:val="TableContents"/>
              <w:bidi w:val="0"/>
              <w:spacing w:before="0" w:after="283"/>
              <w:jc w:val="left"/>
              <w:rPr/>
            </w:pPr>
            <w:r>
              <w:rPr/>
              <w:t>)</w:t>
            </w:r>
          </w:p>
        </w:tc>
        <w:tc>
          <w:tcPr>
            <w:tcW w:w="70" w:type="dxa"/>
            <w:tcBorders/>
            <w:shd w:fill="EEEEEE" w:val="clear"/>
            <w:vAlign w:val="center"/>
          </w:tcPr>
          <w:p>
            <w:pPr>
              <w:pStyle w:val="TableContents"/>
              <w:bidi w:val="0"/>
              <w:spacing w:before="0" w:after="283"/>
              <w:jc w:val="left"/>
              <w:rPr/>
            </w:pPr>
            <w:r>
              <w:rPr/>
              <w:t> </w:t>
            </w:r>
          </w:p>
        </w:tc>
        <w:tc>
          <w:tcPr>
            <w:tcW w:w="165"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58" w:type="dxa"/>
            <w:tcBorders>
              <w:bottom w:val="double" w:sz="6" w:space="0" w:color="000000"/>
            </w:tcBorders>
            <w:shd w:fill="EEEEEE" w:val="clear"/>
            <w:tcMar>
              <w:bottom w:w="28" w:type="dxa"/>
            </w:tcMar>
            <w:vAlign w:val="center"/>
          </w:tcPr>
          <w:p>
            <w:pPr>
              <w:pStyle w:val="TableContents"/>
              <w:bidi w:val="0"/>
              <w:spacing w:before="0" w:after="283"/>
              <w:jc w:val="right"/>
              <w:rPr/>
            </w:pPr>
            <w:r>
              <w:rPr/>
              <w:t>705,545</w:t>
            </w:r>
          </w:p>
        </w:tc>
        <w:tc>
          <w:tcPr>
            <w:tcW w:w="116"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29" w:name="xdx_8A9_zC7abx92bmja"/>
      <w:bookmarkEnd w:id="729"/>
      <w:r>
        <w:rPr>
          <w:caps w:val="false"/>
          <w:smallCaps w:val="false"/>
        </w:rPr>
        <w:t> </w:t>
      </w:r>
    </w:p>
    <w:p>
      <w:pPr>
        <w:pStyle w:val="TextBody"/>
        <w:bidi w:val="0"/>
        <w:spacing w:before="0" w:after="0"/>
        <w:ind w:left="0" w:right="0" w:hanging="0"/>
        <w:jc w:val="both"/>
        <w:rPr>
          <w:caps w:val="false"/>
          <w:smallCaps w:val="false"/>
        </w:rPr>
      </w:pPr>
      <w:bookmarkStart w:id="730" w:name="xdx_232_zDQeMkvCB3Qe"/>
      <w:bookmarkEnd w:id="730"/>
      <w:r>
        <w:rPr>
          <w:caps w:val="false"/>
          <w:smallCaps w:val="false"/>
        </w:rPr>
        <w:t> </w:t>
      </w:r>
    </w:p>
    <w:p>
      <w:pPr>
        <w:pStyle w:val="TextBody"/>
        <w:bidi w:val="0"/>
        <w:spacing w:before="0" w:after="0"/>
        <w:ind w:left="0" w:right="0" w:hanging="0"/>
        <w:jc w:val="both"/>
        <w:rPr>
          <w:caps w:val="false"/>
          <w:smallCaps w:val="false"/>
        </w:rPr>
      </w:pPr>
      <w:bookmarkStart w:id="731" w:name="xdx_23F_z4jEOX0eEeCl"/>
      <w:bookmarkEnd w:id="73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bookmarkStart w:id="732" w:name="xdx_238_zmuMvfEP7zq8"/>
            <w:bookmarkEnd w:id="732"/>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733" w:name="xdx_234_zYZBsnevXL66"/>
      <w:bookmarkEnd w:id="733"/>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734" w:name="xdx_23C_zTWD7lLvCHak"/>
      <w:bookmarkEnd w:id="73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U.S. federal income tax as well as state income tax in certain jurisdictions. The tax years 2018 to 2021 remain open to examination by the major taxing jurisdictions to which the Company is subject. The following is a reconciliation of income tax expenses at the effective rate to income tax at the calculated statutory rates:</w:t>
      </w:r>
    </w:p>
    <w:p>
      <w:pPr>
        <w:pStyle w:val="TextBody"/>
        <w:bidi w:val="0"/>
        <w:spacing w:before="0" w:after="0"/>
        <w:ind w:left="0" w:right="0" w:hanging="0"/>
        <w:jc w:val="both"/>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35" w:name="xdx_890_eus-gaap--ScheduleOfEffectiveInc"/>
      <w:bookmarkStart w:id="736" w:name="xdx_890_eus-gaap--ScheduleOfEffectiveInc"/>
      <w:bookmarkEnd w:id="736"/>
    </w:p>
    <w:tbl>
      <w:tblPr>
        <w:tblW w:w="10205" w:type="dxa"/>
        <w:jc w:val="left"/>
        <w:tblInd w:w="0" w:type="dxa"/>
        <w:tblLayout w:type="fixed"/>
        <w:tblCellMar>
          <w:top w:w="0" w:type="dxa"/>
          <w:left w:w="0" w:type="dxa"/>
          <w:bottom w:w="0" w:type="dxa"/>
          <w:right w:w="0" w:type="dxa"/>
        </w:tblCellMar>
      </w:tblPr>
      <w:tblGrid>
        <w:gridCol w:w="4928"/>
        <w:gridCol w:w="60"/>
        <w:gridCol w:w="86"/>
        <w:gridCol w:w="1028"/>
        <w:gridCol w:w="86"/>
        <w:gridCol w:w="86"/>
        <w:gridCol w:w="86"/>
        <w:gridCol w:w="1136"/>
        <w:gridCol w:w="95"/>
        <w:gridCol w:w="60"/>
        <w:gridCol w:w="86"/>
        <w:gridCol w:w="1022"/>
        <w:gridCol w:w="136"/>
        <w:gridCol w:w="86"/>
        <w:gridCol w:w="86"/>
        <w:gridCol w:w="1022"/>
        <w:gridCol w:w="116"/>
      </w:tblGrid>
      <w:tr>
        <w:trPr/>
        <w:tc>
          <w:tcPr>
            <w:tcW w:w="4928" w:type="dxa"/>
            <w:tcBorders/>
            <w:vAlign w:val="center"/>
          </w:tcPr>
          <w:p>
            <w:pPr>
              <w:pStyle w:val="TableContents"/>
              <w:bidi w:val="0"/>
              <w:spacing w:before="0" w:after="283"/>
              <w:ind w:left="0" w:right="0" w:hanging="200"/>
              <w:jc w:val="left"/>
              <w:rPr/>
            </w:pPr>
            <w:bookmarkStart w:id="737" w:name="xdx_8B8_zzgpKkD2MtH2"/>
            <w:bookmarkEnd w:id="737"/>
            <w:r>
              <w:rPr/>
              <w:t>Schedule of reconciliation of effective income tax rate</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bookmarkStart w:id="738" w:name="xdx_495_20230101__20230331_zWxZi1tKE54b"/>
            <w:bookmarkEnd w:id="738"/>
          </w:p>
        </w:tc>
        <w:tc>
          <w:tcPr>
            <w:tcW w:w="1028"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bookmarkStart w:id="739" w:name="xdx_497_20220101__20220331_zhpCz8owGOyf"/>
            <w:bookmarkEnd w:id="739"/>
          </w:p>
        </w:tc>
        <w:tc>
          <w:tcPr>
            <w:tcW w:w="1136"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bookmarkStart w:id="740" w:name="xdx_494_20220701__20230331_zah151Mtji7a"/>
            <w:bookmarkEnd w:id="740"/>
          </w:p>
        </w:tc>
        <w:tc>
          <w:tcPr>
            <w:tcW w:w="1022" w:type="dxa"/>
            <w:tcBorders/>
            <w:vAlign w:val="center"/>
          </w:tcPr>
          <w:p>
            <w:pPr>
              <w:pStyle w:val="TableContents"/>
              <w:bidi w:val="0"/>
              <w:spacing w:before="0" w:after="283"/>
              <w:jc w:val="center"/>
              <w:rPr/>
            </w:pPr>
            <w:r>
              <w:rPr/>
              <w:t> </w:t>
            </w:r>
          </w:p>
        </w:tc>
        <w:tc>
          <w:tcPr>
            <w:tcW w:w="13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bookmarkStart w:id="741" w:name="xdx_493_20210701__20220331_zn14D4gEE6a1"/>
            <w:bookmarkEnd w:id="741"/>
          </w:p>
        </w:tc>
        <w:tc>
          <w:tcPr>
            <w:tcW w:w="1022" w:type="dxa"/>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left"/>
              <w:rPr/>
            </w:pPr>
            <w:r>
              <w:rPr/>
              <w:t> </w:t>
            </w:r>
          </w:p>
        </w:tc>
      </w:tr>
      <w:tr>
        <w:trPr/>
        <w:tc>
          <w:tcPr>
            <w:tcW w:w="49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8" w:type="dxa"/>
            <w:gridSpan w:val="6"/>
            <w:tcBorders>
              <w:bottom w:val="single" w:sz="8" w:space="0" w:color="000000"/>
            </w:tcBorders>
            <w:tcMar>
              <w:bottom w:w="28" w:type="dxa"/>
            </w:tcMar>
            <w:vAlign w:val="center"/>
          </w:tcPr>
          <w:p>
            <w:pPr>
              <w:pStyle w:val="TableContents"/>
              <w:bidi w:val="0"/>
              <w:spacing w:before="0" w:after="283"/>
              <w:jc w:val="center"/>
              <w:rPr/>
            </w:pPr>
            <w:r>
              <w:rPr/>
              <w:t>Three Months Ended 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38" w:type="dxa"/>
            <w:gridSpan w:val="6"/>
            <w:tcBorders>
              <w:bottom w:val="single" w:sz="8" w:space="0" w:color="000000"/>
            </w:tcBorders>
            <w:tcMar>
              <w:bottom w:w="28" w:type="dxa"/>
            </w:tcMar>
            <w:vAlign w:val="center"/>
          </w:tcPr>
          <w:p>
            <w:pPr>
              <w:pStyle w:val="TableContents"/>
              <w:bidi w:val="0"/>
              <w:spacing w:before="0" w:after="283"/>
              <w:jc w:val="center"/>
              <w:rPr/>
            </w:pPr>
            <w:r>
              <w:rPr/>
              <w:t>Nine Months Ended March 31,</w:t>
            </w:r>
          </w:p>
        </w:tc>
        <w:tc>
          <w:tcPr>
            <w:tcW w:w="116" w:type="dxa"/>
            <w:tcBorders/>
            <w:vAlign w:val="center"/>
          </w:tcPr>
          <w:p>
            <w:pPr>
              <w:pStyle w:val="TableContents"/>
              <w:bidi w:val="0"/>
              <w:spacing w:before="0" w:after="283"/>
              <w:jc w:val="left"/>
              <w:rPr/>
            </w:pPr>
            <w:r>
              <w:rPr/>
              <w:t> </w:t>
            </w:r>
          </w:p>
        </w:tc>
      </w:tr>
      <w:tr>
        <w:trPr/>
        <w:tc>
          <w:tcPr>
            <w:tcW w:w="49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4"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222"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3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108"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116" w:type="dxa"/>
            <w:tcBorders/>
            <w:vAlign w:val="center"/>
          </w:tcPr>
          <w:p>
            <w:pPr>
              <w:pStyle w:val="TableContents"/>
              <w:bidi w:val="0"/>
              <w:spacing w:before="0" w:after="283"/>
              <w:jc w:val="left"/>
              <w:rPr/>
            </w:pPr>
            <w:r>
              <w:rPr/>
              <w:t> </w:t>
            </w:r>
          </w:p>
        </w:tc>
      </w:tr>
      <w:tr>
        <w:trPr/>
        <w:tc>
          <w:tcPr>
            <w:tcW w:w="4928" w:type="dxa"/>
            <w:tcBorders/>
            <w:shd w:fill="EEEEEE" w:val="clear"/>
            <w:vAlign w:val="center"/>
          </w:tcPr>
          <w:p>
            <w:pPr>
              <w:pStyle w:val="TableContents"/>
              <w:bidi w:val="0"/>
              <w:spacing w:before="0" w:after="283"/>
              <w:jc w:val="left"/>
              <w:rPr/>
            </w:pPr>
            <w:r>
              <w:rPr/>
              <w:t>Statutory tax rate</w:t>
            </w:r>
          </w:p>
        </w:tc>
        <w:tc>
          <w:tcPr>
            <w:tcW w:w="60"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028" w:type="dxa"/>
            <w:tcBorders/>
            <w:shd w:fill="EEEEEE" w:val="clear"/>
            <w:vAlign w:val="center"/>
          </w:tcPr>
          <w:p>
            <w:pPr>
              <w:pStyle w:val="TableContents"/>
              <w:bidi w:val="0"/>
              <w:spacing w:before="0" w:after="283"/>
              <w:jc w:val="right"/>
              <w:rPr/>
            </w:pPr>
            <w:r>
              <w:rPr/>
              <w:t> </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136"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022" w:type="dxa"/>
            <w:tcBorders/>
            <w:shd w:fill="EEEEEE" w:val="clear"/>
            <w:vAlign w:val="center"/>
          </w:tcPr>
          <w:p>
            <w:pPr>
              <w:pStyle w:val="TableContents"/>
              <w:bidi w:val="0"/>
              <w:spacing w:before="0" w:after="283"/>
              <w:jc w:val="right"/>
              <w:rPr/>
            </w:pPr>
            <w:r>
              <w:rPr/>
              <w:t> </w:t>
            </w:r>
          </w:p>
        </w:tc>
        <w:tc>
          <w:tcPr>
            <w:tcW w:w="13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022"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ind w:left="0" w:right="0" w:hanging="200"/>
              <w:jc w:val="left"/>
              <w:rPr/>
            </w:pPr>
            <w:r>
              <w:rPr/>
              <w:t> </w:t>
            </w:r>
            <w:bookmarkStart w:id="742" w:name="xdx_405_eus-gaap--EffectiveIncomeTaxRate"/>
            <w:bookmarkEnd w:id="742"/>
          </w:p>
        </w:tc>
      </w:tr>
      <w:tr>
        <w:trPr/>
        <w:tc>
          <w:tcPr>
            <w:tcW w:w="4928"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21.00%</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21.00%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t>21.00%</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t>21.00%</w:t>
            </w:r>
          </w:p>
        </w:tc>
        <w:tc>
          <w:tcPr>
            <w:tcW w:w="116" w:type="dxa"/>
            <w:tcBorders/>
            <w:shd w:fill="FFFFFF" w:val="clear"/>
            <w:vAlign w:val="center"/>
          </w:tcPr>
          <w:p>
            <w:pPr>
              <w:pStyle w:val="TableContents"/>
              <w:bidi w:val="0"/>
              <w:spacing w:before="0" w:after="283"/>
              <w:ind w:left="0" w:right="0" w:hanging="200"/>
              <w:jc w:val="left"/>
              <w:rPr/>
            </w:pPr>
            <w:r>
              <w:rPr/>
              <w:t> </w:t>
            </w:r>
            <w:bookmarkStart w:id="743" w:name="xdx_402_eus-gaap--EffectiveIncomeTaxRate"/>
            <w:bookmarkEnd w:id="743"/>
          </w:p>
        </w:tc>
      </w:tr>
      <w:tr>
        <w:trPr/>
        <w:tc>
          <w:tcPr>
            <w:tcW w:w="4928" w:type="dxa"/>
            <w:tcBorders/>
            <w:shd w:fill="EEEEEE" w:val="clear"/>
            <w:vAlign w:val="center"/>
          </w:tcPr>
          <w:p>
            <w:pPr>
              <w:pStyle w:val="TableContents"/>
              <w:bidi w:val="0"/>
              <w:spacing w:before="0" w:after="283"/>
              <w:jc w:val="left"/>
              <w:rPr/>
            </w:pPr>
            <w:r>
              <w:rPr/>
              <w:t>State</w:t>
            </w:r>
          </w:p>
        </w:tc>
        <w:tc>
          <w:tcPr>
            <w:tcW w:w="60"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028" w:type="dxa"/>
            <w:tcBorders/>
            <w:shd w:fill="EEEEEE" w:val="clear"/>
            <w:vAlign w:val="center"/>
          </w:tcPr>
          <w:p>
            <w:pPr>
              <w:pStyle w:val="TableContents"/>
              <w:bidi w:val="0"/>
              <w:spacing w:before="0" w:after="283"/>
              <w:jc w:val="right"/>
              <w:rPr/>
            </w:pPr>
            <w:r>
              <w:rPr/>
              <w:t>5.82%</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136" w:type="dxa"/>
            <w:tcBorders/>
            <w:shd w:fill="EEEEEE" w:val="clear"/>
            <w:vAlign w:val="center"/>
          </w:tcPr>
          <w:p>
            <w:pPr>
              <w:pStyle w:val="TableContents"/>
              <w:bidi w:val="0"/>
              <w:spacing w:before="0" w:after="283"/>
              <w:jc w:val="right"/>
              <w:rPr/>
            </w:pPr>
            <w:r>
              <w:rPr/>
              <w:t>5.45%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022" w:type="dxa"/>
            <w:tcBorders/>
            <w:shd w:fill="EEEEEE" w:val="clear"/>
            <w:vAlign w:val="center"/>
          </w:tcPr>
          <w:p>
            <w:pPr>
              <w:pStyle w:val="TableContents"/>
              <w:bidi w:val="0"/>
              <w:spacing w:before="0" w:after="283"/>
              <w:jc w:val="right"/>
              <w:rPr/>
            </w:pPr>
            <w:r>
              <w:rPr/>
              <w:t>5.82%</w:t>
            </w:r>
          </w:p>
        </w:tc>
        <w:tc>
          <w:tcPr>
            <w:tcW w:w="13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022" w:type="dxa"/>
            <w:tcBorders/>
            <w:shd w:fill="EEEEEE" w:val="clear"/>
            <w:vAlign w:val="center"/>
          </w:tcPr>
          <w:p>
            <w:pPr>
              <w:pStyle w:val="TableContents"/>
              <w:bidi w:val="0"/>
              <w:spacing w:before="0" w:after="283"/>
              <w:jc w:val="right"/>
              <w:rPr/>
            </w:pPr>
            <w:r>
              <w:rPr/>
              <w:t>5.71%</w:t>
            </w:r>
          </w:p>
        </w:tc>
        <w:tc>
          <w:tcPr>
            <w:tcW w:w="116" w:type="dxa"/>
            <w:tcBorders/>
            <w:shd w:fill="EEEEEE" w:val="clear"/>
            <w:vAlign w:val="center"/>
          </w:tcPr>
          <w:p>
            <w:pPr>
              <w:pStyle w:val="TableContents"/>
              <w:bidi w:val="0"/>
              <w:spacing w:before="0" w:after="283"/>
              <w:ind w:left="0" w:right="0" w:hanging="200"/>
              <w:jc w:val="left"/>
              <w:rPr/>
            </w:pPr>
            <w:r>
              <w:rPr/>
              <w:t> </w:t>
            </w:r>
            <w:bookmarkStart w:id="744" w:name="xdx_40E_eus-gaap--EffectiveIncomeTaxRate"/>
            <w:bookmarkEnd w:id="744"/>
          </w:p>
        </w:tc>
      </w:tr>
      <w:tr>
        <w:trPr/>
        <w:tc>
          <w:tcPr>
            <w:tcW w:w="4928" w:type="dxa"/>
            <w:tcBorders/>
            <w:shd w:fill="FFFFFF" w:val="clear"/>
            <w:vAlign w:val="center"/>
          </w:tcPr>
          <w:p>
            <w:pPr>
              <w:pStyle w:val="TableContents"/>
              <w:bidi w:val="0"/>
              <w:spacing w:before="0" w:after="283"/>
              <w:jc w:val="left"/>
              <w:rPr/>
            </w:pPr>
            <w:r>
              <w:rPr/>
              <w:t>Foreign tax rate difference</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28" w:type="dxa"/>
            <w:tcBorders/>
            <w:shd w:fill="FFFFFF" w:val="clear"/>
            <w:vAlign w:val="center"/>
          </w:tcPr>
          <w:p>
            <w:pPr>
              <w:pStyle w:val="TableContents"/>
              <w:bidi w:val="0"/>
              <w:spacing w:before="0" w:after="283"/>
              <w:jc w:val="right"/>
              <w:rPr/>
            </w:pPr>
            <w:r>
              <w:rPr/>
              <w:t>0.33%</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136" w:type="dxa"/>
            <w:tcBorders/>
            <w:shd w:fill="FFFFFF" w:val="clear"/>
            <w:vAlign w:val="center"/>
          </w:tcPr>
          <w:p>
            <w:pPr>
              <w:pStyle w:val="TableContents"/>
              <w:bidi w:val="0"/>
              <w:spacing w:before="0" w:after="283"/>
              <w:jc w:val="right"/>
              <w:rPr/>
            </w:pPr>
            <w:r>
              <w:rPr/>
              <w:t>(1.59%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t>2.19%</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22" w:type="dxa"/>
            <w:tcBorders/>
            <w:shd w:fill="FFFFFF" w:val="clear"/>
            <w:vAlign w:val="center"/>
          </w:tcPr>
          <w:p>
            <w:pPr>
              <w:pStyle w:val="TableContents"/>
              <w:bidi w:val="0"/>
              <w:spacing w:before="0" w:after="283"/>
              <w:jc w:val="right"/>
              <w:rPr/>
            </w:pPr>
            <w:r>
              <w:rPr/>
              <w:t>(0.54%</w:t>
            </w:r>
          </w:p>
        </w:tc>
        <w:tc>
          <w:tcPr>
            <w:tcW w:w="116" w:type="dxa"/>
            <w:tcBorders/>
            <w:shd w:fill="FFFFFF" w:val="clear"/>
            <w:vAlign w:val="center"/>
          </w:tcPr>
          <w:p>
            <w:pPr>
              <w:pStyle w:val="TableContents"/>
              <w:bidi w:val="0"/>
              <w:spacing w:before="0" w:after="283"/>
              <w:ind w:left="0" w:right="0" w:hanging="200"/>
              <w:jc w:val="left"/>
              <w:rPr/>
            </w:pPr>
            <w:r>
              <w:rPr/>
              <w:t>)</w:t>
            </w:r>
            <w:bookmarkStart w:id="745" w:name="xdx_407_eus-gaap--EffectiveIncomeTaxRate"/>
            <w:bookmarkEnd w:id="745"/>
          </w:p>
        </w:tc>
      </w:tr>
      <w:tr>
        <w:trPr/>
        <w:tc>
          <w:tcPr>
            <w:tcW w:w="4928" w:type="dxa"/>
            <w:tcBorders/>
            <w:shd w:fill="EEEEEE" w:val="clear"/>
            <w:vAlign w:val="center"/>
          </w:tcPr>
          <w:p>
            <w:pPr>
              <w:pStyle w:val="TableContents"/>
              <w:bidi w:val="0"/>
              <w:spacing w:before="0" w:after="283"/>
              <w:jc w:val="left"/>
              <w:rPr/>
            </w:pPr>
            <w:r>
              <w:rPr/>
              <w:t>Impairment loss on goodwill -permanent difference</w:t>
            </w:r>
          </w:p>
        </w:tc>
        <w:tc>
          <w:tcPr>
            <w:tcW w:w="60"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028" w:type="dxa"/>
            <w:tcBorders/>
            <w:shd w:fill="EEEEEE" w:val="clear"/>
            <w:vAlign w:val="center"/>
          </w:tcPr>
          <w:p>
            <w:pPr>
              <w:pStyle w:val="TableContents"/>
              <w:bidi w:val="0"/>
              <w:spacing w:before="0" w:after="283"/>
              <w:jc w:val="right"/>
              <w:rPr/>
            </w:pPr>
            <w:r>
              <w:rPr/>
              <w:t>–</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136"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022" w:type="dxa"/>
            <w:tcBorders/>
            <w:shd w:fill="EEEEEE" w:val="clear"/>
            <w:vAlign w:val="center"/>
          </w:tcPr>
          <w:p>
            <w:pPr>
              <w:pStyle w:val="TableContents"/>
              <w:bidi w:val="0"/>
              <w:spacing w:before="0" w:after="283"/>
              <w:jc w:val="right"/>
              <w:rPr/>
            </w:pPr>
            <w:r>
              <w:rPr/>
              <w:t>(7.40%</w:t>
            </w:r>
          </w:p>
        </w:tc>
        <w:tc>
          <w:tcPr>
            <w:tcW w:w="136" w:type="dxa"/>
            <w:tcBorders/>
            <w:shd w:fill="EEEEEE" w:val="clear"/>
            <w:vAlign w:val="center"/>
          </w:tcPr>
          <w:p>
            <w:pPr>
              <w:pStyle w:val="TableContents"/>
              <w:bidi w:val="0"/>
              <w:spacing w:before="0" w:after="283"/>
              <w:jc w:val="left"/>
              <w:rPr/>
            </w:pPr>
            <w:r>
              <w:rPr/>
              <w:t>)</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022" w:type="dxa"/>
            <w:tcBorders/>
            <w:shd w:fill="EEEEEE" w:val="clear"/>
            <w:vAlign w:val="center"/>
          </w:tcPr>
          <w:p>
            <w:pPr>
              <w:pStyle w:val="TableContents"/>
              <w:bidi w:val="0"/>
              <w:spacing w:before="0" w:after="283"/>
              <w:jc w:val="right"/>
              <w:rPr/>
            </w:pPr>
            <w:r>
              <w:rPr/>
              <w:t>–</w:t>
            </w:r>
          </w:p>
        </w:tc>
        <w:tc>
          <w:tcPr>
            <w:tcW w:w="116" w:type="dxa"/>
            <w:tcBorders/>
            <w:shd w:fill="EEEEEE" w:val="clear"/>
            <w:vAlign w:val="center"/>
          </w:tcPr>
          <w:p>
            <w:pPr>
              <w:pStyle w:val="TableContents"/>
              <w:bidi w:val="0"/>
              <w:spacing w:before="0" w:after="283"/>
              <w:ind w:left="0" w:right="0" w:hanging="200"/>
              <w:jc w:val="left"/>
              <w:rPr/>
            </w:pPr>
            <w:r>
              <w:rPr/>
              <w:t> </w:t>
            </w:r>
            <w:bookmarkStart w:id="746" w:name="xdx_40A_eus-gaap--EffectiveIncomeTaxRate"/>
            <w:bookmarkEnd w:id="746"/>
          </w:p>
        </w:tc>
      </w:tr>
      <w:tr>
        <w:trPr/>
        <w:tc>
          <w:tcPr>
            <w:tcW w:w="4928" w:type="dxa"/>
            <w:tcBorders/>
            <w:shd w:fill="FFFFFF" w:val="clear"/>
            <w:vAlign w:val="center"/>
          </w:tcPr>
          <w:p>
            <w:pPr>
              <w:pStyle w:val="TableContents"/>
              <w:bidi w:val="0"/>
              <w:spacing w:before="0" w:after="283"/>
              <w:jc w:val="left"/>
              <w:rPr/>
            </w:pPr>
            <w:r>
              <w:rPr/>
              <w:t>Net effect of state income tax deduction and other permanent differences</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single" w:sz="8" w:space="0" w:color="000000"/>
            </w:tcBorders>
            <w:shd w:fill="FFFFFF" w:val="clear"/>
            <w:tcMar>
              <w:bottom w:w="28" w:type="dxa"/>
            </w:tcMar>
            <w:vAlign w:val="center"/>
          </w:tcPr>
          <w:p>
            <w:pPr>
              <w:pStyle w:val="TableContents"/>
              <w:bidi w:val="0"/>
              <w:spacing w:before="0" w:after="283"/>
              <w:jc w:val="right"/>
              <w:rPr/>
            </w:pPr>
            <w:r>
              <w:rPr/>
              <w:t>0.62%</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single" w:sz="8" w:space="0" w:color="000000"/>
            </w:tcBorders>
            <w:shd w:fill="FFFFFF" w:val="clear"/>
            <w:tcMar>
              <w:bottom w:w="28" w:type="dxa"/>
            </w:tcMar>
            <w:vAlign w:val="center"/>
          </w:tcPr>
          <w:p>
            <w:pPr>
              <w:pStyle w:val="TableContents"/>
              <w:bidi w:val="0"/>
              <w:spacing w:before="0" w:after="283"/>
              <w:jc w:val="right"/>
              <w:rPr/>
            </w:pPr>
            <w:r>
              <w:rPr/>
              <w:t>(21.59%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2" w:type="dxa"/>
            <w:tcBorders>
              <w:bottom w:val="single" w:sz="8" w:space="0" w:color="000000"/>
            </w:tcBorders>
            <w:shd w:fill="FFFFFF" w:val="clear"/>
            <w:tcMar>
              <w:bottom w:w="28" w:type="dxa"/>
            </w:tcMar>
            <w:vAlign w:val="center"/>
          </w:tcPr>
          <w:p>
            <w:pPr>
              <w:pStyle w:val="TableContents"/>
              <w:bidi w:val="0"/>
              <w:spacing w:before="0" w:after="283"/>
              <w:jc w:val="right"/>
              <w:rPr/>
            </w:pPr>
            <w:r>
              <w:rPr/>
              <w:t>(2.82%</w:t>
            </w:r>
          </w:p>
        </w:tc>
        <w:tc>
          <w:tcPr>
            <w:tcW w:w="136" w:type="dxa"/>
            <w:tcBorders/>
            <w:shd w:fill="FFFFFF" w:val="clear"/>
            <w:vAlign w:val="center"/>
          </w:tcPr>
          <w:p>
            <w:pPr>
              <w:pStyle w:val="TableContents"/>
              <w:bidi w:val="0"/>
              <w:spacing w:before="0" w:after="283"/>
              <w:jc w:val="left"/>
              <w:rPr/>
            </w:pPr>
            <w:r>
              <w:rPr/>
              <w:t>)</w:t>
            </w:r>
          </w:p>
        </w:tc>
        <w:tc>
          <w:tcPr>
            <w:tcW w:w="86" w:type="dxa"/>
            <w:tcBorders/>
            <w:shd w:fill="FFFFFF" w:val="clear"/>
            <w:vAlign w:val="center"/>
          </w:tcPr>
          <w:p>
            <w:pPr>
              <w:pStyle w:val="TableContents"/>
              <w:bidi w:val="0"/>
              <w:spacing w:before="0" w:after="283"/>
              <w:jc w:val="left"/>
              <w:rPr/>
            </w:pPr>
            <w:r>
              <w:rPr/>
              <w:t> </w:t>
            </w:r>
          </w:p>
        </w:tc>
        <w:tc>
          <w:tcPr>
            <w:tcW w:w="8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2" w:type="dxa"/>
            <w:tcBorders>
              <w:bottom w:val="single" w:sz="8" w:space="0" w:color="000000"/>
            </w:tcBorders>
            <w:shd w:fill="FFFFFF" w:val="clear"/>
            <w:tcMar>
              <w:bottom w:w="28" w:type="dxa"/>
            </w:tcMar>
            <w:vAlign w:val="center"/>
          </w:tcPr>
          <w:p>
            <w:pPr>
              <w:pStyle w:val="TableContents"/>
              <w:bidi w:val="0"/>
              <w:spacing w:before="0" w:after="283"/>
              <w:jc w:val="right"/>
              <w:rPr/>
            </w:pPr>
            <w:r>
              <w:rPr/>
              <w:t>(6.40%</w:t>
            </w:r>
          </w:p>
        </w:tc>
        <w:tc>
          <w:tcPr>
            <w:tcW w:w="116" w:type="dxa"/>
            <w:tcBorders/>
            <w:shd w:fill="FFFFFF" w:val="clear"/>
            <w:vAlign w:val="center"/>
          </w:tcPr>
          <w:p>
            <w:pPr>
              <w:pStyle w:val="TableContents"/>
              <w:bidi w:val="0"/>
              <w:spacing w:before="0" w:after="283"/>
              <w:jc w:val="left"/>
              <w:rPr/>
            </w:pPr>
            <w:r>
              <w:rPr/>
              <w:t>)</w:t>
            </w:r>
          </w:p>
        </w:tc>
      </w:tr>
      <w:tr>
        <w:trPr/>
        <w:tc>
          <w:tcPr>
            <w:tcW w:w="4928"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028" w:type="dxa"/>
            <w:tcBorders/>
            <w:shd w:fill="EEEEEE" w:val="clear"/>
            <w:vAlign w:val="center"/>
          </w:tcPr>
          <w:p>
            <w:pPr>
              <w:pStyle w:val="TableContents"/>
              <w:bidi w:val="0"/>
              <w:spacing w:before="0" w:after="283"/>
              <w:jc w:val="right"/>
              <w:rPr/>
            </w:pPr>
            <w:r>
              <w:rPr/>
              <w:t> </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136"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022" w:type="dxa"/>
            <w:tcBorders/>
            <w:shd w:fill="EEEEEE" w:val="clear"/>
            <w:vAlign w:val="center"/>
          </w:tcPr>
          <w:p>
            <w:pPr>
              <w:pStyle w:val="TableContents"/>
              <w:bidi w:val="0"/>
              <w:spacing w:before="0" w:after="283"/>
              <w:jc w:val="right"/>
              <w:rPr/>
            </w:pPr>
            <w:r>
              <w:rPr/>
              <w:t> </w:t>
            </w:r>
          </w:p>
        </w:tc>
        <w:tc>
          <w:tcPr>
            <w:tcW w:w="13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86" w:type="dxa"/>
            <w:tcBorders/>
            <w:shd w:fill="EEEEEE" w:val="clear"/>
            <w:vAlign w:val="center"/>
          </w:tcPr>
          <w:p>
            <w:pPr>
              <w:pStyle w:val="TableContents"/>
              <w:bidi w:val="0"/>
              <w:spacing w:before="0" w:after="283"/>
              <w:jc w:val="left"/>
              <w:rPr/>
            </w:pPr>
            <w:r>
              <w:rPr/>
              <w:t> </w:t>
            </w:r>
          </w:p>
        </w:tc>
        <w:tc>
          <w:tcPr>
            <w:tcW w:w="1022" w:type="dxa"/>
            <w:tcBorders/>
            <w:shd w:fill="EEEEEE" w:val="clear"/>
            <w:vAlign w:val="center"/>
          </w:tcPr>
          <w:p>
            <w:pPr>
              <w:pStyle w:val="TableContents"/>
              <w:bidi w:val="0"/>
              <w:spacing w:before="0" w:after="283"/>
              <w:jc w:val="right"/>
              <w:rPr/>
            </w:pPr>
            <w:r>
              <w:rPr/>
              <w:t> </w:t>
            </w:r>
          </w:p>
        </w:tc>
        <w:tc>
          <w:tcPr>
            <w:tcW w:w="116" w:type="dxa"/>
            <w:tcBorders/>
            <w:shd w:fill="EEEEEE" w:val="clear"/>
            <w:vAlign w:val="center"/>
          </w:tcPr>
          <w:p>
            <w:pPr>
              <w:pStyle w:val="TableContents"/>
              <w:bidi w:val="0"/>
              <w:spacing w:before="0" w:after="283"/>
              <w:jc w:val="left"/>
              <w:rPr/>
            </w:pPr>
            <w:r>
              <w:rPr/>
              <w:t> </w:t>
            </w:r>
            <w:bookmarkStart w:id="747" w:name="xdx_405_eus-gaap--EffectiveIncomeTaxRate"/>
            <w:bookmarkEnd w:id="747"/>
          </w:p>
        </w:tc>
      </w:tr>
      <w:tr>
        <w:trPr/>
        <w:tc>
          <w:tcPr>
            <w:tcW w:w="4928" w:type="dxa"/>
            <w:tcBorders/>
            <w:shd w:fill="FFFFFF" w:val="clear"/>
            <w:vAlign w:val="center"/>
          </w:tcPr>
          <w:p>
            <w:pPr>
              <w:pStyle w:val="TableContents"/>
              <w:bidi w:val="0"/>
              <w:spacing w:before="0" w:after="283"/>
              <w:jc w:val="left"/>
              <w:rPr/>
            </w:pPr>
            <w:r>
              <w:rPr/>
              <w:t>Effective tax rate</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8" w:type="dxa"/>
            <w:tcBorders>
              <w:bottom w:val="double" w:sz="6" w:space="0" w:color="000000"/>
            </w:tcBorders>
            <w:shd w:fill="FFFFFF" w:val="clear"/>
            <w:tcMar>
              <w:bottom w:w="28" w:type="dxa"/>
            </w:tcMar>
            <w:vAlign w:val="center"/>
          </w:tcPr>
          <w:p>
            <w:pPr>
              <w:pStyle w:val="TableContents"/>
              <w:bidi w:val="0"/>
              <w:spacing w:before="0" w:after="283"/>
              <w:jc w:val="right"/>
              <w:rPr/>
            </w:pPr>
            <w:r>
              <w:rPr/>
              <w:t>27.77%</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36" w:type="dxa"/>
            <w:tcBorders>
              <w:bottom w:val="double" w:sz="6" w:space="0" w:color="000000"/>
            </w:tcBorders>
            <w:shd w:fill="FFFFFF" w:val="clear"/>
            <w:tcMar>
              <w:bottom w:w="28" w:type="dxa"/>
            </w:tcMar>
            <w:vAlign w:val="center"/>
          </w:tcPr>
          <w:p>
            <w:pPr>
              <w:pStyle w:val="TableContents"/>
              <w:bidi w:val="0"/>
              <w:spacing w:before="0" w:after="283"/>
              <w:jc w:val="right"/>
              <w:rPr/>
            </w:pPr>
            <w:r>
              <w:rPr/>
              <w:t>3.27%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2" w:type="dxa"/>
            <w:tcBorders>
              <w:bottom w:val="double" w:sz="6" w:space="0" w:color="000000"/>
            </w:tcBorders>
            <w:shd w:fill="FFFFFF" w:val="clear"/>
            <w:tcMar>
              <w:bottom w:w="28" w:type="dxa"/>
            </w:tcMar>
            <w:vAlign w:val="center"/>
          </w:tcPr>
          <w:p>
            <w:pPr>
              <w:pStyle w:val="TableContents"/>
              <w:bidi w:val="0"/>
              <w:spacing w:before="0" w:after="283"/>
              <w:jc w:val="right"/>
              <w:rPr/>
            </w:pPr>
            <w:r>
              <w:rPr/>
              <w:t>18.79%</w:t>
            </w:r>
          </w:p>
        </w:tc>
        <w:tc>
          <w:tcPr>
            <w:tcW w:w="13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2" w:type="dxa"/>
            <w:tcBorders>
              <w:bottom w:val="double" w:sz="6" w:space="0" w:color="000000"/>
            </w:tcBorders>
            <w:shd w:fill="FFFFFF" w:val="clear"/>
            <w:tcMar>
              <w:bottom w:w="28" w:type="dxa"/>
            </w:tcMar>
            <w:vAlign w:val="center"/>
          </w:tcPr>
          <w:p>
            <w:pPr>
              <w:pStyle w:val="TableContents"/>
              <w:bidi w:val="0"/>
              <w:spacing w:before="0" w:after="283"/>
              <w:jc w:val="right"/>
              <w:rPr/>
            </w:pPr>
            <w:r>
              <w:rPr/>
              <w:t>19.77%</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748" w:name="xdx_8A2_zLqvISRYtbug"/>
      <w:bookmarkEnd w:id="748"/>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2023, prepaid income taxes to US tax authorities and income tax payable to Chinese tax authorities was $ </w:t>
      </w:r>
      <w:bookmarkStart w:id="749" w:name="xdx_90B_eus-gaap--PrepaidTaxes_iI_pp0p0_"/>
      <w:bookmarkEnd w:id="749"/>
      <w:r>
        <w:rPr>
          <w:rFonts w:ascii="Times New Roman;Times;Serif" w:hAnsi="Times New Roman;Times;Serif"/>
          <w:b w:val="false"/>
          <w:i w:val="false"/>
          <w:caps w:val="false"/>
          <w:smallCaps w:val="false"/>
          <w:sz w:val="20"/>
        </w:rPr>
        <w:t>44,218 and $</w:t>
      </w:r>
      <w:bookmarkStart w:id="750" w:name="xdx_905_eus-gaap--PrepaidTaxes_iI_pp0p0_"/>
      <w:bookmarkEnd w:id="750"/>
      <w:r>
        <w:rPr>
          <w:rFonts w:ascii="Times New Roman;Times;Serif" w:hAnsi="Times New Roman;Times;Serif"/>
          <w:b w:val="false"/>
          <w:i w:val="false"/>
          <w:caps w:val="false"/>
          <w:smallCaps w:val="false"/>
          <w:sz w:val="20"/>
        </w:rPr>
        <w:t>292,166, respectively. As of June 30, 2022, prepaid income taxes to US tax authorities and income tax payable to Chinese tax authorities was $</w:t>
      </w:r>
      <w:bookmarkStart w:id="751" w:name="xdx_90D_eus-gaap--AccruedIncomeTaxes_c20"/>
      <w:bookmarkEnd w:id="751"/>
      <w:r>
        <w:rPr>
          <w:rFonts w:ascii="Times New Roman;Times;Serif" w:hAnsi="Times New Roman;Times;Serif"/>
          <w:b w:val="false"/>
          <w:i w:val="false"/>
          <w:caps w:val="false"/>
          <w:smallCaps w:val="false"/>
          <w:sz w:val="20"/>
        </w:rPr>
        <w:t>375,087 and $</w:t>
      </w:r>
      <w:bookmarkStart w:id="752" w:name="xdx_90F_eus-gaap--AccruedIncomeTaxes_c20"/>
      <w:bookmarkEnd w:id="752"/>
      <w:r>
        <w:rPr>
          <w:rFonts w:ascii="Times New Roman;Times;Serif" w:hAnsi="Times New Roman;Times;Serif"/>
          <w:b w:val="false"/>
          <w:i w:val="false"/>
          <w:caps w:val="false"/>
          <w:smallCaps w:val="false"/>
          <w:sz w:val="20"/>
        </w:rPr>
        <w:t>299,563,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effects of temporary differences which give rise to significant portions of the deferred taxes are summarized as follows:</w:t>
      </w:r>
    </w:p>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753" w:name="xdx_893_eus-gaap--ScheduleOfDeferredTaxA"/>
      <w:bookmarkStart w:id="754" w:name="xdx_893_eus-gaap--ScheduleOfDeferredTaxA"/>
      <w:bookmarkEnd w:id="754"/>
    </w:p>
    <w:tbl>
      <w:tblPr>
        <w:tblW w:w="6140" w:type="dxa"/>
        <w:jc w:val="left"/>
        <w:tblInd w:w="0" w:type="dxa"/>
        <w:tblLayout w:type="fixed"/>
        <w:tblCellMar>
          <w:top w:w="0" w:type="dxa"/>
          <w:left w:w="0" w:type="dxa"/>
          <w:bottom w:w="0" w:type="dxa"/>
          <w:right w:w="0" w:type="dxa"/>
        </w:tblCellMar>
      </w:tblPr>
      <w:tblGrid>
        <w:gridCol w:w="3425"/>
        <w:gridCol w:w="60"/>
        <w:gridCol w:w="140"/>
        <w:gridCol w:w="1055"/>
        <w:gridCol w:w="95"/>
        <w:gridCol w:w="60"/>
        <w:gridCol w:w="140"/>
        <w:gridCol w:w="1055"/>
        <w:gridCol w:w="110"/>
      </w:tblGrid>
      <w:tr>
        <w:trPr/>
        <w:tc>
          <w:tcPr>
            <w:tcW w:w="3425" w:type="dxa"/>
            <w:tcBorders/>
            <w:vAlign w:val="center"/>
          </w:tcPr>
          <w:p>
            <w:pPr>
              <w:pStyle w:val="TableContents"/>
              <w:bidi w:val="0"/>
              <w:spacing w:before="0" w:after="283"/>
              <w:ind w:left="0" w:right="0" w:hanging="200"/>
              <w:jc w:val="left"/>
              <w:rPr/>
            </w:pPr>
            <w:bookmarkStart w:id="755" w:name="xdx_8B5_zLrKyfJBns76"/>
            <w:bookmarkEnd w:id="755"/>
            <w:r>
              <w:rPr/>
              <w:t>Schedule of deferred taxes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756" w:name="xdx_49D_20230331_zEvvwIWk8khj"/>
            <w:bookmarkEnd w:id="756"/>
          </w:p>
        </w:tc>
        <w:tc>
          <w:tcPr>
            <w:tcW w:w="105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757" w:name="xdx_49D_20220630_zD1w6V2HRFB2"/>
            <w:bookmarkEnd w:id="757"/>
          </w:p>
        </w:tc>
        <w:tc>
          <w:tcPr>
            <w:tcW w:w="1055"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4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pPr>
            <w:r>
              <w:rPr/>
              <w:t>March 31,</w:t>
              <w:br/>
              <w:t>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pPr>
            <w:r>
              <w:rPr/>
              <w:t xml:space="preserve">June 30, </w:t>
              <w:br/>
              <w:t>2022</w:t>
            </w:r>
          </w:p>
        </w:tc>
        <w:tc>
          <w:tcPr>
            <w:tcW w:w="110" w:type="dxa"/>
            <w:tcBorders/>
            <w:vAlign w:val="center"/>
          </w:tcPr>
          <w:p>
            <w:pPr>
              <w:pStyle w:val="TableContents"/>
              <w:bidi w:val="0"/>
              <w:spacing w:before="0" w:after="283"/>
              <w:jc w:val="left"/>
              <w:rPr/>
            </w:pPr>
            <w:r>
              <w:rPr/>
              <w:t> </w:t>
            </w:r>
            <w:bookmarkStart w:id="758" w:name="xdx_40C_eus-gaap--DeferredTaxAssetsNetAb"/>
            <w:bookmarkEnd w:id="758"/>
          </w:p>
        </w:tc>
      </w:tr>
      <w:tr>
        <w:trPr/>
        <w:tc>
          <w:tcPr>
            <w:tcW w:w="3425" w:type="dxa"/>
            <w:tcBorders/>
            <w:shd w:fill="EEEEEE" w:val="clear"/>
            <w:vAlign w:val="center"/>
          </w:tcPr>
          <w:p>
            <w:pPr>
              <w:pStyle w:val="TableContents"/>
              <w:bidi w:val="0"/>
              <w:spacing w:before="0" w:after="283"/>
              <w:jc w:val="left"/>
              <w:rPr>
                <w:b/>
              </w:rPr>
            </w:pPr>
            <w:r>
              <w:rPr>
                <w:b/>
              </w:rPr>
              <w:t>Deferred tax assets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ind w:left="0" w:right="0" w:hanging="200"/>
              <w:jc w:val="left"/>
              <w:rPr/>
            </w:pPr>
            <w:r>
              <w:rPr/>
              <w:t> </w:t>
            </w:r>
            <w:bookmarkStart w:id="759" w:name="xdx_406_eus-gaap--DeferredTaxAssetsTaxDe"/>
            <w:bookmarkEnd w:id="759"/>
          </w:p>
        </w:tc>
      </w:tr>
      <w:tr>
        <w:trPr/>
        <w:tc>
          <w:tcPr>
            <w:tcW w:w="3425" w:type="dxa"/>
            <w:tcBorders/>
            <w:shd w:fill="FFFFFF" w:val="clear"/>
            <w:vAlign w:val="center"/>
          </w:tcPr>
          <w:p>
            <w:pPr>
              <w:pStyle w:val="TableContents"/>
              <w:bidi w:val="0"/>
              <w:spacing w:before="0" w:after="283"/>
              <w:jc w:val="left"/>
              <w:rPr/>
            </w:pPr>
            <w:r>
              <w:rPr/>
              <w:t>263A calculation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228,145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123,884</w:t>
            </w:r>
          </w:p>
        </w:tc>
        <w:tc>
          <w:tcPr>
            <w:tcW w:w="110" w:type="dxa"/>
            <w:tcBorders/>
            <w:shd w:fill="FFFFFF" w:val="clear"/>
            <w:vAlign w:val="center"/>
          </w:tcPr>
          <w:p>
            <w:pPr>
              <w:pStyle w:val="TableContents"/>
              <w:bidi w:val="0"/>
              <w:spacing w:before="0" w:after="283"/>
              <w:ind w:left="0" w:right="0" w:hanging="200"/>
              <w:jc w:val="left"/>
              <w:rPr/>
            </w:pPr>
            <w:r>
              <w:rPr/>
              <w:t> </w:t>
            </w:r>
            <w:bookmarkStart w:id="760" w:name="xdx_403_eus-gaap--DeferredTaxAssetsInven"/>
            <w:bookmarkEnd w:id="760"/>
          </w:p>
        </w:tc>
      </w:tr>
      <w:tr>
        <w:trPr/>
        <w:tc>
          <w:tcPr>
            <w:tcW w:w="3425" w:type="dxa"/>
            <w:tcBorders/>
            <w:shd w:fill="EEEEEE" w:val="clear"/>
            <w:vAlign w:val="center"/>
          </w:tcPr>
          <w:p>
            <w:pPr>
              <w:pStyle w:val="TableContents"/>
              <w:bidi w:val="0"/>
              <w:spacing w:before="0" w:after="283"/>
              <w:jc w:val="left"/>
              <w:rPr/>
            </w:pPr>
            <w:r>
              <w:rPr/>
              <w:t>Inventory reserve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149,907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71,026</w:t>
            </w:r>
          </w:p>
        </w:tc>
        <w:tc>
          <w:tcPr>
            <w:tcW w:w="110" w:type="dxa"/>
            <w:tcBorders/>
            <w:shd w:fill="EEEEEE" w:val="clear"/>
            <w:vAlign w:val="center"/>
          </w:tcPr>
          <w:p>
            <w:pPr>
              <w:pStyle w:val="TableContents"/>
              <w:bidi w:val="0"/>
              <w:spacing w:before="0" w:after="283"/>
              <w:ind w:left="0" w:right="0" w:hanging="200"/>
              <w:jc w:val="left"/>
              <w:rPr/>
            </w:pPr>
            <w:r>
              <w:rPr/>
              <w:t> </w:t>
            </w:r>
            <w:bookmarkStart w:id="761" w:name="xdx_40C_eus-gaap--DeferredTaxAssetsState"/>
            <w:bookmarkEnd w:id="761"/>
          </w:p>
        </w:tc>
      </w:tr>
      <w:tr>
        <w:trPr/>
        <w:tc>
          <w:tcPr>
            <w:tcW w:w="3425" w:type="dxa"/>
            <w:tcBorders/>
            <w:shd w:fill="FFFFFF" w:val="clear"/>
            <w:vAlign w:val="center"/>
          </w:tcPr>
          <w:p>
            <w:pPr>
              <w:pStyle w:val="TableContents"/>
              <w:bidi w:val="0"/>
              <w:spacing w:before="0" w:after="283"/>
              <w:jc w:val="left"/>
              <w:rPr/>
            </w:pPr>
            <w:r>
              <w:rPr/>
              <w:t>State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2,435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45,234</w:t>
            </w:r>
          </w:p>
        </w:tc>
        <w:tc>
          <w:tcPr>
            <w:tcW w:w="110" w:type="dxa"/>
            <w:tcBorders/>
            <w:shd w:fill="FFFFFF" w:val="clear"/>
            <w:vAlign w:val="center"/>
          </w:tcPr>
          <w:p>
            <w:pPr>
              <w:pStyle w:val="TableContents"/>
              <w:bidi w:val="0"/>
              <w:spacing w:before="0" w:after="283"/>
              <w:ind w:left="0" w:right="0" w:hanging="200"/>
              <w:jc w:val="left"/>
              <w:rPr/>
            </w:pPr>
            <w:r>
              <w:rPr/>
              <w:t> </w:t>
            </w:r>
            <w:bookmarkStart w:id="762" w:name="xdx_40D_eus-gaap--DeferredTaxAssetsTaxDe"/>
            <w:bookmarkEnd w:id="762"/>
          </w:p>
        </w:tc>
      </w:tr>
      <w:tr>
        <w:trPr/>
        <w:tc>
          <w:tcPr>
            <w:tcW w:w="3425" w:type="dxa"/>
            <w:tcBorders/>
            <w:shd w:fill="EEEEEE" w:val="clear"/>
            <w:vAlign w:val="center"/>
          </w:tcPr>
          <w:p>
            <w:pPr>
              <w:pStyle w:val="TableContents"/>
              <w:bidi w:val="0"/>
              <w:spacing w:before="0" w:after="283"/>
              <w:jc w:val="left"/>
              <w:rPr/>
            </w:pPr>
            <w:r>
              <w:rPr/>
              <w:t>Accrued expenses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196,492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69,172</w:t>
            </w:r>
          </w:p>
        </w:tc>
        <w:tc>
          <w:tcPr>
            <w:tcW w:w="110" w:type="dxa"/>
            <w:tcBorders/>
            <w:shd w:fill="EEEEEE" w:val="clear"/>
            <w:vAlign w:val="center"/>
          </w:tcPr>
          <w:p>
            <w:pPr>
              <w:pStyle w:val="TableContents"/>
              <w:bidi w:val="0"/>
              <w:spacing w:before="0" w:after="283"/>
              <w:ind w:left="0" w:right="0" w:hanging="200"/>
              <w:jc w:val="left"/>
              <w:rPr/>
            </w:pPr>
            <w:r>
              <w:rPr/>
              <w:t> </w:t>
            </w:r>
            <w:bookmarkStart w:id="763" w:name="xdx_40D_ecustom--DeferredTaxAssetsLeaseA"/>
            <w:bookmarkEnd w:id="763"/>
          </w:p>
        </w:tc>
      </w:tr>
      <w:tr>
        <w:trPr/>
        <w:tc>
          <w:tcPr>
            <w:tcW w:w="3425" w:type="dxa"/>
            <w:tcBorders/>
            <w:shd w:fill="FFFFFF" w:val="clear"/>
            <w:vAlign w:val="center"/>
          </w:tcPr>
          <w:p>
            <w:pPr>
              <w:pStyle w:val="TableContents"/>
              <w:bidi w:val="0"/>
              <w:spacing w:before="0" w:after="283"/>
              <w:jc w:val="left"/>
              <w:rPr/>
            </w:pPr>
            <w:r>
              <w:rPr/>
              <w:t>ROU assets /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115,501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83,738</w:t>
            </w:r>
          </w:p>
        </w:tc>
        <w:tc>
          <w:tcPr>
            <w:tcW w:w="110" w:type="dxa"/>
            <w:tcBorders/>
            <w:shd w:fill="FFFFFF" w:val="clear"/>
            <w:vAlign w:val="center"/>
          </w:tcPr>
          <w:p>
            <w:pPr>
              <w:pStyle w:val="TableContents"/>
              <w:bidi w:val="0"/>
              <w:spacing w:before="0" w:after="283"/>
              <w:ind w:left="0" w:right="0" w:hanging="200"/>
              <w:jc w:val="left"/>
              <w:rPr/>
            </w:pPr>
            <w:r>
              <w:rPr/>
              <w:t> </w:t>
            </w:r>
            <w:bookmarkStart w:id="764" w:name="xdx_408_eus-gaap--DeferredTaxAssetsTaxDe"/>
            <w:bookmarkEnd w:id="764"/>
          </w:p>
        </w:tc>
      </w:tr>
      <w:tr>
        <w:trPr/>
        <w:tc>
          <w:tcPr>
            <w:tcW w:w="3425" w:type="dxa"/>
            <w:tcBorders/>
            <w:shd w:fill="EEEEEE" w:val="clear"/>
            <w:vAlign w:val="center"/>
          </w:tcPr>
          <w:p>
            <w:pPr>
              <w:pStyle w:val="TableContents"/>
              <w:bidi w:val="0"/>
              <w:spacing w:before="0" w:after="283"/>
              <w:jc w:val="left"/>
              <w:rPr/>
            </w:pPr>
            <w:r>
              <w:rPr/>
              <w:t>Stock-based compensation</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174,179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70,266</w:t>
            </w:r>
          </w:p>
        </w:tc>
        <w:tc>
          <w:tcPr>
            <w:tcW w:w="110" w:type="dxa"/>
            <w:tcBorders/>
            <w:shd w:fill="EEEEEE" w:val="clear"/>
            <w:vAlign w:val="center"/>
          </w:tcPr>
          <w:p>
            <w:pPr>
              <w:pStyle w:val="TableContents"/>
              <w:bidi w:val="0"/>
              <w:spacing w:before="0" w:after="283"/>
              <w:ind w:left="0" w:right="0" w:hanging="200"/>
              <w:jc w:val="left"/>
              <w:rPr/>
            </w:pPr>
            <w:r>
              <w:rPr/>
              <w:t> </w:t>
            </w:r>
            <w:bookmarkStart w:id="765" w:name="xdx_40A_eus-gaap--DeferredTaxAssetsOpera"/>
            <w:bookmarkEnd w:id="765"/>
          </w:p>
        </w:tc>
      </w:tr>
      <w:tr>
        <w:trPr/>
        <w:tc>
          <w:tcPr>
            <w:tcW w:w="3425" w:type="dxa"/>
            <w:tcBorders/>
            <w:shd w:fill="FFFFFF" w:val="clear"/>
            <w:vAlign w:val="center"/>
          </w:tcPr>
          <w:p>
            <w:pPr>
              <w:pStyle w:val="TableContents"/>
              <w:bidi w:val="0"/>
              <w:spacing w:before="0" w:after="283"/>
              <w:jc w:val="left"/>
              <w:rPr/>
            </w:pPr>
            <w:r>
              <w:rPr/>
              <w:t>Net operating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1,965,531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ind w:left="0" w:right="0" w:hanging="200"/>
              <w:jc w:val="left"/>
              <w:rPr/>
            </w:pPr>
            <w:r>
              <w:rPr/>
              <w:t> </w:t>
            </w:r>
            <w:bookmarkStart w:id="766" w:name="xdx_408_eus-gaap--DeferredTaxAssetsOther"/>
            <w:bookmarkEnd w:id="766"/>
          </w:p>
        </w:tc>
      </w:tr>
      <w:tr>
        <w:trPr/>
        <w:tc>
          <w:tcPr>
            <w:tcW w:w="3425" w:type="dxa"/>
            <w:tcBorders/>
            <w:shd w:fill="EEEEEE" w:val="clear"/>
            <w:vAlign w:val="center"/>
          </w:tcPr>
          <w:p>
            <w:pPr>
              <w:pStyle w:val="TableContents"/>
              <w:bidi w:val="0"/>
              <w:spacing w:before="0" w:after="283"/>
              <w:jc w:val="left"/>
              <w:rPr/>
            </w:pPr>
            <w:r>
              <w:rPr/>
              <w:t>Others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18,775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7,539</w:t>
            </w:r>
          </w:p>
        </w:tc>
        <w:tc>
          <w:tcPr>
            <w:tcW w:w="110" w:type="dxa"/>
            <w:tcBorders/>
            <w:shd w:fill="EEEEEE" w:val="clear"/>
            <w:vAlign w:val="center"/>
          </w:tcPr>
          <w:p>
            <w:pPr>
              <w:pStyle w:val="TableContents"/>
              <w:bidi w:val="0"/>
              <w:spacing w:before="0" w:after="283"/>
              <w:ind w:left="0" w:right="0" w:hanging="200"/>
              <w:jc w:val="left"/>
              <w:rPr/>
            </w:pPr>
            <w:r>
              <w:rPr/>
              <w:t> </w:t>
            </w:r>
            <w:bookmarkStart w:id="767" w:name="xdx_407_eus-gaap--DeferredTaxAssetsGross"/>
            <w:bookmarkEnd w:id="767"/>
          </w:p>
        </w:tc>
      </w:tr>
      <w:tr>
        <w:trPr/>
        <w:tc>
          <w:tcPr>
            <w:tcW w:w="3425" w:type="dxa"/>
            <w:tcBorders/>
            <w:shd w:fill="FFFFFF" w:val="clear"/>
            <w:vAlign w:val="center"/>
          </w:tcPr>
          <w:p>
            <w:pPr>
              <w:pStyle w:val="TableContents"/>
              <w:bidi w:val="0"/>
              <w:spacing w:before="0" w:after="283"/>
              <w:jc w:val="left"/>
              <w:rPr>
                <w:b/>
              </w:rPr>
            </w:pPr>
            <w:r>
              <w:rPr>
                <w:b/>
              </w:rPr>
              <w:t>Total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2,850,965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470,859</w:t>
            </w:r>
          </w:p>
        </w:tc>
        <w:tc>
          <w:tcPr>
            <w:tcW w:w="110" w:type="dxa"/>
            <w:tcBorders/>
            <w:shd w:fill="FFFFFF" w:val="clear"/>
            <w:vAlign w:val="center"/>
          </w:tcPr>
          <w:p>
            <w:pPr>
              <w:pStyle w:val="TableContents"/>
              <w:bidi w:val="0"/>
              <w:spacing w:before="0" w:after="283"/>
              <w:jc w:val="left"/>
              <w:rPr/>
            </w:pPr>
            <w:r>
              <w:rPr/>
              <w:t> </w:t>
            </w:r>
          </w:p>
        </w:tc>
      </w:tr>
      <w:tr>
        <w:trPr/>
        <w:tc>
          <w:tcPr>
            <w:tcW w:w="342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768" w:name="xdx_40F_eus-gaap--DeferredTaxLiabilities"/>
            <w:bookmarkEnd w:id="768"/>
          </w:p>
        </w:tc>
      </w:tr>
      <w:tr>
        <w:trPr/>
        <w:tc>
          <w:tcPr>
            <w:tcW w:w="3425" w:type="dxa"/>
            <w:tcBorders/>
            <w:shd w:fill="FFFFFF" w:val="clear"/>
            <w:vAlign w:val="center"/>
          </w:tcPr>
          <w:p>
            <w:pPr>
              <w:pStyle w:val="TableContents"/>
              <w:bidi w:val="0"/>
              <w:spacing w:before="0" w:after="283"/>
              <w:jc w:val="left"/>
              <w:rPr>
                <w:b/>
              </w:rPr>
            </w:pPr>
            <w:r>
              <w:rPr>
                <w:b/>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bookmarkStart w:id="769" w:name="xdx_407_eus-gaap--DeferredTaxLiabilities"/>
            <w:bookmarkEnd w:id="769"/>
          </w:p>
        </w:tc>
      </w:tr>
      <w:tr>
        <w:trPr/>
        <w:tc>
          <w:tcPr>
            <w:tcW w:w="3425" w:type="dxa"/>
            <w:tcBorders/>
            <w:shd w:fill="EEEEEE" w:val="clear"/>
            <w:vAlign w:val="center"/>
          </w:tcPr>
          <w:p>
            <w:pPr>
              <w:pStyle w:val="TableContents"/>
              <w:bidi w:val="0"/>
              <w:spacing w:before="0" w:after="283"/>
              <w:jc w:val="left"/>
              <w:rPr/>
            </w:pPr>
            <w:r>
              <w:rPr/>
              <w:t>Depreciation</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(111,714</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(86,254</w:t>
            </w:r>
          </w:p>
        </w:tc>
        <w:tc>
          <w:tcPr>
            <w:tcW w:w="110" w:type="dxa"/>
            <w:tcBorders/>
            <w:shd w:fill="EEEEEE" w:val="clear"/>
            <w:vAlign w:val="center"/>
          </w:tcPr>
          <w:p>
            <w:pPr>
              <w:pStyle w:val="TableContents"/>
              <w:bidi w:val="0"/>
              <w:spacing w:before="0" w:after="283"/>
              <w:ind w:left="0" w:right="0" w:hanging="200"/>
              <w:jc w:val="left"/>
              <w:rPr/>
            </w:pPr>
            <w:r>
              <w:rPr/>
              <w:t>)</w:t>
            </w:r>
            <w:bookmarkStart w:id="770" w:name="xdx_400_eus-gaap--DeferredTaxLiabilities"/>
            <w:bookmarkEnd w:id="770"/>
          </w:p>
        </w:tc>
      </w:tr>
      <w:tr>
        <w:trPr/>
        <w:tc>
          <w:tcPr>
            <w:tcW w:w="3425" w:type="dxa"/>
            <w:tcBorders/>
            <w:shd w:fill="FFFFFF" w:val="clear"/>
            <w:vAlign w:val="center"/>
          </w:tcPr>
          <w:p>
            <w:pPr>
              <w:pStyle w:val="TableContents"/>
              <w:bidi w:val="0"/>
              <w:spacing w:before="0" w:after="283"/>
              <w:jc w:val="left"/>
              <w:rPr/>
            </w:pPr>
            <w:r>
              <w:rPr/>
              <w:t>Intangible assets acquired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(1,193,092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(1,323,720</w:t>
            </w:r>
          </w:p>
        </w:tc>
        <w:tc>
          <w:tcPr>
            <w:tcW w:w="110" w:type="dxa"/>
            <w:tcBorders/>
            <w:shd w:fill="FFFFFF" w:val="clear"/>
            <w:vAlign w:val="center"/>
          </w:tcPr>
          <w:p>
            <w:pPr>
              <w:pStyle w:val="TableContents"/>
              <w:bidi w:val="0"/>
              <w:spacing w:before="0" w:after="283"/>
              <w:ind w:left="0" w:right="0" w:hanging="200"/>
              <w:jc w:val="left"/>
              <w:rPr/>
            </w:pPr>
            <w:r>
              <w:rPr/>
              <w:t>)</w:t>
            </w:r>
            <w:bookmarkStart w:id="771" w:name="xdx_401_eus-gaap--DeferredIncomeTaxLiabi"/>
            <w:bookmarkEnd w:id="771"/>
          </w:p>
        </w:tc>
      </w:tr>
      <w:tr>
        <w:trPr/>
        <w:tc>
          <w:tcPr>
            <w:tcW w:w="3425" w:type="dxa"/>
            <w:tcBorders/>
            <w:shd w:fill="EEEEEE" w:val="clear"/>
            <w:vAlign w:val="center"/>
          </w:tcPr>
          <w:p>
            <w:pPr>
              <w:pStyle w:val="TableContents"/>
              <w:bidi w:val="0"/>
              <w:spacing w:before="0" w:after="283"/>
              <w:jc w:val="left"/>
              <w:rPr>
                <w:b/>
              </w:rPr>
            </w:pPr>
            <w:r>
              <w:rPr>
                <w:b/>
              </w:rPr>
              <w:t>Total deferred tax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(1,304,806</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40"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EEEEEE" w:val="clear"/>
            <w:tcMar>
              <w:bottom w:w="28" w:type="dxa"/>
            </w:tcMar>
            <w:vAlign w:val="center"/>
          </w:tcPr>
          <w:p>
            <w:pPr>
              <w:pStyle w:val="TableContents"/>
              <w:bidi w:val="0"/>
              <w:spacing w:before="0" w:after="283"/>
              <w:jc w:val="right"/>
              <w:rPr/>
            </w:pPr>
            <w:r>
              <w:rPr/>
              <w:t>(1,409,974</w:t>
            </w:r>
          </w:p>
        </w:tc>
        <w:tc>
          <w:tcPr>
            <w:tcW w:w="110" w:type="dxa"/>
            <w:tcBorders/>
            <w:shd w:fill="EEEEEE" w:val="clear"/>
            <w:vAlign w:val="center"/>
          </w:tcPr>
          <w:p>
            <w:pPr>
              <w:pStyle w:val="TableContents"/>
              <w:bidi w:val="0"/>
              <w:spacing w:before="0" w:after="283"/>
              <w:jc w:val="left"/>
              <w:rPr/>
            </w:pPr>
            <w:r>
              <w:rPr/>
              <w:t>)</w:t>
            </w:r>
          </w:p>
        </w:tc>
      </w:tr>
      <w:tr>
        <w:trPr/>
        <w:tc>
          <w:tcPr>
            <w:tcW w:w="34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ind w:left="0" w:right="0" w:hanging="200"/>
              <w:jc w:val="left"/>
              <w:rPr/>
            </w:pPr>
            <w:r>
              <w:rPr/>
              <w:t> </w:t>
            </w:r>
            <w:bookmarkStart w:id="772" w:name="xdx_408_ecustom--NetDeferredTaxLiabiliti"/>
            <w:bookmarkEnd w:id="772"/>
          </w:p>
        </w:tc>
      </w:tr>
      <w:tr>
        <w:trPr/>
        <w:tc>
          <w:tcPr>
            <w:tcW w:w="3425" w:type="dxa"/>
            <w:tcBorders/>
            <w:shd w:fill="EEEEEE" w:val="clear"/>
            <w:vAlign w:val="center"/>
          </w:tcPr>
          <w:p>
            <w:pPr>
              <w:pStyle w:val="TableContents"/>
              <w:bidi w:val="0"/>
              <w:spacing w:before="0" w:after="283"/>
              <w:jc w:val="left"/>
              <w:rPr>
                <w:b/>
              </w:rPr>
            </w:pPr>
            <w:r>
              <w:rPr>
                <w:b/>
              </w:rPr>
              <w:t>Net deferred tax assets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r>
              <w:rPr/>
              <w:t>1,546,159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r>
              <w:rPr/>
              <w:t>(939,115</w:t>
            </w:r>
          </w:p>
        </w:tc>
        <w:tc>
          <w:tcPr>
            <w:tcW w:w="110" w:type="dxa"/>
            <w:tcBorders/>
            <w:shd w:fill="EEEEEE"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773" w:name="xdx_8AE_zYLzajkHyJz3"/>
      <w:bookmarkEnd w:id="773"/>
      <w:r>
        <w:rPr>
          <w:caps w:val="false"/>
          <w:smallCaps w:val="false"/>
        </w:rPr>
        <w:t> </w:t>
      </w:r>
    </w:p>
    <w:p>
      <w:pPr>
        <w:pStyle w:val="TextBody"/>
        <w:bidi w:val="0"/>
        <w:spacing w:before="0" w:after="0"/>
        <w:ind w:left="0" w:right="0" w:hanging="0"/>
        <w:jc w:val="left"/>
        <w:rPr>
          <w:caps w:val="false"/>
          <w:smallCaps w:val="false"/>
        </w:rPr>
      </w:pPr>
      <w:bookmarkStart w:id="774" w:name="xdx_231_zFQ9w0Dn8cCd"/>
      <w:bookmarkEnd w:id="774"/>
      <w:r>
        <w:rPr>
          <w:caps w:val="false"/>
          <w:smallCaps w:val="false"/>
        </w:rPr>
        <w:t> </w:t>
      </w:r>
    </w:p>
    <w:p>
      <w:pPr>
        <w:pStyle w:val="TextBody"/>
        <w:bidi w:val="0"/>
        <w:spacing w:before="0" w:after="0"/>
        <w:ind w:left="0" w:right="0" w:hanging="0"/>
        <w:jc w:val="left"/>
        <w:rPr>
          <w:caps w:val="false"/>
          <w:smallCaps w:val="false"/>
        </w:rPr>
      </w:pPr>
      <w:bookmarkStart w:id="775" w:name="xdx_231_zmVisl7R63v5"/>
      <w:bookmarkEnd w:id="775"/>
      <w:r>
        <w:rPr>
          <w:caps w:val="false"/>
          <w:smallCaps w:val="false"/>
        </w:rPr>
        <w:t> </w:t>
      </w:r>
    </w:p>
    <w:p>
      <w:pPr>
        <w:pStyle w:val="Normal"/>
        <w:bidi w:val="0"/>
        <w:spacing w:before="0" w:after="0"/>
        <w:ind w:left="0" w:right="0" w:hanging="0"/>
        <w:jc w:val="left"/>
        <w:rPr>
          <w:sz w:val="4"/>
          <w:szCs w:val="4"/>
        </w:rPr>
      </w:pPr>
      <w:r>
        <w:rPr>
          <w:sz w:val="4"/>
          <w:szCs w:val="4"/>
        </w:rPr>
      </w:r>
      <w:bookmarkStart w:id="776" w:name="xdx_23F_zG33tPJrutQ2"/>
      <w:bookmarkStart w:id="777" w:name="xdx_236_zLxUpUb5ipve"/>
      <w:bookmarkStart w:id="778" w:name="xdx_23F_zG33tPJrutQ2"/>
      <w:bookmarkStart w:id="779" w:name="xdx_236_zLxUpUb5ipve"/>
      <w:bookmarkEnd w:id="778"/>
      <w:bookmarkEnd w:id="779"/>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bookmarkStart w:id="780" w:name="xdx_238_zewcIeCuJqNj"/>
            <w:bookmarkEnd w:id="780"/>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781" w:name="xdx_237_zATDnzcPwbu5"/>
      <w:bookmarkEnd w:id="781"/>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782" w:name="xdx_23E_zldrDV2cPwIl"/>
      <w:bookmarkEnd w:id="78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783" w:name="xdx_803_eus-gaap--EarningsPerShareTextBl"/>
      <w:bookmarkEnd w:id="783"/>
      <w:r>
        <w:rPr>
          <w:rFonts w:ascii="Times New Roman;Times;Serif" w:hAnsi="Times New Roman;Times;Serif"/>
          <w:b/>
          <w:i w:val="false"/>
          <w:caps w:val="false"/>
          <w:smallCaps w:val="false"/>
          <w:sz w:val="20"/>
        </w:rPr>
        <w:t>Note 15 –</w:t>
      </w:r>
      <w:bookmarkStart w:id="784" w:name="xdx_823_z647qj3DXzpl"/>
      <w:bookmarkEnd w:id="784"/>
      <w:r>
        <w:rPr>
          <w:rFonts w:ascii="Times New Roman;Times;Serif" w:hAnsi="Times New Roman;Times;Serif"/>
          <w:b/>
          <w:i w:val="false"/>
          <w:caps w:val="false"/>
          <w:smallCaps w:val="false"/>
          <w:sz w:val="20"/>
        </w:rPr>
        <w:t xml:space="preserve"> (Losses) Earnings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(losses) earnings per share for the periods presented: </w:t>
      </w:r>
    </w:p>
    <w:p>
      <w:pPr>
        <w:pStyle w:val="Normal"/>
        <w:bidi w:val="0"/>
        <w:spacing w:before="0" w:after="0"/>
        <w:jc w:val="left"/>
        <w:rPr>
          <w:sz w:val="4"/>
          <w:szCs w:val="4"/>
        </w:rPr>
      </w:pPr>
      <w:r>
        <w:rPr>
          <w:sz w:val="4"/>
          <w:szCs w:val="4"/>
        </w:rPr>
      </w:r>
      <w:bookmarkStart w:id="785" w:name="xdx_882_eus-gaap--ScheduleOfEarningsPerS"/>
      <w:bookmarkStart w:id="786" w:name="xdx_882_eus-gaap--ScheduleOfEarningsPerS"/>
      <w:bookmarkEnd w:id="786"/>
    </w:p>
    <w:tbl>
      <w:tblPr>
        <w:tblW w:w="10205" w:type="dxa"/>
        <w:jc w:val="left"/>
        <w:tblInd w:w="0" w:type="dxa"/>
        <w:tblLayout w:type="fixed"/>
        <w:tblCellMar>
          <w:top w:w="0" w:type="dxa"/>
          <w:left w:w="0" w:type="dxa"/>
          <w:bottom w:w="0" w:type="dxa"/>
          <w:right w:w="0" w:type="dxa"/>
        </w:tblCellMar>
      </w:tblPr>
      <w:tblGrid>
        <w:gridCol w:w="4349"/>
        <w:gridCol w:w="60"/>
        <w:gridCol w:w="149"/>
        <w:gridCol w:w="1177"/>
        <w:gridCol w:w="101"/>
        <w:gridCol w:w="63"/>
        <w:gridCol w:w="149"/>
        <w:gridCol w:w="1177"/>
        <w:gridCol w:w="60"/>
        <w:gridCol w:w="60"/>
        <w:gridCol w:w="147"/>
        <w:gridCol w:w="1161"/>
        <w:gridCol w:w="100"/>
        <w:gridCol w:w="63"/>
        <w:gridCol w:w="147"/>
        <w:gridCol w:w="1161"/>
        <w:gridCol w:w="81"/>
      </w:tblGrid>
      <w:tr>
        <w:trPr/>
        <w:tc>
          <w:tcPr>
            <w:tcW w:w="4349" w:type="dxa"/>
            <w:tcBorders/>
            <w:vAlign w:val="center"/>
          </w:tcPr>
          <w:p>
            <w:pPr>
              <w:pStyle w:val="TableContents"/>
              <w:bidi w:val="0"/>
              <w:spacing w:before="0" w:after="283"/>
              <w:ind w:left="0" w:right="0" w:hanging="200"/>
              <w:jc w:val="left"/>
              <w:rPr/>
            </w:pPr>
            <w:bookmarkStart w:id="787" w:name="xdx_8B0_zQ4GOMR2diia"/>
            <w:bookmarkEnd w:id="787"/>
            <w:r>
              <w:rPr/>
              <w:t>Schedule of computation of earnings per share</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bookmarkStart w:id="788" w:name="xdx_49D_20230101__20230331_zWBT48ueCd31"/>
            <w:bookmarkEnd w:id="788"/>
          </w:p>
        </w:tc>
        <w:tc>
          <w:tcPr>
            <w:tcW w:w="1177" w:type="dxa"/>
            <w:tcBorders/>
            <w:vAlign w:val="center"/>
          </w:tcPr>
          <w:p>
            <w:pPr>
              <w:pStyle w:val="TableContents"/>
              <w:bidi w:val="0"/>
              <w:spacing w:before="0" w:after="283"/>
              <w:jc w:val="center"/>
              <w:rPr/>
            </w:pPr>
            <w:r>
              <w:rPr/>
              <w:t> </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bookmarkStart w:id="789" w:name="xdx_49B_20220101__20220331_zxafMQN7bDs1"/>
            <w:bookmarkEnd w:id="789"/>
          </w:p>
        </w:tc>
        <w:tc>
          <w:tcPr>
            <w:tcW w:w="117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bookmarkStart w:id="790" w:name="xdx_49C_20220701__20230331_z68LSMAmYpn6"/>
            <w:bookmarkEnd w:id="790"/>
          </w:p>
        </w:tc>
        <w:tc>
          <w:tcPr>
            <w:tcW w:w="1161" w:type="dxa"/>
            <w:tcBorders/>
            <w:vAlign w:val="center"/>
          </w:tcPr>
          <w:p>
            <w:pPr>
              <w:pStyle w:val="TableContents"/>
              <w:bidi w:val="0"/>
              <w:spacing w:before="0" w:after="283"/>
              <w:jc w:val="center"/>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47" w:type="dxa"/>
            <w:tcBorders/>
            <w:vAlign w:val="center"/>
          </w:tcPr>
          <w:p>
            <w:pPr>
              <w:pStyle w:val="TableContents"/>
              <w:bidi w:val="0"/>
              <w:spacing w:before="0" w:after="283"/>
              <w:jc w:val="left"/>
              <w:rPr/>
            </w:pPr>
            <w:r>
              <w:rPr/>
              <w:t> </w:t>
            </w:r>
            <w:bookmarkStart w:id="791" w:name="xdx_490_20210701__20220331_z50umslRKs83"/>
            <w:bookmarkEnd w:id="791"/>
          </w:p>
        </w:tc>
        <w:tc>
          <w:tcPr>
            <w:tcW w:w="1161"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6" w:type="dxa"/>
            <w:gridSpan w:val="6"/>
            <w:tcBorders>
              <w:bottom w:val="single" w:sz="8" w:space="0" w:color="000000"/>
            </w:tcBorders>
            <w:tcMar>
              <w:bottom w:w="28" w:type="dxa"/>
            </w:tcMar>
            <w:vAlign w:val="center"/>
          </w:tcPr>
          <w:p>
            <w:pPr>
              <w:pStyle w:val="TableContents"/>
              <w:bidi w:val="0"/>
              <w:spacing w:before="0" w:after="283"/>
              <w:jc w:val="center"/>
              <w:rPr/>
            </w:pPr>
            <w:r>
              <w:rPr/>
              <w:t>Three Months Ended 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79" w:type="dxa"/>
            <w:gridSpan w:val="6"/>
            <w:tcBorders>
              <w:bottom w:val="single" w:sz="8" w:space="0" w:color="000000"/>
            </w:tcBorders>
            <w:tcMar>
              <w:bottom w:w="28" w:type="dxa"/>
            </w:tcMar>
            <w:vAlign w:val="center"/>
          </w:tcPr>
          <w:p>
            <w:pPr>
              <w:pStyle w:val="TableContents"/>
              <w:bidi w:val="0"/>
              <w:spacing w:before="0" w:after="283"/>
              <w:jc w:val="center"/>
              <w:rPr/>
            </w:pPr>
            <w:r>
              <w:rPr/>
              <w:t>Nine Months Ended March 31,</w:t>
            </w:r>
          </w:p>
        </w:tc>
        <w:tc>
          <w:tcPr>
            <w:tcW w:w="81" w:type="dxa"/>
            <w:tcBorders/>
            <w:vAlign w:val="center"/>
          </w:tcPr>
          <w:p>
            <w:pPr>
              <w:pStyle w:val="TableContents"/>
              <w:bidi w:val="0"/>
              <w:spacing w:before="0" w:after="283"/>
              <w:jc w:val="left"/>
              <w:rPr/>
            </w:pPr>
            <w:r>
              <w:rPr/>
              <w:t> </w:t>
            </w:r>
          </w:p>
        </w:tc>
      </w:tr>
      <w:tr>
        <w:trPr/>
        <w:tc>
          <w:tcPr>
            <w:tcW w:w="43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6"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01"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26"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pPr>
            <w:r>
              <w:rPr/>
              <w:t>2023</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08" w:type="dxa"/>
            <w:gridSpan w:val="2"/>
            <w:tcBorders>
              <w:bottom w:val="single" w:sz="8" w:space="0" w:color="000000"/>
            </w:tcBorders>
            <w:tcMar>
              <w:bottom w:w="28" w:type="dxa"/>
            </w:tcMar>
            <w:vAlign w:val="center"/>
          </w:tcPr>
          <w:p>
            <w:pPr>
              <w:pStyle w:val="TableContents"/>
              <w:bidi w:val="0"/>
              <w:spacing w:before="0" w:after="283"/>
              <w:jc w:val="center"/>
              <w:rPr/>
            </w:pPr>
            <w:r>
              <w:rPr/>
              <w:t>2022</w:t>
            </w:r>
          </w:p>
        </w:tc>
        <w:tc>
          <w:tcPr>
            <w:tcW w:w="81" w:type="dxa"/>
            <w:tcBorders/>
            <w:vAlign w:val="center"/>
          </w:tcPr>
          <w:p>
            <w:pPr>
              <w:pStyle w:val="TableContents"/>
              <w:bidi w:val="0"/>
              <w:spacing w:before="0" w:after="283"/>
              <w:jc w:val="left"/>
              <w:rPr/>
            </w:pPr>
            <w:r>
              <w:rPr/>
              <w:t> </w:t>
            </w:r>
          </w:p>
        </w:tc>
      </w:tr>
      <w:tr>
        <w:trPr/>
        <w:tc>
          <w:tcPr>
            <w:tcW w:w="4349" w:type="dxa"/>
            <w:tcBorders/>
            <w:shd w:fill="EEEEEE" w:val="clear"/>
            <w:vAlign w:val="center"/>
          </w:tcPr>
          <w:p>
            <w:pPr>
              <w:pStyle w:val="TableContents"/>
              <w:bidi w:val="0"/>
              <w:spacing w:before="0" w:after="283"/>
              <w:jc w:val="left"/>
              <w:rPr/>
            </w:pPr>
            <w:r>
              <w:rPr/>
              <w:t>Numerator:</w:t>
            </w:r>
          </w:p>
        </w:tc>
        <w:tc>
          <w:tcPr>
            <w:tcW w:w="60"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 </w:t>
            </w:r>
          </w:p>
        </w:tc>
        <w:tc>
          <w:tcPr>
            <w:tcW w:w="1177" w:type="dxa"/>
            <w:tcBorders/>
            <w:shd w:fill="EEEEEE" w:val="clear"/>
            <w:vAlign w:val="center"/>
          </w:tcPr>
          <w:p>
            <w:pPr>
              <w:pStyle w:val="TableContents"/>
              <w:bidi w:val="0"/>
              <w:spacing w:before="0" w:after="283"/>
              <w:jc w:val="right"/>
              <w:rPr/>
            </w:pPr>
            <w:r>
              <w:rPr/>
              <w:t> </w:t>
            </w:r>
          </w:p>
        </w:tc>
        <w:tc>
          <w:tcPr>
            <w:tcW w:w="101"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 </w:t>
            </w:r>
          </w:p>
        </w:tc>
        <w:tc>
          <w:tcPr>
            <w:tcW w:w="117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7" w:type="dxa"/>
            <w:tcBorders/>
            <w:shd w:fill="EEEEEE" w:val="clear"/>
            <w:vAlign w:val="center"/>
          </w:tcPr>
          <w:p>
            <w:pPr>
              <w:pStyle w:val="TableContents"/>
              <w:bidi w:val="0"/>
              <w:spacing w:before="0" w:after="283"/>
              <w:jc w:val="left"/>
              <w:rPr/>
            </w:pPr>
            <w:r>
              <w:rPr/>
              <w:t> </w:t>
            </w:r>
          </w:p>
        </w:tc>
        <w:tc>
          <w:tcPr>
            <w:tcW w:w="1161" w:type="dxa"/>
            <w:tcBorders/>
            <w:shd w:fill="EEEEEE" w:val="clear"/>
            <w:vAlign w:val="center"/>
          </w:tcPr>
          <w:p>
            <w:pPr>
              <w:pStyle w:val="TableContents"/>
              <w:bidi w:val="0"/>
              <w:spacing w:before="0" w:after="283"/>
              <w:jc w:val="right"/>
              <w:rPr/>
            </w:pPr>
            <w:r>
              <w:rPr/>
              <w:t> </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7" w:type="dxa"/>
            <w:tcBorders/>
            <w:shd w:fill="EEEEEE" w:val="clear"/>
            <w:vAlign w:val="center"/>
          </w:tcPr>
          <w:p>
            <w:pPr>
              <w:pStyle w:val="TableContents"/>
              <w:bidi w:val="0"/>
              <w:spacing w:before="0" w:after="283"/>
              <w:jc w:val="left"/>
              <w:rPr/>
            </w:pPr>
            <w:r>
              <w:rPr/>
              <w:t> </w:t>
            </w:r>
          </w:p>
        </w:tc>
        <w:tc>
          <w:tcPr>
            <w:tcW w:w="1161" w:type="dxa"/>
            <w:tcBorders/>
            <w:shd w:fill="EEEEEE" w:val="clear"/>
            <w:vAlign w:val="center"/>
          </w:tcPr>
          <w:p>
            <w:pPr>
              <w:pStyle w:val="TableContents"/>
              <w:bidi w:val="0"/>
              <w:spacing w:before="0" w:after="283"/>
              <w:jc w:val="right"/>
              <w:rPr/>
            </w:pPr>
            <w:r>
              <w:rPr/>
              <w:t> </w:t>
            </w:r>
          </w:p>
        </w:tc>
        <w:tc>
          <w:tcPr>
            <w:tcW w:w="81" w:type="dxa"/>
            <w:tcBorders/>
            <w:shd w:fill="EEEEEE" w:val="clear"/>
            <w:vAlign w:val="center"/>
          </w:tcPr>
          <w:p>
            <w:pPr>
              <w:pStyle w:val="TableContents"/>
              <w:bidi w:val="0"/>
              <w:spacing w:before="0" w:after="283"/>
              <w:ind w:left="0" w:right="0" w:hanging="200"/>
              <w:jc w:val="left"/>
              <w:rPr/>
            </w:pPr>
            <w:r>
              <w:rPr/>
              <w:t> </w:t>
            </w:r>
            <w:bookmarkStart w:id="792" w:name="xdx_409_eus-gaap--NetIncomeLossAvailable"/>
            <w:bookmarkEnd w:id="792"/>
          </w:p>
        </w:tc>
      </w:tr>
      <w:tr>
        <w:trPr/>
        <w:tc>
          <w:tcPr>
            <w:tcW w:w="4349" w:type="dxa"/>
            <w:tcBorders/>
            <w:shd w:fill="FFFFFF" w:val="clear"/>
            <w:vAlign w:val="center"/>
          </w:tcPr>
          <w:p>
            <w:pPr>
              <w:pStyle w:val="TableContents"/>
              <w:bidi w:val="0"/>
              <w:spacing w:before="0" w:after="283"/>
              <w:jc w:val="left"/>
              <w:rPr/>
            </w:pPr>
            <w:r>
              <w:rPr/>
              <w:t>Net (Loss) Income Attributable to iPower, Inc.</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7" w:type="dxa"/>
            <w:tcBorders>
              <w:bottom w:val="double" w:sz="6" w:space="0" w:color="000000"/>
            </w:tcBorders>
            <w:shd w:fill="FFFFFF" w:val="clear"/>
            <w:tcMar>
              <w:bottom w:w="28" w:type="dxa"/>
            </w:tcMar>
            <w:vAlign w:val="center"/>
          </w:tcPr>
          <w:p>
            <w:pPr>
              <w:pStyle w:val="TableContents"/>
              <w:bidi w:val="0"/>
              <w:spacing w:before="0" w:after="283"/>
              <w:jc w:val="right"/>
              <w:rPr/>
            </w:pPr>
            <w:r>
              <w:rPr/>
              <w:t>(1,530,534</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7" w:type="dxa"/>
            <w:tcBorders>
              <w:bottom w:val="double" w:sz="6" w:space="0" w:color="000000"/>
            </w:tcBorders>
            <w:shd w:fill="FFFFFF" w:val="clear"/>
            <w:tcMar>
              <w:bottom w:w="28" w:type="dxa"/>
            </w:tcMar>
            <w:vAlign w:val="center"/>
          </w:tcPr>
          <w:p>
            <w:pPr>
              <w:pStyle w:val="TableContents"/>
              <w:bidi w:val="0"/>
              <w:spacing w:before="0" w:after="283"/>
              <w:jc w:val="right"/>
              <w:rPr/>
            </w:pPr>
            <w:r>
              <w:rPr/>
              <w:t>1,181,757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1" w:type="dxa"/>
            <w:tcBorders>
              <w:bottom w:val="double" w:sz="6" w:space="0" w:color="000000"/>
            </w:tcBorders>
            <w:shd w:fill="FFFFFF" w:val="clear"/>
            <w:tcMar>
              <w:bottom w:w="28" w:type="dxa"/>
            </w:tcMar>
            <w:vAlign w:val="center"/>
          </w:tcPr>
          <w:p>
            <w:pPr>
              <w:pStyle w:val="TableContents"/>
              <w:bidi w:val="0"/>
              <w:spacing w:before="0" w:after="283"/>
              <w:jc w:val="right"/>
              <w:rPr/>
            </w:pPr>
            <w:r>
              <w:rPr/>
              <w:t>(9,003,349</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1" w:type="dxa"/>
            <w:tcBorders>
              <w:bottom w:val="double" w:sz="6" w:space="0" w:color="000000"/>
            </w:tcBorders>
            <w:shd w:fill="FFFFFF" w:val="clear"/>
            <w:tcMar>
              <w:bottom w:w="28" w:type="dxa"/>
            </w:tcMar>
            <w:vAlign w:val="center"/>
          </w:tcPr>
          <w:p>
            <w:pPr>
              <w:pStyle w:val="TableContents"/>
              <w:bidi w:val="0"/>
              <w:spacing w:before="0" w:after="283"/>
              <w:jc w:val="right"/>
              <w:rPr/>
            </w:pPr>
            <w:r>
              <w:rPr/>
              <w:t>2,867,146</w:t>
            </w:r>
          </w:p>
        </w:tc>
        <w:tc>
          <w:tcPr>
            <w:tcW w:w="81" w:type="dxa"/>
            <w:tcBorders/>
            <w:shd w:fill="FFFFFF" w:val="clear"/>
            <w:vAlign w:val="center"/>
          </w:tcPr>
          <w:p>
            <w:pPr>
              <w:pStyle w:val="TableContents"/>
              <w:bidi w:val="0"/>
              <w:spacing w:before="0" w:after="283"/>
              <w:jc w:val="left"/>
              <w:rPr/>
            </w:pPr>
            <w:r>
              <w:rPr/>
              <w:t> </w:t>
            </w:r>
          </w:p>
        </w:tc>
      </w:tr>
      <w:tr>
        <w:trPr/>
        <w:tc>
          <w:tcPr>
            <w:tcW w:w="4349"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 </w:t>
            </w:r>
          </w:p>
        </w:tc>
        <w:tc>
          <w:tcPr>
            <w:tcW w:w="1177" w:type="dxa"/>
            <w:tcBorders/>
            <w:shd w:fill="EEEEEE" w:val="clear"/>
            <w:vAlign w:val="center"/>
          </w:tcPr>
          <w:p>
            <w:pPr>
              <w:pStyle w:val="TableContents"/>
              <w:bidi w:val="0"/>
              <w:spacing w:before="0" w:after="283"/>
              <w:jc w:val="right"/>
              <w:rPr/>
            </w:pPr>
            <w:r>
              <w:rPr/>
              <w:t> </w:t>
            </w:r>
          </w:p>
        </w:tc>
        <w:tc>
          <w:tcPr>
            <w:tcW w:w="101"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 </w:t>
            </w:r>
          </w:p>
        </w:tc>
        <w:tc>
          <w:tcPr>
            <w:tcW w:w="117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7" w:type="dxa"/>
            <w:tcBorders/>
            <w:shd w:fill="EEEEEE" w:val="clear"/>
            <w:vAlign w:val="center"/>
          </w:tcPr>
          <w:p>
            <w:pPr>
              <w:pStyle w:val="TableContents"/>
              <w:bidi w:val="0"/>
              <w:spacing w:before="0" w:after="283"/>
              <w:jc w:val="left"/>
              <w:rPr/>
            </w:pPr>
            <w:r>
              <w:rPr/>
              <w:t> </w:t>
            </w:r>
          </w:p>
        </w:tc>
        <w:tc>
          <w:tcPr>
            <w:tcW w:w="1161" w:type="dxa"/>
            <w:tcBorders/>
            <w:shd w:fill="EEEEEE" w:val="clear"/>
            <w:vAlign w:val="center"/>
          </w:tcPr>
          <w:p>
            <w:pPr>
              <w:pStyle w:val="TableContents"/>
              <w:bidi w:val="0"/>
              <w:spacing w:before="0" w:after="283"/>
              <w:jc w:val="right"/>
              <w:rPr/>
            </w:pPr>
            <w:r>
              <w:rPr/>
              <w:t> </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7" w:type="dxa"/>
            <w:tcBorders/>
            <w:shd w:fill="EEEEEE" w:val="clear"/>
            <w:vAlign w:val="center"/>
          </w:tcPr>
          <w:p>
            <w:pPr>
              <w:pStyle w:val="TableContents"/>
              <w:bidi w:val="0"/>
              <w:spacing w:before="0" w:after="283"/>
              <w:jc w:val="left"/>
              <w:rPr/>
            </w:pPr>
            <w:r>
              <w:rPr/>
              <w:t> </w:t>
            </w:r>
          </w:p>
        </w:tc>
        <w:tc>
          <w:tcPr>
            <w:tcW w:w="1161" w:type="dxa"/>
            <w:tcBorders/>
            <w:shd w:fill="EEEEEE" w:val="clear"/>
            <w:vAlign w:val="center"/>
          </w:tcPr>
          <w:p>
            <w:pPr>
              <w:pStyle w:val="TableContents"/>
              <w:bidi w:val="0"/>
              <w:spacing w:before="0" w:after="283"/>
              <w:jc w:val="right"/>
              <w:rPr/>
            </w:pPr>
            <w:r>
              <w:rPr/>
              <w:t> </w:t>
            </w:r>
          </w:p>
        </w:tc>
        <w:tc>
          <w:tcPr>
            <w:tcW w:w="81" w:type="dxa"/>
            <w:tcBorders/>
            <w:shd w:fill="EEEEEE" w:val="clear"/>
            <w:vAlign w:val="center"/>
          </w:tcPr>
          <w:p>
            <w:pPr>
              <w:pStyle w:val="TableContents"/>
              <w:bidi w:val="0"/>
              <w:spacing w:before="0" w:after="283"/>
              <w:jc w:val="left"/>
              <w:rPr/>
            </w:pPr>
            <w:r>
              <w:rPr/>
              <w:t> </w:t>
            </w:r>
          </w:p>
        </w:tc>
      </w:tr>
      <w:tr>
        <w:trPr/>
        <w:tc>
          <w:tcPr>
            <w:tcW w:w="4349"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ind w:left="0" w:right="0" w:hanging="200"/>
              <w:jc w:val="left"/>
              <w:rPr/>
            </w:pPr>
            <w:r>
              <w:rPr/>
              <w:t> </w:t>
            </w:r>
            <w:bookmarkStart w:id="793" w:name="xdx_40A_ecustom--WeightedaverageSharesUs"/>
            <w:bookmarkEnd w:id="793"/>
          </w:p>
        </w:tc>
      </w:tr>
      <w:tr>
        <w:trPr/>
        <w:tc>
          <w:tcPr>
            <w:tcW w:w="4349" w:type="dxa"/>
            <w:tcBorders/>
            <w:shd w:fill="EEEEEE" w:val="clear"/>
            <w:vAlign w:val="center"/>
          </w:tcPr>
          <w:p>
            <w:pPr>
              <w:pStyle w:val="TableContents"/>
              <w:bidi w:val="0"/>
              <w:spacing w:before="0" w:after="283"/>
              <w:jc w:val="left"/>
              <w:rPr/>
            </w:pPr>
            <w:r>
              <w:rPr/>
              <w:t>Weighted-average shares used in computing basic and diluted earnings per share*</w:t>
            </w:r>
          </w:p>
        </w:tc>
        <w:tc>
          <w:tcPr>
            <w:tcW w:w="60"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 </w:t>
            </w:r>
          </w:p>
        </w:tc>
        <w:tc>
          <w:tcPr>
            <w:tcW w:w="1177" w:type="dxa"/>
            <w:tcBorders/>
            <w:shd w:fill="EEEEEE" w:val="clear"/>
            <w:vAlign w:val="center"/>
          </w:tcPr>
          <w:p>
            <w:pPr>
              <w:pStyle w:val="TableContents"/>
              <w:bidi w:val="0"/>
              <w:spacing w:before="0" w:after="283"/>
              <w:jc w:val="right"/>
              <w:rPr/>
            </w:pPr>
            <w:r>
              <w:rPr/>
              <w:t> </w:t>
            </w:r>
          </w:p>
        </w:tc>
        <w:tc>
          <w:tcPr>
            <w:tcW w:w="101"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 </w:t>
            </w:r>
          </w:p>
        </w:tc>
        <w:tc>
          <w:tcPr>
            <w:tcW w:w="117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7" w:type="dxa"/>
            <w:tcBorders/>
            <w:shd w:fill="EEEEEE" w:val="clear"/>
            <w:vAlign w:val="center"/>
          </w:tcPr>
          <w:p>
            <w:pPr>
              <w:pStyle w:val="TableContents"/>
              <w:bidi w:val="0"/>
              <w:spacing w:before="0" w:after="283"/>
              <w:jc w:val="left"/>
              <w:rPr/>
            </w:pPr>
            <w:r>
              <w:rPr/>
              <w:t> </w:t>
            </w:r>
          </w:p>
        </w:tc>
        <w:tc>
          <w:tcPr>
            <w:tcW w:w="1161" w:type="dxa"/>
            <w:tcBorders/>
            <w:shd w:fill="EEEEEE" w:val="clear"/>
            <w:vAlign w:val="center"/>
          </w:tcPr>
          <w:p>
            <w:pPr>
              <w:pStyle w:val="TableContents"/>
              <w:bidi w:val="0"/>
              <w:spacing w:before="0" w:after="283"/>
              <w:jc w:val="right"/>
              <w:rPr/>
            </w:pPr>
            <w:r>
              <w:rPr/>
              <w:t> </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7" w:type="dxa"/>
            <w:tcBorders/>
            <w:shd w:fill="EEEEEE" w:val="clear"/>
            <w:vAlign w:val="center"/>
          </w:tcPr>
          <w:p>
            <w:pPr>
              <w:pStyle w:val="TableContents"/>
              <w:bidi w:val="0"/>
              <w:spacing w:before="0" w:after="283"/>
              <w:jc w:val="left"/>
              <w:rPr/>
            </w:pPr>
            <w:r>
              <w:rPr/>
              <w:t> </w:t>
            </w:r>
          </w:p>
        </w:tc>
        <w:tc>
          <w:tcPr>
            <w:tcW w:w="1161" w:type="dxa"/>
            <w:tcBorders/>
            <w:shd w:fill="EEEEEE" w:val="clear"/>
            <w:vAlign w:val="center"/>
          </w:tcPr>
          <w:p>
            <w:pPr>
              <w:pStyle w:val="TableContents"/>
              <w:bidi w:val="0"/>
              <w:spacing w:before="0" w:after="283"/>
              <w:jc w:val="right"/>
              <w:rPr/>
            </w:pPr>
            <w:r>
              <w:rPr/>
              <w:t> </w:t>
            </w:r>
          </w:p>
        </w:tc>
        <w:tc>
          <w:tcPr>
            <w:tcW w:w="81" w:type="dxa"/>
            <w:tcBorders/>
            <w:shd w:fill="EEEEEE" w:val="clear"/>
            <w:vAlign w:val="center"/>
          </w:tcPr>
          <w:p>
            <w:pPr>
              <w:pStyle w:val="TableContents"/>
              <w:bidi w:val="0"/>
              <w:spacing w:before="0" w:after="283"/>
              <w:ind w:left="0" w:right="0" w:hanging="200"/>
              <w:jc w:val="left"/>
              <w:rPr/>
            </w:pPr>
            <w:r>
              <w:rPr/>
              <w:t> </w:t>
            </w:r>
            <w:bookmarkStart w:id="794" w:name="xdx_409_eus-gaap--WeightedAverageNumberO"/>
            <w:bookmarkEnd w:id="794"/>
          </w:p>
        </w:tc>
      </w:tr>
      <w:tr>
        <w:trPr/>
        <w:tc>
          <w:tcPr>
            <w:tcW w:w="4349"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double" w:sz="6" w:space="0" w:color="000000"/>
            </w:tcBorders>
            <w:shd w:fill="FFFFFF" w:val="clear"/>
            <w:tcMar>
              <w:bottom w:w="28" w:type="dxa"/>
            </w:tcMar>
            <w:vAlign w:val="center"/>
          </w:tcPr>
          <w:p>
            <w:pPr>
              <w:pStyle w:val="TableContents"/>
              <w:bidi w:val="0"/>
              <w:spacing w:before="0" w:after="283"/>
              <w:jc w:val="right"/>
              <w:rPr/>
            </w:pPr>
            <w:r>
              <w:rPr/>
              <w:t>29,730,914</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7" w:type="dxa"/>
            <w:tcBorders>
              <w:bottom w:val="double" w:sz="6" w:space="0" w:color="000000"/>
            </w:tcBorders>
            <w:shd w:fill="FFFFFF" w:val="clear"/>
            <w:tcMar>
              <w:bottom w:w="28" w:type="dxa"/>
            </w:tcMar>
            <w:vAlign w:val="center"/>
          </w:tcPr>
          <w:p>
            <w:pPr>
              <w:pStyle w:val="TableContents"/>
              <w:bidi w:val="0"/>
              <w:spacing w:before="0" w:after="283"/>
              <w:jc w:val="right"/>
              <w:rPr/>
            </w:pPr>
            <w:r>
              <w:rPr/>
              <w:t>28,045,130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double" w:sz="6" w:space="0" w:color="000000"/>
            </w:tcBorders>
            <w:shd w:fill="FFFFFF" w:val="clear"/>
            <w:tcMar>
              <w:bottom w:w="28" w:type="dxa"/>
            </w:tcMar>
            <w:vAlign w:val="center"/>
          </w:tcPr>
          <w:p>
            <w:pPr>
              <w:pStyle w:val="TableContents"/>
              <w:bidi w:val="0"/>
              <w:spacing w:before="0" w:after="283"/>
              <w:jc w:val="right"/>
              <w:rPr/>
            </w:pPr>
            <w:r>
              <w:rPr/>
              <w:t>29,702,014</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double" w:sz="6" w:space="0" w:color="000000"/>
            </w:tcBorders>
            <w:shd w:fill="FFFFFF" w:val="clear"/>
            <w:tcMar>
              <w:bottom w:w="28" w:type="dxa"/>
            </w:tcMar>
            <w:vAlign w:val="center"/>
          </w:tcPr>
          <w:p>
            <w:pPr>
              <w:pStyle w:val="TableContents"/>
              <w:bidi w:val="0"/>
              <w:spacing w:before="0" w:after="283"/>
              <w:jc w:val="right"/>
              <w:rPr/>
            </w:pPr>
            <w:r>
              <w:rPr/>
              <w:t>26,999,342</w:t>
            </w:r>
          </w:p>
        </w:tc>
        <w:tc>
          <w:tcPr>
            <w:tcW w:w="81" w:type="dxa"/>
            <w:tcBorders/>
            <w:shd w:fill="FFFFFF" w:val="clear"/>
            <w:vAlign w:val="center"/>
          </w:tcPr>
          <w:p>
            <w:pPr>
              <w:pStyle w:val="TableContents"/>
              <w:bidi w:val="0"/>
              <w:spacing w:before="0" w:after="283"/>
              <w:ind w:left="0" w:right="0" w:hanging="200"/>
              <w:jc w:val="left"/>
              <w:rPr/>
            </w:pPr>
            <w:r>
              <w:rPr/>
              <w:t> </w:t>
            </w:r>
            <w:bookmarkStart w:id="795" w:name="xdx_40D_eus-gaap--WeightedAverageNumberD"/>
            <w:bookmarkEnd w:id="795"/>
          </w:p>
        </w:tc>
      </w:tr>
      <w:tr>
        <w:trPr/>
        <w:tc>
          <w:tcPr>
            <w:tcW w:w="4349" w:type="dxa"/>
            <w:tcBorders/>
            <w:shd w:fill="EEEEEE" w:val="clear"/>
            <w:vAlign w:val="center"/>
          </w:tcPr>
          <w:p>
            <w:pPr>
              <w:pStyle w:val="TableContents"/>
              <w:bidi w:val="0"/>
              <w:spacing w:before="0" w:after="283"/>
              <w:jc w:val="left"/>
              <w:rPr/>
            </w:pPr>
            <w:r>
              <w:rPr/>
              <w:t>Diluted</w:t>
            </w:r>
          </w:p>
        </w:tc>
        <w:tc>
          <w:tcPr>
            <w:tcW w:w="60" w:type="dxa"/>
            <w:tcBorders/>
            <w:shd w:fill="EEEEEE" w:val="clear"/>
            <w:vAlign w:val="center"/>
          </w:tcPr>
          <w:p>
            <w:pPr>
              <w:pStyle w:val="TableContents"/>
              <w:bidi w:val="0"/>
              <w:spacing w:before="0" w:after="283"/>
              <w:jc w:val="left"/>
              <w:rPr/>
            </w:pPr>
            <w:r>
              <w:rPr/>
              <w:t> </w:t>
            </w:r>
          </w:p>
        </w:tc>
        <w:tc>
          <w:tcPr>
            <w:tcW w:w="149"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77" w:type="dxa"/>
            <w:tcBorders>
              <w:bottom w:val="double" w:sz="6" w:space="0" w:color="000000"/>
            </w:tcBorders>
            <w:shd w:fill="EEEEEE" w:val="clear"/>
            <w:tcMar>
              <w:bottom w:w="28" w:type="dxa"/>
            </w:tcMar>
            <w:vAlign w:val="center"/>
          </w:tcPr>
          <w:p>
            <w:pPr>
              <w:pStyle w:val="TableContents"/>
              <w:bidi w:val="0"/>
              <w:spacing w:before="0" w:after="283"/>
              <w:jc w:val="right"/>
              <w:rPr/>
            </w:pPr>
            <w:r>
              <w:rPr/>
              <w:t>29,730,914</w:t>
            </w:r>
          </w:p>
        </w:tc>
        <w:tc>
          <w:tcPr>
            <w:tcW w:w="101"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9"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77" w:type="dxa"/>
            <w:tcBorders>
              <w:bottom w:val="double" w:sz="6" w:space="0" w:color="000000"/>
            </w:tcBorders>
            <w:shd w:fill="EEEEEE" w:val="clear"/>
            <w:tcMar>
              <w:bottom w:w="28" w:type="dxa"/>
            </w:tcMar>
            <w:vAlign w:val="center"/>
          </w:tcPr>
          <w:p>
            <w:pPr>
              <w:pStyle w:val="TableContents"/>
              <w:bidi w:val="0"/>
              <w:spacing w:before="0" w:after="283"/>
              <w:jc w:val="right"/>
              <w:rPr/>
            </w:pPr>
            <w:r>
              <w:rPr/>
              <w:t>28,045,130</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7"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61" w:type="dxa"/>
            <w:tcBorders>
              <w:bottom w:val="double" w:sz="6" w:space="0" w:color="000000"/>
            </w:tcBorders>
            <w:shd w:fill="EEEEEE" w:val="clear"/>
            <w:tcMar>
              <w:bottom w:w="28" w:type="dxa"/>
            </w:tcMar>
            <w:vAlign w:val="center"/>
          </w:tcPr>
          <w:p>
            <w:pPr>
              <w:pStyle w:val="TableContents"/>
              <w:bidi w:val="0"/>
              <w:spacing w:before="0" w:after="283"/>
              <w:jc w:val="right"/>
              <w:rPr/>
            </w:pPr>
            <w:r>
              <w:rPr/>
              <w:t>29,702,014</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7"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p>
        </w:tc>
        <w:tc>
          <w:tcPr>
            <w:tcW w:w="1161" w:type="dxa"/>
            <w:tcBorders>
              <w:bottom w:val="double" w:sz="6" w:space="0" w:color="000000"/>
            </w:tcBorders>
            <w:shd w:fill="EEEEEE" w:val="clear"/>
            <w:tcMar>
              <w:bottom w:w="28" w:type="dxa"/>
            </w:tcMar>
            <w:vAlign w:val="center"/>
          </w:tcPr>
          <w:p>
            <w:pPr>
              <w:pStyle w:val="TableContents"/>
              <w:bidi w:val="0"/>
              <w:spacing w:before="0" w:after="283"/>
              <w:jc w:val="right"/>
              <w:rPr/>
            </w:pPr>
            <w:r>
              <w:rPr/>
              <w:t>26,999,342</w:t>
            </w:r>
          </w:p>
        </w:tc>
        <w:tc>
          <w:tcPr>
            <w:tcW w:w="81" w:type="dxa"/>
            <w:tcBorders/>
            <w:shd w:fill="EEEEEE" w:val="clear"/>
            <w:vAlign w:val="center"/>
          </w:tcPr>
          <w:p>
            <w:pPr>
              <w:pStyle w:val="TableContents"/>
              <w:bidi w:val="0"/>
              <w:spacing w:before="0" w:after="283"/>
              <w:jc w:val="left"/>
              <w:rPr/>
            </w:pPr>
            <w:r>
              <w:rPr/>
              <w:t> </w:t>
            </w:r>
          </w:p>
        </w:tc>
      </w:tr>
      <w:tr>
        <w:trPr/>
        <w:tc>
          <w:tcPr>
            <w:tcW w:w="434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 </w:t>
            </w:r>
          </w:p>
        </w:tc>
        <w:tc>
          <w:tcPr>
            <w:tcW w:w="101"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117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81" w:type="dxa"/>
            <w:tcBorders/>
            <w:shd w:fill="FFFFFF" w:val="clear"/>
            <w:vAlign w:val="center"/>
          </w:tcPr>
          <w:p>
            <w:pPr>
              <w:pStyle w:val="TableContents"/>
              <w:bidi w:val="0"/>
              <w:spacing w:before="0" w:after="283"/>
              <w:jc w:val="left"/>
              <w:rPr/>
            </w:pPr>
            <w:r>
              <w:rPr/>
              <w:t> </w:t>
            </w:r>
            <w:bookmarkStart w:id="796" w:name="xdx_401_ecustom--LossesEarningsPerShareA"/>
            <w:bookmarkEnd w:id="796"/>
          </w:p>
        </w:tc>
      </w:tr>
      <w:tr>
        <w:trPr/>
        <w:tc>
          <w:tcPr>
            <w:tcW w:w="4349" w:type="dxa"/>
            <w:tcBorders/>
            <w:shd w:fill="EEEEEE" w:val="clear"/>
            <w:vAlign w:val="center"/>
          </w:tcPr>
          <w:p>
            <w:pPr>
              <w:pStyle w:val="TableContents"/>
              <w:bidi w:val="0"/>
              <w:spacing w:before="0" w:after="283"/>
              <w:jc w:val="left"/>
              <w:rPr/>
            </w:pPr>
            <w:r>
              <w:rPr/>
              <w:t>(Losses) Earnings per share:</w:t>
            </w:r>
          </w:p>
        </w:tc>
        <w:tc>
          <w:tcPr>
            <w:tcW w:w="60"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 </w:t>
            </w:r>
          </w:p>
        </w:tc>
        <w:tc>
          <w:tcPr>
            <w:tcW w:w="1177" w:type="dxa"/>
            <w:tcBorders/>
            <w:shd w:fill="EEEEEE" w:val="clear"/>
            <w:vAlign w:val="center"/>
          </w:tcPr>
          <w:p>
            <w:pPr>
              <w:pStyle w:val="TableContents"/>
              <w:bidi w:val="0"/>
              <w:spacing w:before="0" w:after="283"/>
              <w:jc w:val="right"/>
              <w:rPr/>
            </w:pPr>
            <w:r>
              <w:rPr/>
              <w:t> </w:t>
            </w:r>
          </w:p>
        </w:tc>
        <w:tc>
          <w:tcPr>
            <w:tcW w:w="101"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9" w:type="dxa"/>
            <w:tcBorders/>
            <w:shd w:fill="EEEEEE" w:val="clear"/>
            <w:vAlign w:val="center"/>
          </w:tcPr>
          <w:p>
            <w:pPr>
              <w:pStyle w:val="TableContents"/>
              <w:bidi w:val="0"/>
              <w:spacing w:before="0" w:after="283"/>
              <w:jc w:val="left"/>
              <w:rPr/>
            </w:pPr>
            <w:r>
              <w:rPr/>
              <w:t> </w:t>
            </w:r>
          </w:p>
        </w:tc>
        <w:tc>
          <w:tcPr>
            <w:tcW w:w="1177"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7" w:type="dxa"/>
            <w:tcBorders/>
            <w:shd w:fill="EEEEEE" w:val="clear"/>
            <w:vAlign w:val="center"/>
          </w:tcPr>
          <w:p>
            <w:pPr>
              <w:pStyle w:val="TableContents"/>
              <w:bidi w:val="0"/>
              <w:spacing w:before="0" w:after="283"/>
              <w:jc w:val="left"/>
              <w:rPr/>
            </w:pPr>
            <w:r>
              <w:rPr/>
              <w:t> </w:t>
            </w:r>
          </w:p>
        </w:tc>
        <w:tc>
          <w:tcPr>
            <w:tcW w:w="1161" w:type="dxa"/>
            <w:tcBorders/>
            <w:shd w:fill="EEEEEE" w:val="clear"/>
            <w:vAlign w:val="center"/>
          </w:tcPr>
          <w:p>
            <w:pPr>
              <w:pStyle w:val="TableContents"/>
              <w:bidi w:val="0"/>
              <w:spacing w:before="0" w:after="283"/>
              <w:jc w:val="right"/>
              <w:rPr/>
            </w:pPr>
            <w:r>
              <w:rPr/>
              <w:t> </w:t>
            </w:r>
          </w:p>
        </w:tc>
        <w:tc>
          <w:tcPr>
            <w:tcW w:w="100" w:type="dxa"/>
            <w:tcBorders/>
            <w:shd w:fill="EEEEEE" w:val="clear"/>
            <w:vAlign w:val="center"/>
          </w:tcPr>
          <w:p>
            <w:pPr>
              <w:pStyle w:val="TableContents"/>
              <w:bidi w:val="0"/>
              <w:spacing w:before="0" w:after="283"/>
              <w:jc w:val="left"/>
              <w:rPr/>
            </w:pPr>
            <w:r>
              <w:rPr/>
              <w:t> </w:t>
            </w:r>
          </w:p>
        </w:tc>
        <w:tc>
          <w:tcPr>
            <w:tcW w:w="63" w:type="dxa"/>
            <w:tcBorders/>
            <w:shd w:fill="EEEEEE" w:val="clear"/>
            <w:vAlign w:val="center"/>
          </w:tcPr>
          <w:p>
            <w:pPr>
              <w:pStyle w:val="TableContents"/>
              <w:bidi w:val="0"/>
              <w:spacing w:before="0" w:after="283"/>
              <w:jc w:val="left"/>
              <w:rPr/>
            </w:pPr>
            <w:r>
              <w:rPr/>
              <w:t> </w:t>
            </w:r>
          </w:p>
        </w:tc>
        <w:tc>
          <w:tcPr>
            <w:tcW w:w="147" w:type="dxa"/>
            <w:tcBorders/>
            <w:shd w:fill="EEEEEE" w:val="clear"/>
            <w:vAlign w:val="center"/>
          </w:tcPr>
          <w:p>
            <w:pPr>
              <w:pStyle w:val="TableContents"/>
              <w:bidi w:val="0"/>
              <w:spacing w:before="0" w:after="283"/>
              <w:jc w:val="left"/>
              <w:rPr/>
            </w:pPr>
            <w:r>
              <w:rPr/>
              <w:t> </w:t>
            </w:r>
          </w:p>
        </w:tc>
        <w:tc>
          <w:tcPr>
            <w:tcW w:w="1161" w:type="dxa"/>
            <w:tcBorders/>
            <w:shd w:fill="EEEEEE" w:val="clear"/>
            <w:vAlign w:val="center"/>
          </w:tcPr>
          <w:p>
            <w:pPr>
              <w:pStyle w:val="TableContents"/>
              <w:bidi w:val="0"/>
              <w:spacing w:before="0" w:after="283"/>
              <w:jc w:val="right"/>
              <w:rPr/>
            </w:pPr>
            <w:r>
              <w:rPr/>
              <w:t> </w:t>
            </w:r>
          </w:p>
        </w:tc>
        <w:tc>
          <w:tcPr>
            <w:tcW w:w="81" w:type="dxa"/>
            <w:tcBorders/>
            <w:shd w:fill="EEEEEE" w:val="clear"/>
            <w:vAlign w:val="center"/>
          </w:tcPr>
          <w:p>
            <w:pPr>
              <w:pStyle w:val="TableContents"/>
              <w:bidi w:val="0"/>
              <w:spacing w:before="0" w:after="283"/>
              <w:ind w:left="0" w:right="0" w:hanging="200"/>
              <w:jc w:val="left"/>
              <w:rPr/>
            </w:pPr>
            <w:r>
              <w:rPr/>
              <w:t> </w:t>
            </w:r>
            <w:bookmarkStart w:id="797" w:name="xdx_401_eus-gaap--EarningsPerShareBasic_"/>
            <w:bookmarkEnd w:id="797"/>
          </w:p>
        </w:tc>
      </w:tr>
      <w:tr>
        <w:trPr/>
        <w:tc>
          <w:tcPr>
            <w:tcW w:w="4349"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7" w:type="dxa"/>
            <w:tcBorders>
              <w:bottom w:val="double" w:sz="6" w:space="0" w:color="000000"/>
            </w:tcBorders>
            <w:shd w:fill="FFFFFF" w:val="clear"/>
            <w:tcMar>
              <w:bottom w:w="28" w:type="dxa"/>
            </w:tcMar>
            <w:vAlign w:val="center"/>
          </w:tcPr>
          <w:p>
            <w:pPr>
              <w:pStyle w:val="TableContents"/>
              <w:bidi w:val="0"/>
              <w:spacing w:before="0" w:after="283"/>
              <w:jc w:val="right"/>
              <w:rPr/>
            </w:pPr>
            <w:r>
              <w:rPr/>
              <w:t>(0.051</w:t>
            </w:r>
          </w:p>
        </w:tc>
        <w:tc>
          <w:tcPr>
            <w:tcW w:w="101"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7" w:type="dxa"/>
            <w:tcBorders>
              <w:bottom w:val="double" w:sz="6" w:space="0" w:color="000000"/>
            </w:tcBorders>
            <w:shd w:fill="FFFFFF" w:val="clear"/>
            <w:tcMar>
              <w:bottom w:w="28" w:type="dxa"/>
            </w:tcMar>
            <w:vAlign w:val="center"/>
          </w:tcPr>
          <w:p>
            <w:pPr>
              <w:pStyle w:val="TableContents"/>
              <w:bidi w:val="0"/>
              <w:spacing w:before="0" w:after="283"/>
              <w:jc w:val="right"/>
              <w:rPr/>
            </w:pPr>
            <w:r>
              <w:rPr/>
              <w:t>0.042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1" w:type="dxa"/>
            <w:tcBorders>
              <w:bottom w:val="double" w:sz="6" w:space="0" w:color="000000"/>
            </w:tcBorders>
            <w:shd w:fill="FFFFFF" w:val="clear"/>
            <w:tcMar>
              <w:bottom w:w="28" w:type="dxa"/>
            </w:tcMar>
            <w:vAlign w:val="center"/>
          </w:tcPr>
          <w:p>
            <w:pPr>
              <w:pStyle w:val="TableContents"/>
              <w:bidi w:val="0"/>
              <w:spacing w:before="0" w:after="283"/>
              <w:jc w:val="right"/>
              <w:rPr/>
            </w:pPr>
            <w:r>
              <w:rPr/>
              <w:t>(0.303</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1" w:type="dxa"/>
            <w:tcBorders>
              <w:bottom w:val="double" w:sz="6" w:space="0" w:color="000000"/>
            </w:tcBorders>
            <w:shd w:fill="FFFFFF" w:val="clear"/>
            <w:tcMar>
              <w:bottom w:w="28" w:type="dxa"/>
            </w:tcMar>
            <w:vAlign w:val="center"/>
          </w:tcPr>
          <w:p>
            <w:pPr>
              <w:pStyle w:val="TableContents"/>
              <w:bidi w:val="0"/>
              <w:spacing w:before="0" w:after="283"/>
              <w:jc w:val="right"/>
              <w:rPr/>
            </w:pPr>
            <w:r>
              <w:rPr/>
              <w:t>0.106</w:t>
            </w:r>
          </w:p>
        </w:tc>
        <w:tc>
          <w:tcPr>
            <w:tcW w:w="81" w:type="dxa"/>
            <w:tcBorders/>
            <w:shd w:fill="FFFFFF" w:val="clear"/>
            <w:vAlign w:val="center"/>
          </w:tcPr>
          <w:p>
            <w:pPr>
              <w:pStyle w:val="TableContents"/>
              <w:bidi w:val="0"/>
              <w:spacing w:before="0" w:after="283"/>
              <w:ind w:left="0" w:right="0" w:hanging="200"/>
              <w:jc w:val="left"/>
              <w:rPr/>
            </w:pPr>
            <w:r>
              <w:rPr/>
              <w:t> </w:t>
            </w:r>
            <w:bookmarkStart w:id="798" w:name="xdx_40D_eus-gaap--EarningsPerShareDilute"/>
            <w:bookmarkEnd w:id="798"/>
          </w:p>
        </w:tc>
      </w:tr>
      <w:tr>
        <w:trPr/>
        <w:tc>
          <w:tcPr>
            <w:tcW w:w="4349" w:type="dxa"/>
            <w:tcBorders/>
            <w:shd w:fill="EEEEEE" w:val="clear"/>
            <w:vAlign w:val="center"/>
          </w:tcPr>
          <w:p>
            <w:pPr>
              <w:pStyle w:val="TableContents"/>
              <w:bidi w:val="0"/>
              <w:spacing w:before="0" w:after="283"/>
              <w:jc w:val="left"/>
              <w:rPr/>
            </w:pPr>
            <w:r>
              <w:rPr/>
              <w:t>Diluted</w:t>
            </w:r>
          </w:p>
        </w:tc>
        <w:tc>
          <w:tcPr>
            <w:tcW w:w="60" w:type="dxa"/>
            <w:tcBorders/>
            <w:shd w:fill="EEEEEE" w:val="clear"/>
            <w:vAlign w:val="center"/>
          </w:tcPr>
          <w:p>
            <w:pPr>
              <w:pStyle w:val="TableContents"/>
              <w:bidi w:val="0"/>
              <w:spacing w:before="0" w:after="283"/>
              <w:jc w:val="left"/>
              <w:rPr/>
            </w:pPr>
            <w:r>
              <w:rPr/>
              <w:t> </w:t>
            </w:r>
          </w:p>
        </w:tc>
        <w:tc>
          <w:tcPr>
            <w:tcW w:w="14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77" w:type="dxa"/>
            <w:tcBorders>
              <w:bottom w:val="double" w:sz="6" w:space="0" w:color="000000"/>
            </w:tcBorders>
            <w:shd w:fill="EEEEEE" w:val="clear"/>
            <w:tcMar>
              <w:bottom w:w="28" w:type="dxa"/>
            </w:tcMar>
            <w:vAlign w:val="center"/>
          </w:tcPr>
          <w:p>
            <w:pPr>
              <w:pStyle w:val="TableContents"/>
              <w:bidi w:val="0"/>
              <w:spacing w:before="0" w:after="283"/>
              <w:jc w:val="right"/>
              <w:rPr/>
            </w:pPr>
            <w:r>
              <w:rPr/>
              <w:t>(0.051</w:t>
            </w:r>
          </w:p>
        </w:tc>
        <w:tc>
          <w:tcPr>
            <w:tcW w:w="101" w:type="dxa"/>
            <w:tcBorders/>
            <w:shd w:fill="EEEEEE" w:val="clear"/>
            <w:vAlign w:val="center"/>
          </w:tcPr>
          <w:p>
            <w:pPr>
              <w:pStyle w:val="TableContents"/>
              <w:bidi w:val="0"/>
              <w:spacing w:before="0" w:after="283"/>
              <w:jc w:val="left"/>
              <w:rPr/>
            </w:pPr>
            <w:r>
              <w:rPr/>
              <w:t>)</w:t>
            </w:r>
          </w:p>
        </w:tc>
        <w:tc>
          <w:tcPr>
            <w:tcW w:w="63" w:type="dxa"/>
            <w:tcBorders/>
            <w:shd w:fill="EEEEEE" w:val="clear"/>
            <w:vAlign w:val="center"/>
          </w:tcPr>
          <w:p>
            <w:pPr>
              <w:pStyle w:val="TableContents"/>
              <w:bidi w:val="0"/>
              <w:spacing w:before="0" w:after="283"/>
              <w:jc w:val="left"/>
              <w:rPr/>
            </w:pPr>
            <w:r>
              <w:rPr/>
              <w:t> </w:t>
            </w:r>
          </w:p>
        </w:tc>
        <w:tc>
          <w:tcPr>
            <w:tcW w:w="149"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77" w:type="dxa"/>
            <w:tcBorders>
              <w:bottom w:val="double" w:sz="6" w:space="0" w:color="000000"/>
            </w:tcBorders>
            <w:shd w:fill="EEEEEE" w:val="clear"/>
            <w:tcMar>
              <w:bottom w:w="28" w:type="dxa"/>
            </w:tcMar>
            <w:vAlign w:val="center"/>
          </w:tcPr>
          <w:p>
            <w:pPr>
              <w:pStyle w:val="TableContents"/>
              <w:bidi w:val="0"/>
              <w:spacing w:before="0" w:after="283"/>
              <w:jc w:val="right"/>
              <w:rPr/>
            </w:pPr>
            <w:r>
              <w:rPr/>
              <w:t>0.042</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7"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61" w:type="dxa"/>
            <w:tcBorders>
              <w:bottom w:val="double" w:sz="6" w:space="0" w:color="000000"/>
            </w:tcBorders>
            <w:shd w:fill="EEEEEE" w:val="clear"/>
            <w:tcMar>
              <w:bottom w:w="28" w:type="dxa"/>
            </w:tcMar>
            <w:vAlign w:val="center"/>
          </w:tcPr>
          <w:p>
            <w:pPr>
              <w:pStyle w:val="TableContents"/>
              <w:bidi w:val="0"/>
              <w:spacing w:before="0" w:after="283"/>
              <w:jc w:val="right"/>
              <w:rPr/>
            </w:pPr>
            <w:r>
              <w:rPr/>
              <w:t>(0.303</w:t>
            </w:r>
          </w:p>
        </w:tc>
        <w:tc>
          <w:tcPr>
            <w:tcW w:w="100" w:type="dxa"/>
            <w:tcBorders/>
            <w:shd w:fill="EEEEEE" w:val="clear"/>
            <w:vAlign w:val="center"/>
          </w:tcPr>
          <w:p>
            <w:pPr>
              <w:pStyle w:val="TableContents"/>
              <w:bidi w:val="0"/>
              <w:spacing w:before="0" w:after="283"/>
              <w:jc w:val="left"/>
              <w:rPr/>
            </w:pPr>
            <w:r>
              <w:rPr/>
              <w:t>)</w:t>
            </w:r>
          </w:p>
        </w:tc>
        <w:tc>
          <w:tcPr>
            <w:tcW w:w="63" w:type="dxa"/>
            <w:tcBorders/>
            <w:shd w:fill="EEEEEE" w:val="clear"/>
            <w:vAlign w:val="center"/>
          </w:tcPr>
          <w:p>
            <w:pPr>
              <w:pStyle w:val="TableContents"/>
              <w:bidi w:val="0"/>
              <w:spacing w:before="0" w:after="283"/>
              <w:jc w:val="left"/>
              <w:rPr/>
            </w:pPr>
            <w:r>
              <w:rPr/>
              <w:t> </w:t>
            </w:r>
          </w:p>
        </w:tc>
        <w:tc>
          <w:tcPr>
            <w:tcW w:w="147"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61" w:type="dxa"/>
            <w:tcBorders>
              <w:bottom w:val="double" w:sz="6" w:space="0" w:color="000000"/>
            </w:tcBorders>
            <w:shd w:fill="EEEEEE" w:val="clear"/>
            <w:tcMar>
              <w:bottom w:w="28" w:type="dxa"/>
            </w:tcMar>
            <w:vAlign w:val="center"/>
          </w:tcPr>
          <w:p>
            <w:pPr>
              <w:pStyle w:val="TableContents"/>
              <w:bidi w:val="0"/>
              <w:spacing w:before="0" w:after="283"/>
              <w:jc w:val="right"/>
              <w:rPr/>
            </w:pPr>
            <w:r>
              <w:rPr/>
              <w:t>0.106</w:t>
            </w:r>
          </w:p>
        </w:tc>
        <w:tc>
          <w:tcPr>
            <w:tcW w:w="81"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Due to the ani-dilutive effect, the computation of basic and diluted EPS did not include the shares underlying the exercise of warrants as the Company had a net loss for the three and nine months ended March 31, 2023.</w:t>
            </w:r>
          </w:p>
        </w:tc>
      </w:tr>
      <w:tr>
        <w:trPr/>
        <w:tc>
          <w:tcPr>
            <w:tcW w:w="155" w:type="dxa"/>
            <w:tcBorders/>
            <w:vAlign w:val="center"/>
          </w:tcPr>
          <w:p>
            <w:pPr>
              <w:pStyle w:val="TableContents"/>
              <w:bidi w:val="0"/>
              <w:spacing w:before="0" w:after="283"/>
              <w:jc w:val="both"/>
              <w:rPr/>
            </w:pPr>
            <w:r>
              <w:rPr/>
              <w:t> </w:t>
            </w:r>
          </w:p>
        </w:tc>
        <w:tc>
          <w:tcPr>
            <w:tcW w:w="10050" w:type="dxa"/>
            <w:tcBorders/>
            <w:vAlign w:val="center"/>
          </w:tcPr>
          <w:p>
            <w:pPr>
              <w:pStyle w:val="TableContents"/>
              <w:bidi w:val="0"/>
              <w:spacing w:before="0" w:after="283"/>
              <w:jc w:val="both"/>
              <w:rPr/>
            </w:pPr>
            <w:r>
              <w:rPr/>
              <w:t> </w:t>
            </w:r>
          </w:p>
        </w:tc>
      </w:tr>
      <w:tr>
        <w:trPr/>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computation of diluted EPS did not include the underlying shares of warrants calculated using treasury method for the three and nine months ended March 31, 2022 as the exercise price was greater than the market price of the shares. </w:t>
            </w:r>
          </w:p>
        </w:tc>
      </w:tr>
      <w:tr>
        <w:trPr/>
        <w:tc>
          <w:tcPr>
            <w:tcW w:w="155" w:type="dxa"/>
            <w:tcBorders/>
            <w:vAlign w:val="center"/>
          </w:tcPr>
          <w:p>
            <w:pPr>
              <w:pStyle w:val="TableContents"/>
              <w:bidi w:val="0"/>
              <w:spacing w:before="0" w:after="283"/>
              <w:jc w:val="both"/>
              <w:rPr/>
            </w:pPr>
            <w:r>
              <w:rPr/>
              <w:t> </w:t>
            </w:r>
          </w:p>
        </w:tc>
        <w:tc>
          <w:tcPr>
            <w:tcW w:w="10050" w:type="dxa"/>
            <w:tcBorders/>
            <w:vAlign w:val="center"/>
          </w:tcPr>
          <w:p>
            <w:pPr>
              <w:pStyle w:val="TableContents"/>
              <w:bidi w:val="0"/>
              <w:spacing w:before="0" w:after="283"/>
              <w:jc w:val="both"/>
              <w:rPr/>
            </w:pPr>
            <w:r>
              <w:rPr/>
              <w:t> </w:t>
            </w:r>
          </w:p>
        </w:tc>
      </w:tr>
      <w:tr>
        <w:trPr/>
        <w:tc>
          <w:tcPr>
            <w:tcW w:w="155" w:type="dxa"/>
            <w:tcBorders/>
            <w:vAlign w:val="center"/>
          </w:tcPr>
          <w:p>
            <w:pPr>
              <w:pStyle w:val="TableContents"/>
              <w:bidi w:val="0"/>
              <w:spacing w:before="0" w:after="283"/>
              <w:jc w:val="both"/>
              <w:rPr/>
            </w:pPr>
            <w:r>
              <w:rPr/>
              <w:t>*</w:t>
            </w:r>
          </w:p>
        </w:tc>
        <w:tc>
          <w:tcPr>
            <w:tcW w:w="10050" w:type="dxa"/>
            <w:tcBorders/>
            <w:vAlign w:val="center"/>
          </w:tcPr>
          <w:p>
            <w:pPr>
              <w:pStyle w:val="TableContents"/>
              <w:bidi w:val="0"/>
              <w:spacing w:before="0" w:after="283"/>
              <w:jc w:val="both"/>
              <w:rPr/>
            </w:pPr>
            <w:r>
              <w:rPr/>
              <w:t>The computation of diluted EPS did not include the underlying shares of the stock options granted in May 2022 for the three and nine months ended March 31, 2023 as none of the options were vested as of March 31, 2023.</w:t>
            </w:r>
          </w:p>
        </w:tc>
      </w:tr>
      <w:tr>
        <w:trPr/>
        <w:tc>
          <w:tcPr>
            <w:tcW w:w="155" w:type="dxa"/>
            <w:tcBorders/>
            <w:vAlign w:val="center"/>
          </w:tcPr>
          <w:p>
            <w:pPr>
              <w:pStyle w:val="TableContents"/>
              <w:bidi w:val="0"/>
              <w:spacing w:before="0" w:after="283"/>
              <w:jc w:val="both"/>
              <w:rPr/>
            </w:pPr>
            <w:r>
              <w:rPr/>
              <w:t> </w:t>
            </w:r>
          </w:p>
        </w:tc>
        <w:tc>
          <w:tcPr>
            <w:tcW w:w="10050" w:type="dxa"/>
            <w:tcBorders/>
            <w:vAlign w:val="center"/>
          </w:tcPr>
          <w:p>
            <w:pPr>
              <w:pStyle w:val="TableContents"/>
              <w:bidi w:val="0"/>
              <w:spacing w:before="0" w:after="283"/>
              <w:jc w:val="both"/>
              <w:rPr/>
            </w:pPr>
            <w:r>
              <w:rPr/>
              <w:t> </w:t>
            </w:r>
          </w:p>
        </w:tc>
      </w:tr>
      <w:tr>
        <w:trPr/>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the three and nine months ended March 31, 2023, </w:t>
            </w:r>
            <w:bookmarkStart w:id="799" w:name="xdx_90E_ecustom--VestedButUnissuedShares"/>
            <w:bookmarkStart w:id="800" w:name="xdx_907_ecustom--VestedButUnissuedShares"/>
            <w:bookmarkEnd w:id="799"/>
            <w:bookmarkEnd w:id="800"/>
            <w:r>
              <w:rPr>
                <w:rFonts w:ascii="Times New Roman;Times;Serif" w:hAnsi="Times New Roman;Times;Serif"/>
                <w:sz w:val="20"/>
              </w:rPr>
              <w:t>166,661 vested but unissued shares of restricted stock units under the 2020 Equity Incentive Plan (as discussed in Note 16) are considered issued shares and therefore are included in the computation of basic earnings (losses) per share when the shares are fully vested.</w:t>
            </w:r>
          </w:p>
        </w:tc>
      </w:tr>
      <w:tr>
        <w:trPr/>
        <w:tc>
          <w:tcPr>
            <w:tcW w:w="155" w:type="dxa"/>
            <w:tcBorders/>
            <w:vAlign w:val="center"/>
          </w:tcPr>
          <w:p>
            <w:pPr>
              <w:pStyle w:val="TableContents"/>
              <w:bidi w:val="0"/>
              <w:spacing w:before="0" w:after="283"/>
              <w:jc w:val="both"/>
              <w:rPr/>
            </w:pPr>
            <w:r>
              <w:rPr/>
              <w:t> </w:t>
            </w:r>
          </w:p>
        </w:tc>
        <w:tc>
          <w:tcPr>
            <w:tcW w:w="10050" w:type="dxa"/>
            <w:tcBorders/>
            <w:vAlign w:val="center"/>
          </w:tcPr>
          <w:p>
            <w:pPr>
              <w:pStyle w:val="TableContents"/>
              <w:bidi w:val="0"/>
              <w:spacing w:before="0" w:after="283"/>
              <w:jc w:val="both"/>
              <w:rPr/>
            </w:pPr>
            <w:r>
              <w:rPr/>
              <w:t> </w:t>
            </w:r>
          </w:p>
        </w:tc>
      </w:tr>
      <w:tr>
        <w:trPr/>
        <w:tc>
          <w:tcPr>
            <w:tcW w:w="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t>
            </w:r>
          </w:p>
        </w:tc>
        <w:tc>
          <w:tcPr>
            <w:tcW w:w="100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For the three and nine months ended March 31, 2022, </w:t>
            </w:r>
            <w:bookmarkStart w:id="801" w:name="xdx_905_eus-gaap--ShareBasedCompensation"/>
            <w:bookmarkStart w:id="802" w:name="xdx_909_eus-gaap--ShareBasedCompensation"/>
            <w:bookmarkEnd w:id="801"/>
            <w:bookmarkEnd w:id="802"/>
            <w:r>
              <w:rPr>
                <w:rFonts w:ascii="Times New Roman;Times;Serif" w:hAnsi="Times New Roman;Times;Serif"/>
                <w:sz w:val="20"/>
              </w:rPr>
              <w:t>107,625 vested but unissued shares of restricted stock units under the Amended and Restated 2020 Equity Incentive Plan are considered issued shares and therefore are included in the computation of basic earnings (losses) per share as of grant date when the shares are fully vested. Impact of nonvested RSU is immaterial to the EPS.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03" w:name="xdx_808_eus-gaap--StockholdersEquityNote"/>
      <w:bookmarkEnd w:id="803"/>
      <w:r>
        <w:rPr>
          <w:rFonts w:ascii="Times New Roman;Times;Serif" w:hAnsi="Times New Roman;Times;Serif"/>
          <w:b/>
          <w:i w:val="false"/>
          <w:caps w:val="false"/>
          <w:smallCaps w:val="false"/>
          <w:sz w:val="20"/>
        </w:rPr>
        <w:t>Note 16 –</w:t>
      </w:r>
      <w:bookmarkStart w:id="804" w:name="xdx_829_zCs1BCcmL3Vk"/>
      <w:bookmarkEnd w:id="804"/>
      <w:r>
        <w:rPr>
          <w:rFonts w:ascii="Times New Roman;Times;Serif" w:hAnsi="Times New Roman;Times;Serif"/>
          <w:b/>
          <w:i w:val="false"/>
          <w:caps w:val="false"/>
          <w:smallCaps w:val="false"/>
          <w:sz w:val="20"/>
        </w:rPr>
        <w:t xml:space="preserve">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June 30, 2022, the Company issued </w:t>
      </w:r>
      <w:bookmarkStart w:id="805" w:name="xdx_906_eus-gaap--StockIssuedDuringPerio"/>
      <w:bookmarkEnd w:id="805"/>
      <w:r>
        <w:rPr>
          <w:rFonts w:ascii="Times New Roman;Times;Serif" w:hAnsi="Times New Roman;Times;Serif"/>
          <w:b w:val="false"/>
          <w:i w:val="false"/>
          <w:caps w:val="false"/>
          <w:smallCaps w:val="false"/>
          <w:sz w:val="20"/>
        </w:rPr>
        <w:t>40,019 shares of restricted common stock for RSUs vested in the quarter ended September 30, 2021.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15, 2022, as part of the consideration for the acquisition of Anivia and subsidiaries, the Company issued </w:t>
      </w:r>
      <w:bookmarkStart w:id="806" w:name="xdx_903_eus-gaap--StockIssuedDuringPerio"/>
      <w:bookmarkEnd w:id="806"/>
      <w:r>
        <w:rPr>
          <w:rFonts w:ascii="Times New Roman;Times;Serif" w:hAnsi="Times New Roman;Times;Serif"/>
          <w:b w:val="false"/>
          <w:i w:val="false"/>
          <w:caps w:val="false"/>
          <w:smallCaps w:val="false"/>
          <w:sz w:val="20"/>
        </w:rPr>
        <w:t>3,083,700 restricted shares of the Company’s common stock, valued at $</w:t>
      </w:r>
      <w:bookmarkStart w:id="807" w:name="xdx_903_eus-gaap--SaleOfStockPricePerSha"/>
      <w:bookmarkEnd w:id="807"/>
      <w:r>
        <w:rPr>
          <w:rFonts w:ascii="Times New Roman;Times;Serif" w:hAnsi="Times New Roman;Times;Serif"/>
          <w:b w:val="false"/>
          <w:i w:val="false"/>
          <w:caps w:val="false"/>
          <w:smallCaps w:val="false"/>
          <w:sz w:val="20"/>
        </w:rPr>
        <w:t>2.27 per share, which was the closing price of the Company’s Common Stock as traded on Nasdaq on February 15, 2022. These shares have a lock-up period of 180 days and are subject to insider trading restrictions. The fair value of the shares was $</w:t>
      </w:r>
      <w:bookmarkStart w:id="808" w:name="xdx_901_eus-gaap--StockIssuedDuringPerio"/>
      <w:bookmarkEnd w:id="808"/>
      <w:r>
        <w:rPr>
          <w:rFonts w:ascii="Times New Roman;Times;Serif" w:hAnsi="Times New Roman;Times;Serif"/>
          <w:b w:val="false"/>
          <w:i w:val="false"/>
          <w:caps w:val="false"/>
          <w:smallCaps w:val="false"/>
          <w:sz w:val="20"/>
        </w:rPr>
        <w:t>5,528,373, calculated with a discount of lack of marketability of 21%, which is determined using the Black Scholes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809" w:name="xdx_238_zXuiZ2oBrLW6"/>
      <w:bookmarkEnd w:id="809"/>
      <w:r>
        <w:rPr>
          <w:caps w:val="false"/>
          <w:smallCaps w:val="false"/>
        </w:rPr>
        <w:t> </w:t>
      </w:r>
    </w:p>
    <w:p>
      <w:pPr>
        <w:pStyle w:val="TextBody"/>
        <w:bidi w:val="0"/>
        <w:spacing w:before="0" w:after="0"/>
        <w:ind w:left="0" w:right="0" w:hanging="0"/>
        <w:jc w:val="both"/>
        <w:rPr>
          <w:caps w:val="false"/>
          <w:smallCaps w:val="false"/>
        </w:rPr>
      </w:pPr>
      <w:bookmarkStart w:id="810" w:name="xdx_234_zeXJNl8pjWA8"/>
      <w:bookmarkEnd w:id="810"/>
      <w:r>
        <w:rPr>
          <w:caps w:val="false"/>
          <w:smallCaps w:val="false"/>
        </w:rPr>
        <w:t> </w:t>
      </w:r>
    </w:p>
    <w:p>
      <w:pPr>
        <w:pStyle w:val="Normal"/>
        <w:bidi w:val="0"/>
        <w:spacing w:before="0" w:after="0"/>
        <w:ind w:left="0" w:right="0" w:hanging="0"/>
        <w:jc w:val="left"/>
        <w:rPr>
          <w:sz w:val="4"/>
          <w:szCs w:val="4"/>
        </w:rPr>
      </w:pPr>
      <w:r>
        <w:rPr>
          <w:sz w:val="4"/>
          <w:szCs w:val="4"/>
        </w:rPr>
      </w:r>
      <w:bookmarkStart w:id="811" w:name="xdx_23E_zWDCfUHr1kA6"/>
      <w:bookmarkStart w:id="812" w:name="xdx_23F_zeGYmdc5ECJ8"/>
      <w:bookmarkStart w:id="813" w:name="xdx_23E_zWDCfUHr1kA6"/>
      <w:bookmarkStart w:id="814" w:name="xdx_23F_zeGYmdc5ECJ8"/>
      <w:bookmarkEnd w:id="813"/>
      <w:bookmarkEnd w:id="814"/>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bookmarkStart w:id="815" w:name="xdx_239_zAidpUJfl4Uc"/>
            <w:bookmarkEnd w:id="815"/>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816" w:name="xdx_235_zVMQEBJH2ZM6"/>
      <w:bookmarkEnd w:id="816"/>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817" w:name="xdx_23B_zC2WdUYmGB04"/>
      <w:bookmarkEnd w:id="817"/>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2023 and June 30, 2022, there were </w:t>
      </w:r>
      <w:bookmarkStart w:id="818" w:name="xdx_90E_eus-gaap--CommonStockSharesOutst"/>
      <w:bookmarkStart w:id="819" w:name="xdx_904_eus-gaap--CommonStockSharesIssue"/>
      <w:bookmarkEnd w:id="818"/>
      <w:bookmarkEnd w:id="819"/>
      <w:r>
        <w:rPr>
          <w:rFonts w:ascii="Times New Roman;Times;Serif" w:hAnsi="Times New Roman;Times;Serif"/>
          <w:b w:val="false"/>
          <w:i w:val="false"/>
          <w:caps w:val="false"/>
          <w:smallCaps w:val="false"/>
          <w:sz w:val="20"/>
        </w:rPr>
        <w:t xml:space="preserve">29,572,382 and </w:t>
      </w:r>
      <w:bookmarkStart w:id="820" w:name="xdx_90E_eus-gaap--CommonStockSharesOutst"/>
      <w:bookmarkStart w:id="821" w:name="xdx_904_eus-gaap--CommonStockSharesIssue"/>
      <w:bookmarkEnd w:id="820"/>
      <w:bookmarkEnd w:id="821"/>
      <w:r>
        <w:rPr>
          <w:rFonts w:ascii="Times New Roman;Times;Serif" w:hAnsi="Times New Roman;Times;Serif"/>
          <w:b w:val="false"/>
          <w:i w:val="false"/>
          <w:caps w:val="false"/>
          <w:smallCaps w:val="false"/>
          <w:sz w:val="20"/>
        </w:rPr>
        <w:t>29,572,382 shares of Common Stock issued and outstanding,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March 31, 2023 and June 30, 2022, respectively, there were no shares of Preferred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May 5, 2021, the Company’s Board of Directors adopted, and its stockholders approved and ratified, the iPower Inc. Amended and Restated 2020 Equity Incentive Plan (the “Plan”). The Plan allows for the issuance of up to </w:t>
      </w:r>
      <w:bookmarkStart w:id="822" w:name="xdx_90D_eus-gaap--ShareBasedCompensation"/>
      <w:bookmarkEnd w:id="822"/>
      <w:r>
        <w:rPr>
          <w:rFonts w:ascii="Times New Roman;Times;Serif" w:hAnsi="Times New Roman;Times;Serif"/>
          <w:b w:val="false"/>
          <w:i w:val="false"/>
          <w:caps w:val="false"/>
          <w:smallCaps w:val="false"/>
          <w:sz w:val="20"/>
        </w:rPr>
        <w:t>5,000,000 shares of Common Stock, whether in the form of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 On November 16, 2021 and December 6, 2022, the Company filed a registration statement on Form S-8 registering all shares issuable under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Restricted Stock Unit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Following completion of the IPO on May 11, 2021, pursuant to their letter agreements, the Company awarded a total of </w:t>
      </w:r>
      <w:bookmarkStart w:id="823" w:name="xdx_907_eus-gaap--StockIssuedDuringPerio"/>
      <w:bookmarkEnd w:id="823"/>
      <w:r>
        <w:rPr>
          <w:rFonts w:ascii="Times New Roman;Times;Serif" w:hAnsi="Times New Roman;Times;Serif"/>
          <w:b w:val="false"/>
          <w:i w:val="false"/>
          <w:caps w:val="false"/>
          <w:smallCaps w:val="false"/>
          <w:sz w:val="20"/>
        </w:rPr>
        <w:t xml:space="preserve">46,546 restricted stock units (“RSUs”) under the Plan to its independent directors, Chief Financial Officer, and certain other employees and consultants, all of which are subject to certain vesting conditions in the next 12 months and restrictions until filing of a Form S-8 for registration of the shares. On November 16, 2021, we filed a registration statement on Form S-8 registering all shares issuable under the Plan. The fair value of the RSUs was determined to be based on $5.00 per share, the initial listing price of the Company’s common stock on the grant date. The fair value of RSUs issued subsequent to the IPO date was based on the stock price on each grant date. During the nine months ended March 31, 2022, the Company granted an additional </w:t>
      </w:r>
      <w:bookmarkStart w:id="824" w:name="xdx_90F_eus-gaap--StockIssuedDuringPerio"/>
      <w:bookmarkEnd w:id="824"/>
      <w:r>
        <w:rPr>
          <w:rFonts w:ascii="Times New Roman;Times;Serif" w:hAnsi="Times New Roman;Times;Serif"/>
          <w:b w:val="false"/>
          <w:i w:val="false"/>
          <w:caps w:val="false"/>
          <w:smallCaps w:val="false"/>
          <w:sz w:val="20"/>
        </w:rPr>
        <w:t>79,406 shares of RSUs. For the three and nine months ended March 31, 2023, the Company recorded $</w:t>
      </w:r>
      <w:bookmarkStart w:id="825" w:name="xdx_901_eus-gaap--ShareBasedCompensation"/>
      <w:bookmarkEnd w:id="825"/>
      <w:r>
        <w:rPr>
          <w:rFonts w:ascii="Times New Roman;Times;Serif" w:hAnsi="Times New Roman;Times;Serif"/>
          <w:b w:val="false"/>
          <w:i w:val="false"/>
          <w:caps w:val="false"/>
          <w:smallCaps w:val="false"/>
          <w:sz w:val="20"/>
        </w:rPr>
        <w:t>7,192 and $</w:t>
      </w:r>
      <w:bookmarkStart w:id="826" w:name="xdx_90B_eus-gaap--ShareBasedCompensation"/>
      <w:bookmarkEnd w:id="826"/>
      <w:r>
        <w:rPr>
          <w:rFonts w:ascii="Times New Roman;Times;Serif" w:hAnsi="Times New Roman;Times;Serif"/>
          <w:b w:val="false"/>
          <w:i w:val="false"/>
          <w:caps w:val="false"/>
          <w:smallCaps w:val="false"/>
          <w:sz w:val="20"/>
        </w:rPr>
        <w:t>56,576 of stock-based compensation expense. For the three and nine months ended March 31, 2022, the Company recorded $</w:t>
      </w:r>
      <w:bookmarkStart w:id="827" w:name="xdx_905_eus-gaap--ShareBasedCompensation"/>
      <w:bookmarkEnd w:id="827"/>
      <w:r>
        <w:rPr>
          <w:rFonts w:ascii="Times New Roman;Times;Serif" w:hAnsi="Times New Roman;Times;Serif"/>
          <w:b w:val="false"/>
          <w:i w:val="false"/>
          <w:caps w:val="false"/>
          <w:smallCaps w:val="false"/>
          <w:sz w:val="20"/>
        </w:rPr>
        <w:t>149,299 and $</w:t>
      </w:r>
      <w:bookmarkStart w:id="828" w:name="xdx_902_eus-gaap--ShareBasedCompensation"/>
      <w:bookmarkEnd w:id="828"/>
      <w:r>
        <w:rPr>
          <w:rFonts w:ascii="Times New Roman;Times;Serif" w:hAnsi="Times New Roman;Times;Serif"/>
          <w:b w:val="false"/>
          <w:i w:val="false"/>
          <w:caps w:val="false"/>
          <w:smallCaps w:val="false"/>
          <w:sz w:val="20"/>
        </w:rPr>
        <w:t xml:space="preserve">306,788 of stock-based compensation expense. As of March 31, 2023 and June 30, 2022, the unvested number of RSUs was </w:t>
      </w:r>
      <w:bookmarkStart w:id="829" w:name="xdx_901_eus-gaap--ShareBasedCompensation"/>
      <w:bookmarkEnd w:id="829"/>
      <w:r>
        <w:rPr>
          <w:rFonts w:ascii="Times New Roman;Times;Serif" w:hAnsi="Times New Roman;Times;Serif"/>
          <w:b w:val="false"/>
          <w:i w:val="false"/>
          <w:caps w:val="false"/>
          <w:smallCaps w:val="false"/>
          <w:sz w:val="20"/>
        </w:rPr>
        <w:t xml:space="preserve">12,400 and </w:t>
      </w:r>
      <w:bookmarkStart w:id="830" w:name="xdx_907_eus-gaap--ShareBasedCompensation"/>
      <w:bookmarkEnd w:id="830"/>
      <w:r>
        <w:rPr>
          <w:rFonts w:ascii="Times New Roman;Times;Serif" w:hAnsi="Times New Roman;Times;Serif"/>
          <w:b w:val="false"/>
          <w:i w:val="false"/>
          <w:caps w:val="false"/>
          <w:smallCaps w:val="false"/>
          <w:sz w:val="20"/>
        </w:rPr>
        <w:t>6,608 and the unamortized expense was $</w:t>
      </w:r>
      <w:bookmarkStart w:id="831" w:name="xdx_906_eus-gaap--EmployeeServiceShareBa"/>
      <w:bookmarkEnd w:id="831"/>
      <w:r>
        <w:rPr>
          <w:rFonts w:ascii="Times New Roman;Times;Serif" w:hAnsi="Times New Roman;Times;Serif"/>
          <w:b w:val="false"/>
          <w:i w:val="false"/>
          <w:caps w:val="false"/>
          <w:smallCaps w:val="false"/>
          <w:sz w:val="20"/>
        </w:rPr>
        <w:t>7,192 and $</w:t>
      </w:r>
      <w:bookmarkStart w:id="832" w:name="xdx_905_eus-gaap--EmployeeServiceShareBa"/>
      <w:bookmarkEnd w:id="832"/>
      <w:r>
        <w:rPr>
          <w:rFonts w:ascii="Times New Roman;Times;Serif" w:hAnsi="Times New Roman;Times;Serif"/>
          <w:b w:val="false"/>
          <w:i w:val="false"/>
          <w:caps w:val="false"/>
          <w:smallCaps w:val="false"/>
          <w:sz w:val="20"/>
        </w:rPr>
        <w:t>15,000,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relating to RSU grants is summarized as follows: </w:t>
      </w:r>
    </w:p>
    <w:p>
      <w:pPr>
        <w:pStyle w:val="Normal"/>
        <w:bidi w:val="0"/>
        <w:spacing w:before="0" w:after="0"/>
        <w:jc w:val="left"/>
        <w:rPr>
          <w:sz w:val="4"/>
          <w:szCs w:val="4"/>
        </w:rPr>
      </w:pPr>
      <w:r>
        <w:rPr>
          <w:sz w:val="4"/>
          <w:szCs w:val="4"/>
        </w:rPr>
      </w:r>
      <w:bookmarkStart w:id="833" w:name="xdx_887_eus-gaap--ScheduleOfShareBasedCo"/>
      <w:bookmarkStart w:id="834" w:name="xdx_887_eus-gaap--ScheduleOfShareBasedCo"/>
      <w:bookmarkEnd w:id="834"/>
    </w:p>
    <w:tbl>
      <w:tblPr>
        <w:tblW w:w="10205" w:type="dxa"/>
        <w:jc w:val="left"/>
        <w:tblInd w:w="0" w:type="dxa"/>
        <w:tblLayout w:type="fixed"/>
        <w:tblCellMar>
          <w:top w:w="0" w:type="dxa"/>
          <w:left w:w="0" w:type="dxa"/>
          <w:bottom w:w="0" w:type="dxa"/>
          <w:right w:w="0" w:type="dxa"/>
        </w:tblCellMar>
      </w:tblPr>
      <w:tblGrid>
        <w:gridCol w:w="3680"/>
        <w:gridCol w:w="60"/>
        <w:gridCol w:w="113"/>
        <w:gridCol w:w="1430"/>
        <w:gridCol w:w="95"/>
        <w:gridCol w:w="60"/>
        <w:gridCol w:w="799"/>
        <w:gridCol w:w="3891"/>
        <w:gridCol w:w="77"/>
      </w:tblGrid>
      <w:tr>
        <w:trPr/>
        <w:tc>
          <w:tcPr>
            <w:tcW w:w="3680" w:type="dxa"/>
            <w:tcBorders/>
            <w:vAlign w:val="center"/>
          </w:tcPr>
          <w:p>
            <w:pPr>
              <w:pStyle w:val="TableContents"/>
              <w:bidi w:val="0"/>
              <w:spacing w:before="0" w:after="283"/>
              <w:jc w:val="left"/>
              <w:rPr/>
            </w:pPr>
            <w:bookmarkStart w:id="835" w:name="xdx_8B0_zJOMHQCYO4T6"/>
            <w:bookmarkEnd w:id="835"/>
            <w:r>
              <w:rPr/>
              <w:t>Schedule of RSU activity</w:t>
            </w:r>
          </w:p>
        </w:tc>
        <w:tc>
          <w:tcPr>
            <w:tcW w:w="60" w:type="dxa"/>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c>
          <w:tcPr>
            <w:tcW w:w="1430"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9" w:type="dxa"/>
            <w:tcBorders/>
            <w:vAlign w:val="center"/>
          </w:tcPr>
          <w:p>
            <w:pPr>
              <w:pStyle w:val="TableContents"/>
              <w:bidi w:val="0"/>
              <w:spacing w:before="0" w:after="283"/>
              <w:jc w:val="left"/>
              <w:rPr/>
            </w:pPr>
            <w:r>
              <w:rPr/>
              <w:t> </w:t>
            </w:r>
          </w:p>
        </w:tc>
        <w:tc>
          <w:tcPr>
            <w:tcW w:w="3891" w:type="dxa"/>
            <w:tcBorders/>
            <w:vAlign w:val="center"/>
          </w:tcPr>
          <w:p>
            <w:pPr>
              <w:pStyle w:val="TableContents"/>
              <w:bidi w:val="0"/>
              <w:spacing w:before="0" w:after="283"/>
              <w:jc w:val="right"/>
              <w:rPr/>
            </w:pPr>
            <w:r>
              <w:rPr/>
              <w:t> </w:t>
            </w:r>
          </w:p>
        </w:tc>
        <w:tc>
          <w:tcPr>
            <w:tcW w:w="77"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3" w:type="dxa"/>
            <w:gridSpan w:val="2"/>
            <w:tcBorders>
              <w:bottom w:val="single" w:sz="8" w:space="0" w:color="000000"/>
            </w:tcBorders>
            <w:tcMar>
              <w:bottom w:w="28" w:type="dxa"/>
            </w:tcMar>
            <w:vAlign w:val="center"/>
          </w:tcPr>
          <w:p>
            <w:pPr>
              <w:pStyle w:val="TableContents"/>
              <w:bidi w:val="0"/>
              <w:spacing w:before="0" w:after="283"/>
              <w:jc w:val="center"/>
              <w:rPr/>
            </w:pPr>
            <w:r>
              <w:rPr/>
              <w:t>Total RSUs Issued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90" w:type="dxa"/>
            <w:gridSpan w:val="2"/>
            <w:tcBorders>
              <w:bottom w:val="single" w:sz="8" w:space="0" w:color="000000"/>
            </w:tcBorders>
            <w:tcMar>
              <w:bottom w:w="28" w:type="dxa"/>
            </w:tcMar>
            <w:vAlign w:val="center"/>
          </w:tcPr>
          <w:p>
            <w:pPr>
              <w:pStyle w:val="TableContents"/>
              <w:bidi w:val="0"/>
              <w:spacing w:before="0" w:after="283"/>
              <w:jc w:val="center"/>
              <w:rPr/>
            </w:pPr>
            <w:r>
              <w:rPr/>
              <w:t>Total Fair Market Value of RSUs Issued as Compensation (1)</w:t>
            </w:r>
          </w:p>
        </w:tc>
        <w:tc>
          <w:tcPr>
            <w:tcW w:w="77" w:type="dxa"/>
            <w:tcBorders/>
            <w:vAlign w:val="center"/>
          </w:tcPr>
          <w:p>
            <w:pPr>
              <w:pStyle w:val="TableContents"/>
              <w:bidi w:val="0"/>
              <w:spacing w:before="0" w:after="283"/>
              <w:jc w:val="left"/>
              <w:rPr/>
            </w:pPr>
            <w:r>
              <w:rPr/>
              <w:t> </w:t>
            </w:r>
          </w:p>
        </w:tc>
      </w:tr>
      <w:tr>
        <w:trPr/>
        <w:tc>
          <w:tcPr>
            <w:tcW w:w="3680" w:type="dxa"/>
            <w:tcBorders/>
            <w:shd w:fill="EEEEEE" w:val="clear"/>
            <w:vAlign w:val="center"/>
          </w:tcPr>
          <w:p>
            <w:pPr>
              <w:pStyle w:val="TableContents"/>
              <w:bidi w:val="0"/>
              <w:spacing w:before="0" w:after="283"/>
              <w:jc w:val="left"/>
              <w:rPr/>
            </w:pPr>
            <w:r>
              <w:rPr/>
              <w:t>RSUs granted, but not vested, at June 30, 2022</w:t>
            </w:r>
          </w:p>
        </w:tc>
        <w:tc>
          <w:tcPr>
            <w:tcW w:w="60" w:type="dxa"/>
            <w:tcBorders/>
            <w:shd w:fill="EEEEEE" w:val="clear"/>
            <w:vAlign w:val="center"/>
          </w:tcPr>
          <w:p>
            <w:pPr>
              <w:pStyle w:val="TableContents"/>
              <w:bidi w:val="0"/>
              <w:spacing w:before="0" w:after="283"/>
              <w:jc w:val="left"/>
              <w:rPr/>
            </w:pPr>
            <w:r>
              <w:rPr/>
              <w:t> </w:t>
            </w:r>
          </w:p>
        </w:tc>
        <w:tc>
          <w:tcPr>
            <w:tcW w:w="113" w:type="dxa"/>
            <w:tcBorders/>
            <w:shd w:fill="EEEEEE" w:val="clear"/>
            <w:vAlign w:val="center"/>
          </w:tcPr>
          <w:p>
            <w:pPr>
              <w:pStyle w:val="TableContents"/>
              <w:bidi w:val="0"/>
              <w:spacing w:before="0" w:after="283"/>
              <w:jc w:val="left"/>
              <w:rPr/>
            </w:pPr>
            <w:r>
              <w:rPr/>
              <w:t> </w:t>
            </w:r>
            <w:bookmarkStart w:id="836" w:name="xdx_986_eus-gaap--ShareBasedCompensation"/>
            <w:bookmarkEnd w:id="836"/>
          </w:p>
        </w:tc>
        <w:tc>
          <w:tcPr>
            <w:tcW w:w="1430" w:type="dxa"/>
            <w:tcBorders/>
            <w:shd w:fill="EEEEEE" w:val="clear"/>
            <w:vAlign w:val="center"/>
          </w:tcPr>
          <w:p>
            <w:pPr>
              <w:pStyle w:val="TableContents"/>
              <w:bidi w:val="0"/>
              <w:spacing w:before="0" w:after="283"/>
              <w:jc w:val="right"/>
              <w:rPr/>
            </w:pPr>
            <w:r>
              <w:rPr/>
              <w:t>6,608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99" w:type="dxa"/>
            <w:tcBorders/>
            <w:shd w:fill="EEEEEE" w:val="clear"/>
            <w:vAlign w:val="center"/>
          </w:tcPr>
          <w:p>
            <w:pPr>
              <w:pStyle w:val="TableContents"/>
              <w:bidi w:val="0"/>
              <w:spacing w:before="0" w:after="283"/>
              <w:jc w:val="left"/>
              <w:rPr/>
            </w:pPr>
            <w:r>
              <w:rPr/>
              <w:t> </w:t>
            </w:r>
          </w:p>
        </w:tc>
        <w:tc>
          <w:tcPr>
            <w:tcW w:w="3891" w:type="dxa"/>
            <w:tcBorders/>
            <w:shd w:fill="EEEEEE" w:val="clear"/>
            <w:vAlign w:val="center"/>
          </w:tcPr>
          <w:p>
            <w:pPr>
              <w:pStyle w:val="TableContents"/>
              <w:bidi w:val="0"/>
              <w:spacing w:before="0" w:after="283"/>
              <w:jc w:val="right"/>
              <w:rPr/>
            </w:pPr>
            <w:r>
              <w:rPr/>
              <w:t> </w:t>
            </w:r>
          </w:p>
        </w:tc>
        <w:tc>
          <w:tcPr>
            <w:tcW w:w="77" w:type="dxa"/>
            <w:tcBorders/>
            <w:shd w:fill="EEEEEE"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RSUs granted</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bookmarkStart w:id="837" w:name="xdx_983_eus-gaap--ShareBasedCompensation"/>
            <w:bookmarkEnd w:id="837"/>
          </w:p>
        </w:tc>
        <w:tc>
          <w:tcPr>
            <w:tcW w:w="1430" w:type="dxa"/>
            <w:tcBorders/>
            <w:shd w:fill="FFFFFF" w:val="clear"/>
            <w:vAlign w:val="center"/>
          </w:tcPr>
          <w:p>
            <w:pPr>
              <w:pStyle w:val="TableContents"/>
              <w:bidi w:val="0"/>
              <w:spacing w:before="0" w:after="283"/>
              <w:jc w:val="right"/>
              <w:rPr/>
            </w:pPr>
            <w:r>
              <w:rPr/>
              <w:t>79,406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left"/>
              <w:rPr/>
            </w:pPr>
            <w:r>
              <w:rPr/>
              <w:t>$</w:t>
            </w:r>
            <w:bookmarkStart w:id="838" w:name="xdx_98C_ecustom--ShareBasedCompensationA"/>
            <w:bookmarkEnd w:id="838"/>
          </w:p>
        </w:tc>
        <w:tc>
          <w:tcPr>
            <w:tcW w:w="3891" w:type="dxa"/>
            <w:tcBorders/>
            <w:shd w:fill="FFFFFF" w:val="clear"/>
            <w:vAlign w:val="center"/>
          </w:tcPr>
          <w:p>
            <w:pPr>
              <w:pStyle w:val="TableContents"/>
              <w:bidi w:val="0"/>
              <w:spacing w:before="0" w:after="283"/>
              <w:jc w:val="right"/>
              <w:rPr/>
            </w:pPr>
            <w:r>
              <w:rPr/>
              <w:t>48,768</w:t>
            </w:r>
          </w:p>
        </w:tc>
        <w:tc>
          <w:tcPr>
            <w:tcW w:w="77" w:type="dxa"/>
            <w:tcBorders/>
            <w:shd w:fill="FFFFFF" w:val="clear"/>
            <w:vAlign w:val="center"/>
          </w:tcPr>
          <w:p>
            <w:pPr>
              <w:pStyle w:val="TableContents"/>
              <w:bidi w:val="0"/>
              <w:spacing w:before="0" w:after="283"/>
              <w:jc w:val="left"/>
              <w:rPr/>
            </w:pPr>
            <w:r>
              <w:rPr/>
              <w:t> </w:t>
            </w:r>
          </w:p>
        </w:tc>
      </w:tr>
      <w:tr>
        <w:trPr/>
        <w:tc>
          <w:tcPr>
            <w:tcW w:w="3680" w:type="dxa"/>
            <w:tcBorders/>
            <w:shd w:fill="EEEEEE" w:val="clear"/>
            <w:vAlign w:val="center"/>
          </w:tcPr>
          <w:p>
            <w:pPr>
              <w:pStyle w:val="TableContents"/>
              <w:bidi w:val="0"/>
              <w:spacing w:before="0" w:after="283"/>
              <w:jc w:val="left"/>
              <w:rPr/>
            </w:pPr>
            <w:r>
              <w:rPr/>
              <w:t>RSUs forfeited</w:t>
            </w:r>
          </w:p>
        </w:tc>
        <w:tc>
          <w:tcPr>
            <w:tcW w:w="60" w:type="dxa"/>
            <w:tcBorders/>
            <w:shd w:fill="EEEEEE" w:val="clear"/>
            <w:vAlign w:val="center"/>
          </w:tcPr>
          <w:p>
            <w:pPr>
              <w:pStyle w:val="TableContents"/>
              <w:bidi w:val="0"/>
              <w:spacing w:before="0" w:after="283"/>
              <w:jc w:val="left"/>
              <w:rPr/>
            </w:pPr>
            <w:r>
              <w:rPr/>
              <w:t> </w:t>
            </w:r>
          </w:p>
        </w:tc>
        <w:tc>
          <w:tcPr>
            <w:tcW w:w="113" w:type="dxa"/>
            <w:tcBorders/>
            <w:shd w:fill="EEEEEE" w:val="clear"/>
            <w:vAlign w:val="center"/>
          </w:tcPr>
          <w:p>
            <w:pPr>
              <w:pStyle w:val="TableContents"/>
              <w:bidi w:val="0"/>
              <w:spacing w:before="0" w:after="283"/>
              <w:jc w:val="left"/>
              <w:rPr/>
            </w:pPr>
            <w:r>
              <w:rPr/>
              <w:t> </w:t>
            </w:r>
            <w:bookmarkStart w:id="839" w:name="xdx_98F_eus-gaap--ShareBasedCompensation"/>
            <w:bookmarkEnd w:id="839"/>
          </w:p>
        </w:tc>
        <w:tc>
          <w:tcPr>
            <w:tcW w:w="1430" w:type="dxa"/>
            <w:tcBorders/>
            <w:shd w:fill="EEEEEE" w:val="clear"/>
            <w:vAlign w:val="center"/>
          </w:tcPr>
          <w:p>
            <w:pPr>
              <w:pStyle w:val="TableContents"/>
              <w:bidi w:val="0"/>
              <w:spacing w:before="0" w:after="283"/>
              <w:jc w:val="right"/>
              <w:rPr/>
            </w:pPr>
            <w:r>
              <w:rPr/>
              <w:t>–</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99" w:type="dxa"/>
            <w:tcBorders/>
            <w:shd w:fill="EEEEEE" w:val="clear"/>
            <w:vAlign w:val="center"/>
          </w:tcPr>
          <w:p>
            <w:pPr>
              <w:pStyle w:val="TableContents"/>
              <w:bidi w:val="0"/>
              <w:spacing w:before="0" w:after="283"/>
              <w:jc w:val="left"/>
              <w:rPr/>
            </w:pPr>
            <w:r>
              <w:rPr/>
              <w:t> </w:t>
            </w:r>
          </w:p>
        </w:tc>
        <w:tc>
          <w:tcPr>
            <w:tcW w:w="3891" w:type="dxa"/>
            <w:tcBorders/>
            <w:shd w:fill="EEEEEE" w:val="clear"/>
            <w:vAlign w:val="center"/>
          </w:tcPr>
          <w:p>
            <w:pPr>
              <w:pStyle w:val="TableContents"/>
              <w:bidi w:val="0"/>
              <w:spacing w:before="0" w:after="283"/>
              <w:jc w:val="right"/>
              <w:rPr/>
            </w:pPr>
            <w:r>
              <w:rPr/>
              <w:t> </w:t>
            </w:r>
          </w:p>
        </w:tc>
        <w:tc>
          <w:tcPr>
            <w:tcW w:w="77" w:type="dxa"/>
            <w:tcBorders/>
            <w:shd w:fill="EEEEEE" w:val="clear"/>
            <w:vAlign w:val="center"/>
          </w:tcPr>
          <w:p>
            <w:pPr>
              <w:pStyle w:val="TableContents"/>
              <w:bidi w:val="0"/>
              <w:spacing w:before="0" w:after="283"/>
              <w:jc w:val="left"/>
              <w:rPr/>
            </w:pPr>
            <w:r>
              <w:rPr/>
              <w:t> </w:t>
            </w:r>
          </w:p>
        </w:tc>
      </w:tr>
      <w:tr>
        <w:trPr/>
        <w:tc>
          <w:tcPr>
            <w:tcW w:w="3680" w:type="dxa"/>
            <w:tcBorders/>
            <w:shd w:fill="FFFFFF" w:val="clear"/>
            <w:vAlign w:val="center"/>
          </w:tcPr>
          <w:p>
            <w:pPr>
              <w:pStyle w:val="TableContents"/>
              <w:bidi w:val="0"/>
              <w:spacing w:before="0" w:after="283"/>
              <w:jc w:val="left"/>
              <w:rPr/>
            </w:pPr>
            <w:r>
              <w:rPr/>
              <w:t>RSUs vested</w:t>
            </w:r>
          </w:p>
        </w:tc>
        <w:tc>
          <w:tcPr>
            <w:tcW w:w="60" w:type="dxa"/>
            <w:tcBorders/>
            <w:shd w:fill="FFFFFF" w:val="clear"/>
            <w:vAlign w:val="center"/>
          </w:tcPr>
          <w:p>
            <w:pPr>
              <w:pStyle w:val="TableContents"/>
              <w:bidi w:val="0"/>
              <w:spacing w:before="0" w:after="283"/>
              <w:jc w:val="left"/>
              <w:rPr/>
            </w:pPr>
            <w:r>
              <w:rPr/>
              <w:t> </w:t>
            </w:r>
          </w:p>
        </w:tc>
        <w:tc>
          <w:tcPr>
            <w:tcW w:w="11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840" w:name="xdx_985_eus-gaap--ShareBasedCompensation"/>
            <w:bookmarkEnd w:id="840"/>
          </w:p>
        </w:tc>
        <w:tc>
          <w:tcPr>
            <w:tcW w:w="1430" w:type="dxa"/>
            <w:tcBorders>
              <w:bottom w:val="single" w:sz="8" w:space="0" w:color="000000"/>
            </w:tcBorders>
            <w:shd w:fill="FFFFFF" w:val="clear"/>
            <w:tcMar>
              <w:bottom w:w="28" w:type="dxa"/>
            </w:tcMar>
            <w:vAlign w:val="center"/>
          </w:tcPr>
          <w:p>
            <w:pPr>
              <w:pStyle w:val="TableContents"/>
              <w:bidi w:val="0"/>
              <w:spacing w:before="0" w:after="283"/>
              <w:jc w:val="right"/>
              <w:rPr/>
            </w:pPr>
            <w:r>
              <w:rPr/>
              <w:t>(73,614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799" w:type="dxa"/>
            <w:tcBorders/>
            <w:shd w:fill="FFFFFF" w:val="clear"/>
            <w:vAlign w:val="center"/>
          </w:tcPr>
          <w:p>
            <w:pPr>
              <w:pStyle w:val="TableContents"/>
              <w:bidi w:val="0"/>
              <w:spacing w:before="0" w:after="283"/>
              <w:jc w:val="left"/>
              <w:rPr/>
            </w:pPr>
            <w:r>
              <w:rPr/>
              <w:t> </w:t>
            </w:r>
          </w:p>
        </w:tc>
        <w:tc>
          <w:tcPr>
            <w:tcW w:w="3891"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left"/>
              <w:rPr/>
            </w:pPr>
            <w:r>
              <w:rPr/>
              <w:t> </w:t>
            </w:r>
          </w:p>
        </w:tc>
      </w:tr>
      <w:tr>
        <w:trPr/>
        <w:tc>
          <w:tcPr>
            <w:tcW w:w="3680" w:type="dxa"/>
            <w:tcBorders/>
            <w:shd w:fill="EEEEEE" w:val="clear"/>
            <w:vAlign w:val="center"/>
          </w:tcPr>
          <w:p>
            <w:pPr>
              <w:pStyle w:val="TableContents"/>
              <w:bidi w:val="0"/>
              <w:spacing w:before="0" w:after="283"/>
              <w:jc w:val="left"/>
              <w:rPr/>
            </w:pPr>
            <w:r>
              <w:rPr/>
              <w:t>RSUs granted, but not vested, at March 31, 2023</w:t>
            </w:r>
          </w:p>
        </w:tc>
        <w:tc>
          <w:tcPr>
            <w:tcW w:w="60" w:type="dxa"/>
            <w:tcBorders/>
            <w:shd w:fill="EEEEEE" w:val="clear"/>
            <w:vAlign w:val="center"/>
          </w:tcPr>
          <w:p>
            <w:pPr>
              <w:pStyle w:val="TableContents"/>
              <w:bidi w:val="0"/>
              <w:spacing w:before="0" w:after="283"/>
              <w:jc w:val="left"/>
              <w:rPr/>
            </w:pPr>
            <w:r>
              <w:rPr/>
              <w:t> </w:t>
            </w:r>
          </w:p>
        </w:tc>
        <w:tc>
          <w:tcPr>
            <w:tcW w:w="113" w:type="dxa"/>
            <w:tcBorders>
              <w:bottom w:val="double" w:sz="6" w:space="0" w:color="000000"/>
            </w:tcBorders>
            <w:shd w:fill="EEEEEE" w:val="clear"/>
            <w:tcMar>
              <w:bottom w:w="28" w:type="dxa"/>
            </w:tcMar>
            <w:vAlign w:val="center"/>
          </w:tcPr>
          <w:p>
            <w:pPr>
              <w:pStyle w:val="TableContents"/>
              <w:bidi w:val="0"/>
              <w:spacing w:before="0" w:after="283"/>
              <w:jc w:val="left"/>
              <w:rPr/>
            </w:pPr>
            <w:r>
              <w:rPr/>
              <w:t> </w:t>
            </w:r>
            <w:bookmarkStart w:id="841" w:name="xdx_980_eus-gaap--ShareBasedCompensation"/>
            <w:bookmarkEnd w:id="841"/>
          </w:p>
        </w:tc>
        <w:tc>
          <w:tcPr>
            <w:tcW w:w="1430" w:type="dxa"/>
            <w:tcBorders>
              <w:bottom w:val="double" w:sz="6" w:space="0" w:color="000000"/>
            </w:tcBorders>
            <w:shd w:fill="EEEEEE" w:val="clear"/>
            <w:tcMar>
              <w:bottom w:w="28" w:type="dxa"/>
            </w:tcMar>
            <w:vAlign w:val="center"/>
          </w:tcPr>
          <w:p>
            <w:pPr>
              <w:pStyle w:val="TableContents"/>
              <w:bidi w:val="0"/>
              <w:spacing w:before="0" w:after="283"/>
              <w:jc w:val="right"/>
              <w:rPr/>
            </w:pPr>
            <w:r>
              <w:rPr/>
              <w:t>12,400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799" w:type="dxa"/>
            <w:tcBorders/>
            <w:shd w:fill="EEEEEE" w:val="clear"/>
            <w:vAlign w:val="center"/>
          </w:tcPr>
          <w:p>
            <w:pPr>
              <w:pStyle w:val="TableContents"/>
              <w:bidi w:val="0"/>
              <w:spacing w:before="0" w:after="283"/>
              <w:jc w:val="left"/>
              <w:rPr/>
            </w:pPr>
            <w:r>
              <w:rPr/>
              <w:t> </w:t>
            </w:r>
          </w:p>
        </w:tc>
        <w:tc>
          <w:tcPr>
            <w:tcW w:w="3891" w:type="dxa"/>
            <w:tcBorders/>
            <w:shd w:fill="EEEEEE" w:val="clear"/>
            <w:vAlign w:val="center"/>
          </w:tcPr>
          <w:p>
            <w:pPr>
              <w:pStyle w:val="TableContents"/>
              <w:bidi w:val="0"/>
              <w:spacing w:before="0" w:after="283"/>
              <w:jc w:val="right"/>
              <w:rPr/>
            </w:pPr>
            <w:r>
              <w:rPr/>
              <w:t> </w:t>
            </w:r>
          </w:p>
        </w:tc>
        <w:tc>
          <w:tcPr>
            <w:tcW w:w="77"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_____________________</w:t>
      </w:r>
    </w:p>
    <w:tbl>
      <w:tblPr>
        <w:tblW w:w="5635" w:type="dxa"/>
        <w:jc w:val="left"/>
        <w:tblInd w:w="0" w:type="dxa"/>
        <w:tblLayout w:type="fixed"/>
        <w:tblCellMar>
          <w:top w:w="0" w:type="dxa"/>
          <w:left w:w="0" w:type="dxa"/>
          <w:bottom w:w="0" w:type="dxa"/>
          <w:right w:w="0" w:type="dxa"/>
        </w:tblCellMar>
      </w:tblPr>
      <w:tblGrid>
        <w:gridCol w:w="260"/>
        <w:gridCol w:w="5375"/>
      </w:tblGrid>
      <w:tr>
        <w:trPr/>
        <w:tc>
          <w:tcPr>
            <w:tcW w:w="260" w:type="dxa"/>
            <w:tcBorders/>
            <w:vAlign w:val="center"/>
          </w:tcPr>
          <w:p>
            <w:pPr>
              <w:pStyle w:val="TableContents"/>
              <w:bidi w:val="0"/>
              <w:spacing w:before="0" w:after="283"/>
              <w:jc w:val="left"/>
              <w:rPr>
                <w:rFonts w:ascii="Times New Roman;Times;Serif" w:hAnsi="Times New Roman;Times;Serif"/>
                <w:sz w:val="20"/>
              </w:rPr>
            </w:pPr>
            <w:bookmarkStart w:id="842" w:name="xdx_F0C_ziIykHSX582c"/>
            <w:bookmarkEnd w:id="842"/>
            <w:r>
              <w:rPr>
                <w:rFonts w:ascii="Times New Roman;Times;Serif" w:hAnsi="Times New Roman;Times;Serif"/>
                <w:sz w:val="20"/>
              </w:rPr>
              <w:t>(1)</w:t>
            </w:r>
            <w:bookmarkStart w:id="843" w:name="xdx_F1D_zrglt8Av1424"/>
            <w:bookmarkEnd w:id="843"/>
          </w:p>
        </w:tc>
        <w:tc>
          <w:tcPr>
            <w:tcW w:w="53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total fair value was based on the stock price on the grant date.</w:t>
            </w:r>
          </w:p>
        </w:tc>
      </w:tr>
    </w:tbl>
    <w:p>
      <w:pPr>
        <w:pStyle w:val="TextBody"/>
        <w:bidi w:val="0"/>
        <w:spacing w:before="0" w:after="0"/>
        <w:ind w:left="0" w:right="0" w:hanging="0"/>
        <w:jc w:val="both"/>
        <w:rPr>
          <w:caps w:val="false"/>
          <w:smallCaps w:val="false"/>
        </w:rPr>
      </w:pPr>
      <w:bookmarkStart w:id="844" w:name="xdx_8A6_zqQdpno1Tqh5"/>
      <w:bookmarkEnd w:id="84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2023, of the </w:t>
      </w:r>
      <w:bookmarkStart w:id="845" w:name="xdx_90C_eus-gaap--ConversionOfStockShare"/>
      <w:bookmarkEnd w:id="845"/>
      <w:r>
        <w:rPr>
          <w:rFonts w:ascii="Times New Roman;Times;Serif" w:hAnsi="Times New Roman;Times;Serif"/>
          <w:b w:val="false"/>
          <w:i w:val="false"/>
          <w:caps w:val="false"/>
          <w:smallCaps w:val="false"/>
          <w:sz w:val="20"/>
        </w:rPr>
        <w:t xml:space="preserve">206,680 vested RSUs, </w:t>
      </w:r>
      <w:bookmarkStart w:id="846" w:name="xdx_90D_eus-gaap--ConversionOfStockShare"/>
      <w:bookmarkEnd w:id="846"/>
      <w:r>
        <w:rPr>
          <w:rFonts w:ascii="Times New Roman;Times;Serif" w:hAnsi="Times New Roman;Times;Serif"/>
          <w:b w:val="false"/>
          <w:i w:val="false"/>
          <w:caps w:val="false"/>
          <w:smallCaps w:val="false"/>
          <w:sz w:val="20"/>
        </w:rPr>
        <w:t xml:space="preserve">40,019 shares of Common Stock were issued, and </w:t>
      </w:r>
      <w:bookmarkStart w:id="847" w:name="xdx_901_ecustom--ConversionOfStockShares"/>
      <w:bookmarkEnd w:id="847"/>
      <w:r>
        <w:rPr>
          <w:rFonts w:ascii="Times New Roman;Times;Serif" w:hAnsi="Times New Roman;Times;Serif"/>
          <w:b w:val="false"/>
          <w:i w:val="false"/>
          <w:caps w:val="false"/>
          <w:smallCaps w:val="false"/>
          <w:sz w:val="20"/>
        </w:rPr>
        <w:t>166,661 shares were to be issued upon setup of the plan administration account.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848" w:name="xdx_230_zVfp2sMxWcyf"/>
      <w:bookmarkEnd w:id="848"/>
      <w:r>
        <w:rPr>
          <w:caps w:val="false"/>
          <w:smallCaps w:val="false"/>
        </w:rPr>
        <w:t> </w:t>
      </w:r>
    </w:p>
    <w:p>
      <w:pPr>
        <w:pStyle w:val="TextBody"/>
        <w:bidi w:val="0"/>
        <w:spacing w:before="0" w:after="0"/>
        <w:ind w:left="0" w:right="0" w:hanging="0"/>
        <w:jc w:val="both"/>
        <w:rPr>
          <w:caps w:val="false"/>
          <w:smallCaps w:val="false"/>
        </w:rPr>
      </w:pPr>
      <w:bookmarkStart w:id="849" w:name="xdx_23F_zvR4nx4jHhC7"/>
      <w:bookmarkEnd w:id="849"/>
      <w:r>
        <w:rPr>
          <w:caps w:val="false"/>
          <w:smallCaps w:val="false"/>
        </w:rPr>
        <w:t> </w:t>
      </w:r>
    </w:p>
    <w:p>
      <w:pPr>
        <w:pStyle w:val="Normal"/>
        <w:bidi w:val="0"/>
        <w:spacing w:before="0" w:after="0"/>
        <w:ind w:left="0" w:right="0" w:hanging="0"/>
        <w:jc w:val="left"/>
        <w:rPr>
          <w:sz w:val="4"/>
          <w:szCs w:val="4"/>
        </w:rPr>
      </w:pPr>
      <w:r>
        <w:rPr>
          <w:sz w:val="4"/>
          <w:szCs w:val="4"/>
        </w:rPr>
      </w:r>
      <w:bookmarkStart w:id="850" w:name="xdx_235_zfYTnhugH6Kg"/>
      <w:bookmarkStart w:id="851" w:name="xdx_23C_zeXpLRJZnURk"/>
      <w:bookmarkStart w:id="852" w:name="xdx_235_zfYTnhugH6Kg"/>
      <w:bookmarkStart w:id="853" w:name="xdx_23C_zeXpLRJZnURk"/>
      <w:bookmarkEnd w:id="852"/>
      <w:bookmarkEnd w:id="853"/>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bookmarkStart w:id="854" w:name="xdx_23D_zSFaPKNKNRv2"/>
            <w:bookmarkEnd w:id="854"/>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855" w:name="xdx_235_z2ixXVYWYr4g"/>
      <w:bookmarkEnd w:id="855"/>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856" w:name="xdx_23D_zlI3x7wYzYG8"/>
      <w:bookmarkEnd w:id="856"/>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12, 2022, the Compensation Committee of the Board of Directors approved an incentive plan for the Company’s executive officers consisting of a cash performance bonus of $</w:t>
      </w:r>
      <w:bookmarkStart w:id="857" w:name="xdx_90E_ecustom--CashPerformanceBonus_c2"/>
      <w:bookmarkEnd w:id="857"/>
      <w:r>
        <w:rPr>
          <w:rFonts w:ascii="Times New Roman;Times;Serif" w:hAnsi="Times New Roman;Times;Serif"/>
          <w:b w:val="false"/>
          <w:i w:val="false"/>
          <w:caps w:val="false"/>
          <w:smallCaps w:val="false"/>
          <w:sz w:val="20"/>
        </w:rPr>
        <w:t xml:space="preserve">60,000 to be awarded to Kevin Vassily, CFO of the Company, and stock option grants (the “Option Grants”) in the amount of (i) </w:t>
      </w:r>
      <w:bookmarkStart w:id="858" w:name="xdx_903_eus-gaap--ShareBasedCompensation"/>
      <w:bookmarkEnd w:id="858"/>
      <w:r>
        <w:rPr>
          <w:rFonts w:ascii="Times New Roman;Times;Serif" w:hAnsi="Times New Roman;Times;Serif"/>
          <w:b w:val="false"/>
          <w:i w:val="false"/>
          <w:caps w:val="false"/>
          <w:smallCaps w:val="false"/>
          <w:sz w:val="20"/>
        </w:rPr>
        <w:t xml:space="preserve">3,000,000 shares to Chenlong Tan, CEO and (ii) </w:t>
      </w:r>
      <w:bookmarkStart w:id="859" w:name="xdx_90A_eus-gaap--ShareBasedCompensation"/>
      <w:bookmarkEnd w:id="859"/>
      <w:r>
        <w:rPr>
          <w:rFonts w:ascii="Times New Roman;Times;Serif" w:hAnsi="Times New Roman;Times;Serif"/>
          <w:b w:val="false"/>
          <w:i w:val="false"/>
          <w:caps w:val="false"/>
          <w:smallCaps w:val="false"/>
          <w:sz w:val="20"/>
        </w:rPr>
        <w:t>330,000 shares to Mr. Vassily. The Option Grants, which were issued on May 13, 2022, have an exercise price of $</w:t>
      </w:r>
      <w:bookmarkStart w:id="860" w:name="xdx_906_eus-gaap--ShareBasedCompensation"/>
      <w:bookmarkEnd w:id="860"/>
      <w:r>
        <w:rPr>
          <w:rFonts w:ascii="Times New Roman;Times;Serif" w:hAnsi="Times New Roman;Times;Serif"/>
          <w:b w:val="false"/>
          <w:i w:val="false"/>
          <w:caps w:val="false"/>
          <w:smallCaps w:val="false"/>
          <w:sz w:val="20"/>
        </w:rPr>
        <w:t>1.12 per share, a contractual term of 10 years and consist of six vesting tranches with a vesting schedule based entirely on the attainment of both designated operational milestones (performance conditions) and market conditions (together, the “Designated Milestones”), assuming continued employment of the recipients through the date on which such Designated Milestones are achieved. Each of the six vesting tranches for the Option Grants will vest when both (i) the market capitalization milestone for such tranche, which begins at $150 million for the first tranche and increases by increments of $50 million through the fourth tranche and $100 million thereafter (based on achieving such market capitalization for five consecutive trading days), has been achieved, and (ii) any one of the following six operational milestones focused on revenue or any one of the six operational milestones focused on operating income have been achieved during a given fiscal year.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achievement status of the operational milestones as of March 31, 2023 was as follows:</w:t>
      </w:r>
    </w:p>
    <w:p>
      <w:pPr>
        <w:pStyle w:val="TextBody"/>
        <w:bidi w:val="0"/>
        <w:spacing w:before="0" w:after="0"/>
        <w:ind w:left="0" w:right="0" w:hanging="0"/>
        <w:jc w:val="both"/>
        <w:rPr>
          <w:caps w:val="false"/>
          <w:smallCaps w:val="false"/>
        </w:rPr>
      </w:pPr>
      <w:r>
        <w:rPr>
          <w:caps w:val="false"/>
          <w:smallCaps w:val="false"/>
        </w:rPr>
        <w:t> </w:t>
      </w:r>
    </w:p>
    <w:tbl>
      <w:tblPr>
        <w:tblW w:w="7095" w:type="dxa"/>
        <w:jc w:val="left"/>
        <w:tblInd w:w="0" w:type="dxa"/>
        <w:tblLayout w:type="fixed"/>
        <w:tblCellMar>
          <w:top w:w="0" w:type="dxa"/>
          <w:left w:w="0" w:type="dxa"/>
          <w:bottom w:w="28" w:type="dxa"/>
          <w:right w:w="0" w:type="dxa"/>
        </w:tblCellMar>
      </w:tblPr>
      <w:tblGrid>
        <w:gridCol w:w="348"/>
        <w:gridCol w:w="856"/>
        <w:gridCol w:w="60"/>
        <w:gridCol w:w="60"/>
        <w:gridCol w:w="1910"/>
        <w:gridCol w:w="60"/>
        <w:gridCol w:w="415"/>
        <w:gridCol w:w="774"/>
        <w:gridCol w:w="76"/>
        <w:gridCol w:w="76"/>
        <w:gridCol w:w="2460"/>
      </w:tblGrid>
      <w:tr>
        <w:trPr/>
        <w:tc>
          <w:tcPr>
            <w:tcW w:w="3234" w:type="dxa"/>
            <w:gridSpan w:val="5"/>
            <w:tcBorders>
              <w:bottom w:val="single" w:sz="8" w:space="0" w:color="000000"/>
            </w:tcBorders>
            <w:vAlign w:val="center"/>
          </w:tcPr>
          <w:p>
            <w:pPr>
              <w:pStyle w:val="TableContents"/>
              <w:bidi w:val="0"/>
              <w:spacing w:before="0" w:after="283"/>
              <w:jc w:val="center"/>
              <w:rPr/>
            </w:pPr>
            <w:r>
              <w:rPr/>
              <w:t>Revenue in Fiscal Year</w:t>
            </w:r>
          </w:p>
        </w:tc>
        <w:tc>
          <w:tcPr>
            <w:tcW w:w="60" w:type="dxa"/>
            <w:tcBorders/>
            <w:tcMar>
              <w:bottom w:w="0" w:type="dxa"/>
            </w:tcMar>
            <w:vAlign w:val="center"/>
          </w:tcPr>
          <w:p>
            <w:pPr>
              <w:pStyle w:val="TableContents"/>
              <w:bidi w:val="0"/>
              <w:spacing w:before="0" w:after="283"/>
              <w:jc w:val="left"/>
              <w:rPr/>
            </w:pPr>
            <w:r>
              <w:rPr/>
              <w:t> </w:t>
            </w:r>
          </w:p>
        </w:tc>
        <w:tc>
          <w:tcPr>
            <w:tcW w:w="3801" w:type="dxa"/>
            <w:gridSpan w:val="5"/>
            <w:tcBorders>
              <w:bottom w:val="single" w:sz="8" w:space="0" w:color="000000"/>
            </w:tcBorders>
            <w:vAlign w:val="center"/>
          </w:tcPr>
          <w:p>
            <w:pPr>
              <w:pStyle w:val="TableContents"/>
              <w:bidi w:val="0"/>
              <w:spacing w:before="0" w:after="283"/>
              <w:jc w:val="center"/>
              <w:rPr/>
            </w:pPr>
            <w:r>
              <w:rPr/>
              <w:t>Operating Income in Fiscal Year</w:t>
            </w:r>
          </w:p>
        </w:tc>
      </w:tr>
      <w:tr>
        <w:trPr/>
        <w:tc>
          <w:tcPr>
            <w:tcW w:w="1204" w:type="dxa"/>
            <w:gridSpan w:val="2"/>
            <w:tcBorders/>
            <w:tcMar>
              <w:bottom w:w="0" w:type="dxa"/>
            </w:tcMar>
            <w:vAlign w:val="center"/>
          </w:tcPr>
          <w:p>
            <w:pPr>
              <w:pStyle w:val="TableContents"/>
              <w:bidi w:val="0"/>
              <w:spacing w:before="0" w:after="283"/>
              <w:jc w:val="center"/>
              <w:rPr/>
            </w:pPr>
            <w:r>
              <w:rPr/>
              <w:t>Milestone</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tcMar>
              <w:bottom w:w="0" w:type="dxa"/>
            </w:tcMar>
            <w:vAlign w:val="center"/>
          </w:tcPr>
          <w:p>
            <w:pPr>
              <w:pStyle w:val="TableContents"/>
              <w:bidi w:val="0"/>
              <w:spacing w:before="0" w:after="283"/>
              <w:jc w:val="center"/>
              <w:rPr/>
            </w:pPr>
            <w:r>
              <w:rPr/>
              <w:t>Milestone</w:t>
            </w:r>
          </w:p>
        </w:tc>
        <w:tc>
          <w:tcPr>
            <w:tcW w:w="76"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2460" w:type="dxa"/>
            <w:tcBorders/>
            <w:tcMar>
              <w:bottom w:w="0" w:type="dxa"/>
            </w:tcMar>
            <w:vAlign w:val="center"/>
          </w:tcPr>
          <w:p>
            <w:pPr>
              <w:pStyle w:val="TableContents"/>
              <w:bidi w:val="0"/>
              <w:spacing w:before="0" w:after="283"/>
              <w:jc w:val="center"/>
              <w:rPr/>
            </w:pPr>
            <w:r>
              <w:rPr/>
              <w:t> </w:t>
            </w:r>
          </w:p>
        </w:tc>
      </w:tr>
      <w:tr>
        <w:trPr/>
        <w:tc>
          <w:tcPr>
            <w:tcW w:w="1204" w:type="dxa"/>
            <w:gridSpan w:val="2"/>
            <w:tcBorders>
              <w:bottom w:val="single" w:sz="8" w:space="0" w:color="000000"/>
            </w:tcBorders>
            <w:vAlign w:val="center"/>
          </w:tcPr>
          <w:p>
            <w:pPr>
              <w:pStyle w:val="TableContents"/>
              <w:bidi w:val="0"/>
              <w:spacing w:before="0" w:after="283"/>
              <w:jc w:val="center"/>
              <w:rPr/>
            </w:pPr>
            <w:r>
              <w:rPr/>
              <w:t>(in Millions)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10" w:type="dxa"/>
            <w:tcBorders>
              <w:bottom w:val="single" w:sz="8" w:space="0" w:color="000000"/>
            </w:tcBorders>
            <w:vAlign w:val="center"/>
          </w:tcPr>
          <w:p>
            <w:pPr>
              <w:pStyle w:val="TableContents"/>
              <w:bidi w:val="0"/>
              <w:spacing w:before="0" w:after="283"/>
              <w:jc w:val="center"/>
              <w:rPr/>
            </w:pPr>
            <w:r>
              <w:rPr/>
              <w:t>Achievement Status</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8" w:space="0" w:color="000000"/>
            </w:tcBorders>
            <w:vAlign w:val="center"/>
          </w:tcPr>
          <w:p>
            <w:pPr>
              <w:pStyle w:val="TableContents"/>
              <w:bidi w:val="0"/>
              <w:spacing w:before="0" w:after="283"/>
              <w:jc w:val="center"/>
              <w:rPr/>
            </w:pPr>
            <w:r>
              <w:rPr/>
              <w:t>(in Millions)</w:t>
            </w:r>
          </w:p>
        </w:tc>
        <w:tc>
          <w:tcPr>
            <w:tcW w:w="76"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2460" w:type="dxa"/>
            <w:tcBorders>
              <w:bottom w:val="single" w:sz="8" w:space="0" w:color="000000"/>
            </w:tcBorders>
            <w:vAlign w:val="center"/>
          </w:tcPr>
          <w:p>
            <w:pPr>
              <w:pStyle w:val="TableContents"/>
              <w:bidi w:val="0"/>
              <w:spacing w:before="0" w:after="283"/>
              <w:jc w:val="center"/>
              <w:rPr/>
            </w:pPr>
            <w:r>
              <w:rPr/>
              <w:t>Achievement Status</w:t>
            </w:r>
          </w:p>
        </w:tc>
      </w:tr>
      <w:tr>
        <w:trPr/>
        <w:tc>
          <w:tcPr>
            <w:tcW w:w="1204" w:type="dxa"/>
            <w:gridSpan w:val="2"/>
            <w:tcBorders/>
            <w:tcMar>
              <w:bottom w:w="0" w:type="dxa"/>
            </w:tcMar>
            <w:vAlign w:val="center"/>
          </w:tcPr>
          <w:p>
            <w:pPr>
              <w:pStyle w:val="TableContents"/>
              <w:bidi w:val="0"/>
              <w:spacing w:before="0" w:after="283"/>
              <w:jc w:val="right"/>
              <w:rPr/>
            </w:pPr>
            <w:r>
              <w:rPr/>
              <w:t> </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910"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tcMar>
              <w:bottom w:w="0" w:type="dxa"/>
            </w:tcMar>
            <w:vAlign w:val="center"/>
          </w:tcPr>
          <w:p>
            <w:pPr>
              <w:pStyle w:val="TableContents"/>
              <w:bidi w:val="0"/>
              <w:spacing w:before="0" w:after="283"/>
              <w:jc w:val="right"/>
              <w:rPr/>
            </w:pPr>
            <w:r>
              <w:rPr/>
              <w:t> </w:t>
            </w:r>
          </w:p>
        </w:tc>
        <w:tc>
          <w:tcPr>
            <w:tcW w:w="76" w:type="dxa"/>
            <w:tcBorders/>
            <w:tcMar>
              <w:bottom w:w="0" w:type="dxa"/>
            </w:tcMar>
            <w:vAlign w:val="center"/>
          </w:tcPr>
          <w:p>
            <w:pPr>
              <w:pStyle w:val="TableContents"/>
              <w:bidi w:val="0"/>
              <w:spacing w:before="0" w:after="283"/>
              <w:jc w:val="left"/>
              <w:rPr/>
            </w:pPr>
            <w:r>
              <w:rPr/>
              <w:t> </w:t>
            </w:r>
          </w:p>
        </w:tc>
        <w:tc>
          <w:tcPr>
            <w:tcW w:w="76" w:type="dxa"/>
            <w:tcBorders/>
            <w:tcMar>
              <w:bottom w:w="0" w:type="dxa"/>
            </w:tcMar>
            <w:vAlign w:val="center"/>
          </w:tcPr>
          <w:p>
            <w:pPr>
              <w:pStyle w:val="TableContents"/>
              <w:bidi w:val="0"/>
              <w:spacing w:before="0" w:after="283"/>
              <w:jc w:val="left"/>
              <w:rPr/>
            </w:pPr>
            <w:r>
              <w:rPr/>
              <w:t> </w:t>
            </w:r>
          </w:p>
        </w:tc>
        <w:tc>
          <w:tcPr>
            <w:tcW w:w="2460" w:type="dxa"/>
            <w:tcBorders/>
            <w:tcMar>
              <w:bottom w:w="0" w:type="dxa"/>
            </w:tcMar>
            <w:vAlign w:val="center"/>
          </w:tcPr>
          <w:p>
            <w:pPr>
              <w:pStyle w:val="TableContents"/>
              <w:bidi w:val="0"/>
              <w:spacing w:before="0" w:after="283"/>
              <w:jc w:val="center"/>
              <w:rPr/>
            </w:pPr>
            <w:r>
              <w:rPr/>
              <w:t> </w:t>
            </w:r>
          </w:p>
        </w:tc>
      </w:tr>
      <w:tr>
        <w:trPr/>
        <w:tc>
          <w:tcPr>
            <w:tcW w:w="348" w:type="dxa"/>
            <w:tcBorders/>
            <w:shd w:fill="EEEEEE" w:val="clear"/>
            <w:tcMar>
              <w:bottom w:w="0" w:type="dxa"/>
            </w:tcMar>
            <w:vAlign w:val="center"/>
          </w:tcPr>
          <w:p>
            <w:pPr>
              <w:pStyle w:val="TableContents"/>
              <w:bidi w:val="0"/>
              <w:spacing w:before="0" w:after="283"/>
              <w:jc w:val="left"/>
              <w:rPr/>
            </w:pPr>
            <w:r>
              <w:rPr/>
              <w:t>$</w:t>
            </w:r>
          </w:p>
        </w:tc>
        <w:tc>
          <w:tcPr>
            <w:tcW w:w="856" w:type="dxa"/>
            <w:tcBorders/>
            <w:shd w:fill="EEEEEE" w:val="clear"/>
            <w:tcMar>
              <w:bottom w:w="0" w:type="dxa"/>
            </w:tcMar>
            <w:vAlign w:val="center"/>
          </w:tcPr>
          <w:p>
            <w:pPr>
              <w:pStyle w:val="TableContents"/>
              <w:bidi w:val="0"/>
              <w:spacing w:before="0" w:after="283"/>
              <w:jc w:val="right"/>
              <w:rPr/>
            </w:pPr>
            <w:r>
              <w:rPr/>
              <w:t>90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910" w:type="dxa"/>
            <w:tcBorders/>
            <w:shd w:fill="EEEEEE" w:val="clear"/>
            <w:tcMar>
              <w:bottom w:w="0" w:type="dxa"/>
            </w:tcMar>
            <w:vAlign w:val="center"/>
          </w:tcPr>
          <w:p>
            <w:pPr>
              <w:pStyle w:val="TableContents"/>
              <w:bidi w:val="0"/>
              <w:spacing w:before="0" w:after="283"/>
              <w:jc w:val="center"/>
              <w:rPr/>
            </w:pPr>
            <w:r>
              <w:rPr/>
              <w:t>Probable</w:t>
            </w:r>
          </w:p>
        </w:tc>
        <w:tc>
          <w:tcPr>
            <w:tcW w:w="60" w:type="dxa"/>
            <w:tcBorders/>
            <w:shd w:fill="EEEEEE" w:val="clear"/>
            <w:tcMar>
              <w:bottom w:w="0" w:type="dxa"/>
            </w:tcMar>
            <w:vAlign w:val="center"/>
          </w:tcPr>
          <w:p>
            <w:pPr>
              <w:pStyle w:val="TableContents"/>
              <w:bidi w:val="0"/>
              <w:spacing w:before="0" w:after="283"/>
              <w:jc w:val="left"/>
              <w:rPr/>
            </w:pPr>
            <w:r>
              <w:rPr/>
              <w:t> </w:t>
            </w:r>
          </w:p>
        </w:tc>
        <w:tc>
          <w:tcPr>
            <w:tcW w:w="415" w:type="dxa"/>
            <w:tcBorders/>
            <w:shd w:fill="EEEEEE" w:val="clear"/>
            <w:tcMar>
              <w:bottom w:w="0" w:type="dxa"/>
            </w:tcMar>
            <w:vAlign w:val="center"/>
          </w:tcPr>
          <w:p>
            <w:pPr>
              <w:pStyle w:val="TableContents"/>
              <w:bidi w:val="0"/>
              <w:spacing w:before="0" w:after="283"/>
              <w:jc w:val="left"/>
              <w:rPr/>
            </w:pPr>
            <w:r>
              <w:rPr/>
              <w:t>$</w:t>
            </w:r>
          </w:p>
        </w:tc>
        <w:tc>
          <w:tcPr>
            <w:tcW w:w="774" w:type="dxa"/>
            <w:tcBorders/>
            <w:shd w:fill="EEEEEE" w:val="clear"/>
            <w:tcMar>
              <w:bottom w:w="0" w:type="dxa"/>
            </w:tcMar>
            <w:vAlign w:val="center"/>
          </w:tcPr>
          <w:p>
            <w:pPr>
              <w:pStyle w:val="TableContents"/>
              <w:bidi w:val="0"/>
              <w:spacing w:before="0" w:after="283"/>
              <w:jc w:val="right"/>
              <w:rPr/>
            </w:pPr>
            <w:r>
              <w:rPr/>
              <w:t>6</w:t>
            </w:r>
          </w:p>
        </w:tc>
        <w:tc>
          <w:tcPr>
            <w:tcW w:w="76" w:type="dxa"/>
            <w:tcBorders/>
            <w:shd w:fill="EEEEEE" w:val="clear"/>
            <w:tcMar>
              <w:bottom w:w="0" w:type="dxa"/>
            </w:tcMar>
            <w:vAlign w:val="center"/>
          </w:tcPr>
          <w:p>
            <w:pPr>
              <w:pStyle w:val="TableContents"/>
              <w:bidi w:val="0"/>
              <w:spacing w:before="0" w:after="283"/>
              <w:jc w:val="left"/>
              <w:rPr/>
            </w:pPr>
            <w:r>
              <w:rPr/>
              <w:t> </w:t>
            </w:r>
          </w:p>
        </w:tc>
        <w:tc>
          <w:tcPr>
            <w:tcW w:w="76" w:type="dxa"/>
            <w:tcBorders/>
            <w:shd w:fill="EEEEEE" w:val="clear"/>
            <w:tcMar>
              <w:bottom w:w="0" w:type="dxa"/>
            </w:tcMar>
            <w:vAlign w:val="center"/>
          </w:tcPr>
          <w:p>
            <w:pPr>
              <w:pStyle w:val="TableContents"/>
              <w:bidi w:val="0"/>
              <w:spacing w:before="0" w:after="283"/>
              <w:jc w:val="left"/>
              <w:rPr/>
            </w:pPr>
            <w:r>
              <w:rPr/>
              <w:t> </w:t>
            </w:r>
          </w:p>
        </w:tc>
        <w:tc>
          <w:tcPr>
            <w:tcW w:w="2460" w:type="dxa"/>
            <w:tcBorders/>
            <w:shd w:fill="EEEEEE" w:val="clear"/>
            <w:tcMar>
              <w:bottom w:w="0" w:type="dxa"/>
            </w:tcMar>
            <w:vAlign w:val="center"/>
          </w:tcPr>
          <w:p>
            <w:pPr>
              <w:pStyle w:val="TableContents"/>
              <w:bidi w:val="0"/>
              <w:spacing w:before="0" w:after="283"/>
              <w:jc w:val="center"/>
              <w:rPr/>
            </w:pPr>
            <w:r>
              <w:rPr/>
              <w:t>Probable</w:t>
            </w:r>
          </w:p>
        </w:tc>
      </w:tr>
      <w:tr>
        <w:trPr/>
        <w:tc>
          <w:tcPr>
            <w:tcW w:w="348" w:type="dxa"/>
            <w:tcBorders/>
            <w:shd w:fill="FFFFFF" w:val="clear"/>
            <w:tcMar>
              <w:bottom w:w="0" w:type="dxa"/>
            </w:tcMar>
            <w:vAlign w:val="center"/>
          </w:tcPr>
          <w:p>
            <w:pPr>
              <w:pStyle w:val="TableContents"/>
              <w:bidi w:val="0"/>
              <w:spacing w:before="0" w:after="283"/>
              <w:jc w:val="left"/>
              <w:rPr/>
            </w:pPr>
            <w:r>
              <w:rPr/>
              <w:t>$</w:t>
            </w:r>
          </w:p>
        </w:tc>
        <w:tc>
          <w:tcPr>
            <w:tcW w:w="856" w:type="dxa"/>
            <w:tcBorders/>
            <w:shd w:fill="FFFFFF" w:val="clear"/>
            <w:tcMar>
              <w:bottom w:w="0" w:type="dxa"/>
            </w:tcMar>
            <w:vAlign w:val="center"/>
          </w:tcPr>
          <w:p>
            <w:pPr>
              <w:pStyle w:val="TableContents"/>
              <w:bidi w:val="0"/>
              <w:spacing w:before="0" w:after="283"/>
              <w:jc w:val="right"/>
              <w:rPr/>
            </w:pPr>
            <w:r>
              <w:rPr/>
              <w:t>100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0" w:type="dxa"/>
            <w:tcBorders/>
            <w:shd w:fill="FFFFFF" w:val="clear"/>
            <w:tcMar>
              <w:bottom w:w="0" w:type="dxa"/>
            </w:tcMar>
            <w:vAlign w:val="center"/>
          </w:tcPr>
          <w:p>
            <w:pPr>
              <w:pStyle w:val="TableContents"/>
              <w:bidi w:val="0"/>
              <w:spacing w:before="0" w:after="283"/>
              <w:jc w:val="center"/>
              <w:rPr/>
            </w:pPr>
            <w:r>
              <w:rPr/>
              <w:t>Probable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w:t>
            </w:r>
          </w:p>
        </w:tc>
        <w:tc>
          <w:tcPr>
            <w:tcW w:w="774" w:type="dxa"/>
            <w:tcBorders/>
            <w:shd w:fill="FFFFFF" w:val="clear"/>
            <w:tcMar>
              <w:bottom w:w="0" w:type="dxa"/>
            </w:tcMar>
            <w:vAlign w:val="center"/>
          </w:tcPr>
          <w:p>
            <w:pPr>
              <w:pStyle w:val="TableContents"/>
              <w:bidi w:val="0"/>
              <w:spacing w:before="0" w:after="283"/>
              <w:jc w:val="right"/>
              <w:rPr/>
            </w:pPr>
            <w:r>
              <w:rPr/>
              <w:t>8</w:t>
            </w:r>
          </w:p>
        </w:tc>
        <w:tc>
          <w:tcPr>
            <w:tcW w:w="76"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2460" w:type="dxa"/>
            <w:tcBorders/>
            <w:shd w:fill="FFFFFF" w:val="clear"/>
            <w:tcMar>
              <w:bottom w:w="0" w:type="dxa"/>
            </w:tcMar>
            <w:vAlign w:val="center"/>
          </w:tcPr>
          <w:p>
            <w:pPr>
              <w:pStyle w:val="TableContents"/>
              <w:bidi w:val="0"/>
              <w:spacing w:before="0" w:after="283"/>
              <w:jc w:val="center"/>
              <w:rPr/>
            </w:pPr>
            <w:r>
              <w:rPr/>
              <w:t>Probable</w:t>
            </w:r>
          </w:p>
        </w:tc>
      </w:tr>
      <w:tr>
        <w:trPr/>
        <w:tc>
          <w:tcPr>
            <w:tcW w:w="348" w:type="dxa"/>
            <w:tcBorders/>
            <w:shd w:fill="EEEEEE" w:val="clear"/>
            <w:tcMar>
              <w:bottom w:w="0" w:type="dxa"/>
            </w:tcMar>
            <w:vAlign w:val="center"/>
          </w:tcPr>
          <w:p>
            <w:pPr>
              <w:pStyle w:val="TableContents"/>
              <w:bidi w:val="0"/>
              <w:spacing w:before="0" w:after="283"/>
              <w:jc w:val="left"/>
              <w:rPr/>
            </w:pPr>
            <w:r>
              <w:rPr/>
              <w:t>$</w:t>
            </w:r>
          </w:p>
        </w:tc>
        <w:tc>
          <w:tcPr>
            <w:tcW w:w="856" w:type="dxa"/>
            <w:tcBorders/>
            <w:shd w:fill="EEEEEE" w:val="clear"/>
            <w:tcMar>
              <w:bottom w:w="0" w:type="dxa"/>
            </w:tcMar>
            <w:vAlign w:val="center"/>
          </w:tcPr>
          <w:p>
            <w:pPr>
              <w:pStyle w:val="TableContents"/>
              <w:bidi w:val="0"/>
              <w:spacing w:before="0" w:after="283"/>
              <w:jc w:val="right"/>
              <w:rPr/>
            </w:pPr>
            <w:r>
              <w:rPr/>
              <w:t>125</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910" w:type="dxa"/>
            <w:tcBorders/>
            <w:shd w:fill="EEEEEE" w:val="clear"/>
            <w:tcMar>
              <w:bottom w:w="0" w:type="dxa"/>
            </w:tcMar>
            <w:vAlign w:val="center"/>
          </w:tcPr>
          <w:p>
            <w:pPr>
              <w:pStyle w:val="TableContents"/>
              <w:bidi w:val="0"/>
              <w:spacing w:before="0" w:after="283"/>
              <w:jc w:val="center"/>
              <w:rPr/>
            </w:pPr>
            <w:r>
              <w:rPr/>
              <w:t>Probable</w:t>
            </w:r>
          </w:p>
        </w:tc>
        <w:tc>
          <w:tcPr>
            <w:tcW w:w="60" w:type="dxa"/>
            <w:tcBorders/>
            <w:shd w:fill="EEEEEE" w:val="clear"/>
            <w:tcMar>
              <w:bottom w:w="0" w:type="dxa"/>
            </w:tcMar>
            <w:vAlign w:val="center"/>
          </w:tcPr>
          <w:p>
            <w:pPr>
              <w:pStyle w:val="TableContents"/>
              <w:bidi w:val="0"/>
              <w:spacing w:before="0" w:after="283"/>
              <w:jc w:val="left"/>
              <w:rPr/>
            </w:pPr>
            <w:r>
              <w:rPr/>
              <w:t> </w:t>
            </w:r>
          </w:p>
        </w:tc>
        <w:tc>
          <w:tcPr>
            <w:tcW w:w="415" w:type="dxa"/>
            <w:tcBorders/>
            <w:shd w:fill="EEEEEE" w:val="clear"/>
            <w:tcMar>
              <w:bottom w:w="0" w:type="dxa"/>
            </w:tcMar>
            <w:vAlign w:val="center"/>
          </w:tcPr>
          <w:p>
            <w:pPr>
              <w:pStyle w:val="TableContents"/>
              <w:bidi w:val="0"/>
              <w:spacing w:before="0" w:after="283"/>
              <w:jc w:val="left"/>
              <w:rPr/>
            </w:pPr>
            <w:r>
              <w:rPr/>
              <w:t>$</w:t>
            </w:r>
          </w:p>
        </w:tc>
        <w:tc>
          <w:tcPr>
            <w:tcW w:w="774" w:type="dxa"/>
            <w:tcBorders/>
            <w:shd w:fill="EEEEEE" w:val="clear"/>
            <w:tcMar>
              <w:bottom w:w="0" w:type="dxa"/>
            </w:tcMar>
            <w:vAlign w:val="center"/>
          </w:tcPr>
          <w:p>
            <w:pPr>
              <w:pStyle w:val="TableContents"/>
              <w:bidi w:val="0"/>
              <w:spacing w:before="0" w:after="283"/>
              <w:jc w:val="right"/>
              <w:rPr/>
            </w:pPr>
            <w:r>
              <w:rPr/>
              <w:t>10</w:t>
            </w:r>
          </w:p>
        </w:tc>
        <w:tc>
          <w:tcPr>
            <w:tcW w:w="76" w:type="dxa"/>
            <w:tcBorders/>
            <w:shd w:fill="EEEEEE" w:val="clear"/>
            <w:tcMar>
              <w:bottom w:w="0" w:type="dxa"/>
            </w:tcMar>
            <w:vAlign w:val="center"/>
          </w:tcPr>
          <w:p>
            <w:pPr>
              <w:pStyle w:val="TableContents"/>
              <w:bidi w:val="0"/>
              <w:spacing w:before="0" w:after="283"/>
              <w:jc w:val="left"/>
              <w:rPr/>
            </w:pPr>
            <w:r>
              <w:rPr/>
              <w:t> </w:t>
            </w:r>
          </w:p>
        </w:tc>
        <w:tc>
          <w:tcPr>
            <w:tcW w:w="76" w:type="dxa"/>
            <w:tcBorders/>
            <w:shd w:fill="EEEEEE" w:val="clear"/>
            <w:tcMar>
              <w:bottom w:w="0" w:type="dxa"/>
            </w:tcMar>
            <w:vAlign w:val="center"/>
          </w:tcPr>
          <w:p>
            <w:pPr>
              <w:pStyle w:val="TableContents"/>
              <w:bidi w:val="0"/>
              <w:spacing w:before="0" w:after="283"/>
              <w:jc w:val="left"/>
              <w:rPr/>
            </w:pPr>
            <w:r>
              <w:rPr/>
              <w:t> </w:t>
            </w:r>
          </w:p>
        </w:tc>
        <w:tc>
          <w:tcPr>
            <w:tcW w:w="2460" w:type="dxa"/>
            <w:tcBorders/>
            <w:shd w:fill="EEEEEE" w:val="clear"/>
            <w:tcMar>
              <w:bottom w:w="0" w:type="dxa"/>
            </w:tcMar>
            <w:vAlign w:val="center"/>
          </w:tcPr>
          <w:p>
            <w:pPr>
              <w:pStyle w:val="TableContents"/>
              <w:bidi w:val="0"/>
              <w:spacing w:before="0" w:after="283"/>
              <w:jc w:val="center"/>
              <w:rPr/>
            </w:pPr>
            <w:r>
              <w:rPr/>
              <w:t>Probable</w:t>
            </w:r>
          </w:p>
        </w:tc>
      </w:tr>
      <w:tr>
        <w:trPr/>
        <w:tc>
          <w:tcPr>
            <w:tcW w:w="348" w:type="dxa"/>
            <w:tcBorders/>
            <w:shd w:fill="FFFFFF" w:val="clear"/>
            <w:tcMar>
              <w:bottom w:w="0" w:type="dxa"/>
            </w:tcMar>
            <w:vAlign w:val="center"/>
          </w:tcPr>
          <w:p>
            <w:pPr>
              <w:pStyle w:val="TableContents"/>
              <w:bidi w:val="0"/>
              <w:spacing w:before="0" w:after="283"/>
              <w:jc w:val="left"/>
              <w:rPr/>
            </w:pPr>
            <w:r>
              <w:rPr/>
              <w:t>$</w:t>
            </w:r>
          </w:p>
        </w:tc>
        <w:tc>
          <w:tcPr>
            <w:tcW w:w="856" w:type="dxa"/>
            <w:tcBorders/>
            <w:shd w:fill="FFFFFF" w:val="clear"/>
            <w:tcMar>
              <w:bottom w:w="0" w:type="dxa"/>
            </w:tcMar>
            <w:vAlign w:val="center"/>
          </w:tcPr>
          <w:p>
            <w:pPr>
              <w:pStyle w:val="TableContents"/>
              <w:bidi w:val="0"/>
              <w:spacing w:before="0" w:after="283"/>
              <w:jc w:val="right"/>
              <w:rPr/>
            </w:pPr>
            <w:r>
              <w:rPr/>
              <w:t>150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0" w:type="dxa"/>
            <w:tcBorders/>
            <w:shd w:fill="FFFFFF" w:val="clear"/>
            <w:tcMar>
              <w:bottom w:w="0" w:type="dxa"/>
            </w:tcMar>
            <w:vAlign w:val="center"/>
          </w:tcPr>
          <w:p>
            <w:pPr>
              <w:pStyle w:val="TableContents"/>
              <w:bidi w:val="0"/>
              <w:spacing w:before="0" w:after="283"/>
              <w:jc w:val="center"/>
              <w:rPr/>
            </w:pPr>
            <w:r>
              <w:rPr/>
              <w:t>Probable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w:t>
            </w:r>
          </w:p>
        </w:tc>
        <w:tc>
          <w:tcPr>
            <w:tcW w:w="774" w:type="dxa"/>
            <w:tcBorders/>
            <w:shd w:fill="FFFFFF" w:val="clear"/>
            <w:tcMar>
              <w:bottom w:w="0" w:type="dxa"/>
            </w:tcMar>
            <w:vAlign w:val="center"/>
          </w:tcPr>
          <w:p>
            <w:pPr>
              <w:pStyle w:val="TableContents"/>
              <w:bidi w:val="0"/>
              <w:spacing w:before="0" w:after="283"/>
              <w:jc w:val="right"/>
              <w:rPr/>
            </w:pPr>
            <w:r>
              <w:rPr/>
              <w:t>12</w:t>
            </w:r>
          </w:p>
        </w:tc>
        <w:tc>
          <w:tcPr>
            <w:tcW w:w="76"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2460" w:type="dxa"/>
            <w:tcBorders/>
            <w:shd w:fill="FFFFFF" w:val="clear"/>
            <w:tcMar>
              <w:bottom w:w="0" w:type="dxa"/>
            </w:tcMar>
            <w:vAlign w:val="center"/>
          </w:tcPr>
          <w:p>
            <w:pPr>
              <w:pStyle w:val="TableContents"/>
              <w:bidi w:val="0"/>
              <w:spacing w:before="0" w:after="283"/>
              <w:jc w:val="center"/>
              <w:rPr/>
            </w:pPr>
            <w:r>
              <w:rPr/>
              <w:t>–</w:t>
            </w:r>
          </w:p>
        </w:tc>
      </w:tr>
      <w:tr>
        <w:trPr/>
        <w:tc>
          <w:tcPr>
            <w:tcW w:w="348" w:type="dxa"/>
            <w:tcBorders/>
            <w:shd w:fill="EEEEEE" w:val="clear"/>
            <w:tcMar>
              <w:bottom w:w="0" w:type="dxa"/>
            </w:tcMar>
            <w:vAlign w:val="center"/>
          </w:tcPr>
          <w:p>
            <w:pPr>
              <w:pStyle w:val="TableContents"/>
              <w:bidi w:val="0"/>
              <w:spacing w:before="0" w:after="283"/>
              <w:jc w:val="left"/>
              <w:rPr/>
            </w:pPr>
            <w:r>
              <w:rPr/>
              <w:t>$</w:t>
            </w:r>
          </w:p>
        </w:tc>
        <w:tc>
          <w:tcPr>
            <w:tcW w:w="856" w:type="dxa"/>
            <w:tcBorders/>
            <w:shd w:fill="EEEEEE" w:val="clear"/>
            <w:tcMar>
              <w:bottom w:w="0" w:type="dxa"/>
            </w:tcMar>
            <w:vAlign w:val="center"/>
          </w:tcPr>
          <w:p>
            <w:pPr>
              <w:pStyle w:val="TableContents"/>
              <w:bidi w:val="0"/>
              <w:spacing w:before="0" w:after="283"/>
              <w:jc w:val="right"/>
              <w:rPr/>
            </w:pPr>
            <w:r>
              <w:rPr/>
              <w:t>200</w:t>
            </w:r>
          </w:p>
        </w:tc>
        <w:tc>
          <w:tcPr>
            <w:tcW w:w="60" w:type="dxa"/>
            <w:tcBorders/>
            <w:shd w:fill="EEEEEE" w:val="clear"/>
            <w:tcMar>
              <w:bottom w:w="0" w:type="dxa"/>
            </w:tcMar>
            <w:vAlign w:val="center"/>
          </w:tcPr>
          <w:p>
            <w:pPr>
              <w:pStyle w:val="TableContents"/>
              <w:bidi w:val="0"/>
              <w:spacing w:before="0" w:after="283"/>
              <w:jc w:val="left"/>
              <w:rPr/>
            </w:pPr>
            <w:r>
              <w:rPr/>
              <w:t> </w:t>
            </w:r>
          </w:p>
        </w:tc>
        <w:tc>
          <w:tcPr>
            <w:tcW w:w="60" w:type="dxa"/>
            <w:tcBorders/>
            <w:shd w:fill="EEEEEE" w:val="clear"/>
            <w:tcMar>
              <w:bottom w:w="0" w:type="dxa"/>
            </w:tcMar>
            <w:vAlign w:val="center"/>
          </w:tcPr>
          <w:p>
            <w:pPr>
              <w:pStyle w:val="TableContents"/>
              <w:bidi w:val="0"/>
              <w:spacing w:before="0" w:after="283"/>
              <w:jc w:val="left"/>
              <w:rPr/>
            </w:pPr>
            <w:r>
              <w:rPr/>
              <w:t> </w:t>
            </w:r>
          </w:p>
        </w:tc>
        <w:tc>
          <w:tcPr>
            <w:tcW w:w="1910" w:type="dxa"/>
            <w:tcBorders/>
            <w:shd w:fill="EEEEEE" w:val="clear"/>
            <w:tcMar>
              <w:bottom w:w="0" w:type="dxa"/>
            </w:tcMar>
            <w:vAlign w:val="center"/>
          </w:tcPr>
          <w:p>
            <w:pPr>
              <w:pStyle w:val="TableContents"/>
              <w:bidi w:val="0"/>
              <w:spacing w:before="0" w:after="283"/>
              <w:jc w:val="center"/>
              <w:rPr/>
            </w:pPr>
            <w:r>
              <w:rPr/>
              <w:t>Probable</w:t>
            </w:r>
          </w:p>
        </w:tc>
        <w:tc>
          <w:tcPr>
            <w:tcW w:w="60" w:type="dxa"/>
            <w:tcBorders/>
            <w:shd w:fill="EEEEEE" w:val="clear"/>
            <w:tcMar>
              <w:bottom w:w="0" w:type="dxa"/>
            </w:tcMar>
            <w:vAlign w:val="center"/>
          </w:tcPr>
          <w:p>
            <w:pPr>
              <w:pStyle w:val="TableContents"/>
              <w:bidi w:val="0"/>
              <w:spacing w:before="0" w:after="283"/>
              <w:jc w:val="left"/>
              <w:rPr/>
            </w:pPr>
            <w:r>
              <w:rPr/>
              <w:t> </w:t>
            </w:r>
          </w:p>
        </w:tc>
        <w:tc>
          <w:tcPr>
            <w:tcW w:w="415" w:type="dxa"/>
            <w:tcBorders/>
            <w:shd w:fill="EEEEEE" w:val="clear"/>
            <w:tcMar>
              <w:bottom w:w="0" w:type="dxa"/>
            </w:tcMar>
            <w:vAlign w:val="center"/>
          </w:tcPr>
          <w:p>
            <w:pPr>
              <w:pStyle w:val="TableContents"/>
              <w:bidi w:val="0"/>
              <w:spacing w:before="0" w:after="283"/>
              <w:jc w:val="left"/>
              <w:rPr/>
            </w:pPr>
            <w:r>
              <w:rPr/>
              <w:t>$</w:t>
            </w:r>
          </w:p>
        </w:tc>
        <w:tc>
          <w:tcPr>
            <w:tcW w:w="774" w:type="dxa"/>
            <w:tcBorders/>
            <w:shd w:fill="EEEEEE" w:val="clear"/>
            <w:tcMar>
              <w:bottom w:w="0" w:type="dxa"/>
            </w:tcMar>
            <w:vAlign w:val="center"/>
          </w:tcPr>
          <w:p>
            <w:pPr>
              <w:pStyle w:val="TableContents"/>
              <w:bidi w:val="0"/>
              <w:spacing w:before="0" w:after="283"/>
              <w:jc w:val="right"/>
              <w:rPr/>
            </w:pPr>
            <w:r>
              <w:rPr/>
              <w:t>16</w:t>
            </w:r>
          </w:p>
        </w:tc>
        <w:tc>
          <w:tcPr>
            <w:tcW w:w="76" w:type="dxa"/>
            <w:tcBorders/>
            <w:shd w:fill="EEEEEE" w:val="clear"/>
            <w:tcMar>
              <w:bottom w:w="0" w:type="dxa"/>
            </w:tcMar>
            <w:vAlign w:val="center"/>
          </w:tcPr>
          <w:p>
            <w:pPr>
              <w:pStyle w:val="TableContents"/>
              <w:bidi w:val="0"/>
              <w:spacing w:before="0" w:after="283"/>
              <w:jc w:val="left"/>
              <w:rPr/>
            </w:pPr>
            <w:r>
              <w:rPr/>
              <w:t> </w:t>
            </w:r>
          </w:p>
        </w:tc>
        <w:tc>
          <w:tcPr>
            <w:tcW w:w="76" w:type="dxa"/>
            <w:tcBorders/>
            <w:shd w:fill="EEEEEE" w:val="clear"/>
            <w:tcMar>
              <w:bottom w:w="0" w:type="dxa"/>
            </w:tcMar>
            <w:vAlign w:val="center"/>
          </w:tcPr>
          <w:p>
            <w:pPr>
              <w:pStyle w:val="TableContents"/>
              <w:bidi w:val="0"/>
              <w:spacing w:before="0" w:after="283"/>
              <w:jc w:val="left"/>
              <w:rPr/>
            </w:pPr>
            <w:r>
              <w:rPr/>
              <w:t> </w:t>
            </w:r>
          </w:p>
        </w:tc>
        <w:tc>
          <w:tcPr>
            <w:tcW w:w="2460" w:type="dxa"/>
            <w:tcBorders/>
            <w:shd w:fill="EEEEEE" w:val="clear"/>
            <w:tcMar>
              <w:bottom w:w="0" w:type="dxa"/>
            </w:tcMar>
            <w:vAlign w:val="center"/>
          </w:tcPr>
          <w:p>
            <w:pPr>
              <w:pStyle w:val="TableContents"/>
              <w:bidi w:val="0"/>
              <w:spacing w:before="0" w:after="283"/>
              <w:jc w:val="center"/>
              <w:rPr/>
            </w:pPr>
            <w:r>
              <w:rPr/>
              <w:t>–</w:t>
            </w:r>
          </w:p>
        </w:tc>
      </w:tr>
      <w:tr>
        <w:trPr/>
        <w:tc>
          <w:tcPr>
            <w:tcW w:w="348" w:type="dxa"/>
            <w:tcBorders/>
            <w:shd w:fill="FFFFFF" w:val="clear"/>
            <w:tcMar>
              <w:bottom w:w="0" w:type="dxa"/>
            </w:tcMar>
            <w:vAlign w:val="center"/>
          </w:tcPr>
          <w:p>
            <w:pPr>
              <w:pStyle w:val="TableContents"/>
              <w:bidi w:val="0"/>
              <w:spacing w:before="0" w:after="283"/>
              <w:jc w:val="left"/>
              <w:rPr/>
            </w:pPr>
            <w:r>
              <w:rPr/>
              <w:t>$</w:t>
            </w:r>
          </w:p>
        </w:tc>
        <w:tc>
          <w:tcPr>
            <w:tcW w:w="856" w:type="dxa"/>
            <w:tcBorders/>
            <w:shd w:fill="FFFFFF" w:val="clear"/>
            <w:tcMar>
              <w:bottom w:w="0" w:type="dxa"/>
            </w:tcMar>
            <w:vAlign w:val="center"/>
          </w:tcPr>
          <w:p>
            <w:pPr>
              <w:pStyle w:val="TableContents"/>
              <w:bidi w:val="0"/>
              <w:spacing w:before="0" w:after="283"/>
              <w:jc w:val="right"/>
              <w:rPr/>
            </w:pPr>
            <w:r>
              <w:rPr/>
              <w:t>250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910" w:type="dxa"/>
            <w:tcBorders/>
            <w:shd w:fill="FFFFFF" w:val="clear"/>
            <w:tcMar>
              <w:bottom w:w="0" w:type="dxa"/>
            </w:tcMar>
            <w:vAlign w:val="center"/>
          </w:tcPr>
          <w:p>
            <w:pPr>
              <w:pStyle w:val="TableContents"/>
              <w:bidi w:val="0"/>
              <w:spacing w:before="0" w:after="283"/>
              <w:jc w:val="center"/>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415" w:type="dxa"/>
            <w:tcBorders/>
            <w:shd w:fill="FFFFFF" w:val="clear"/>
            <w:tcMar>
              <w:bottom w:w="0" w:type="dxa"/>
            </w:tcMar>
            <w:vAlign w:val="center"/>
          </w:tcPr>
          <w:p>
            <w:pPr>
              <w:pStyle w:val="TableContents"/>
              <w:bidi w:val="0"/>
              <w:spacing w:before="0" w:after="283"/>
              <w:jc w:val="left"/>
              <w:rPr/>
            </w:pPr>
            <w:r>
              <w:rPr/>
              <w:t>$</w:t>
            </w:r>
          </w:p>
        </w:tc>
        <w:tc>
          <w:tcPr>
            <w:tcW w:w="774" w:type="dxa"/>
            <w:tcBorders/>
            <w:shd w:fill="FFFFFF" w:val="clear"/>
            <w:tcMar>
              <w:bottom w:w="0" w:type="dxa"/>
            </w:tcMar>
            <w:vAlign w:val="center"/>
          </w:tcPr>
          <w:p>
            <w:pPr>
              <w:pStyle w:val="TableContents"/>
              <w:bidi w:val="0"/>
              <w:spacing w:before="0" w:after="283"/>
              <w:jc w:val="right"/>
              <w:rPr/>
            </w:pPr>
            <w:r>
              <w:rPr/>
              <w:t>20</w:t>
            </w:r>
          </w:p>
        </w:tc>
        <w:tc>
          <w:tcPr>
            <w:tcW w:w="76" w:type="dxa"/>
            <w:tcBorders/>
            <w:shd w:fill="FFFFFF" w:val="clear"/>
            <w:tcMar>
              <w:bottom w:w="0" w:type="dxa"/>
            </w:tcMar>
            <w:vAlign w:val="center"/>
          </w:tcPr>
          <w:p>
            <w:pPr>
              <w:pStyle w:val="TableContents"/>
              <w:bidi w:val="0"/>
              <w:spacing w:before="0" w:after="283"/>
              <w:jc w:val="left"/>
              <w:rPr/>
            </w:pPr>
            <w:r>
              <w:rPr/>
              <w:t> </w:t>
            </w:r>
          </w:p>
        </w:tc>
        <w:tc>
          <w:tcPr>
            <w:tcW w:w="76" w:type="dxa"/>
            <w:tcBorders/>
            <w:shd w:fill="FFFFFF" w:val="clear"/>
            <w:tcMar>
              <w:bottom w:w="0" w:type="dxa"/>
            </w:tcMar>
            <w:vAlign w:val="center"/>
          </w:tcPr>
          <w:p>
            <w:pPr>
              <w:pStyle w:val="TableContents"/>
              <w:bidi w:val="0"/>
              <w:spacing w:before="0" w:after="283"/>
              <w:jc w:val="left"/>
              <w:rPr/>
            </w:pPr>
            <w:r>
              <w:rPr/>
              <w:t> </w:t>
            </w:r>
          </w:p>
        </w:tc>
        <w:tc>
          <w:tcPr>
            <w:tcW w:w="2460" w:type="dxa"/>
            <w:tcBorders/>
            <w:shd w:fill="FFFFFF" w:val="clear"/>
            <w:tcMar>
              <w:bottom w:w="0" w:type="dxa"/>
            </w:tcMar>
            <w:vAlign w:val="center"/>
          </w:tcPr>
          <w:p>
            <w:pPr>
              <w:pStyle w:val="TableContents"/>
              <w:bidi w:val="0"/>
              <w:spacing w:before="0" w:after="283"/>
              <w:jc w:val="center"/>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the performance condition and market condition under ASC 718-10-20. The Option Grants are considered an award containing a performance and a market condition and both conditions (in this case at least one of the performance conditions) must be satisfied for the award to vest. The market condition is incorporated into the fair value of the award, and that fair value is recognized over the longer of the implied service period or requisite service period if it is probable that one of the performance conditions will be met. In relation to the five awards deemed probable to vest, the recognition period ranges from 2.93 years to 9.64 years. If the performance condition is ultimately not met, compensation cost related to the award should not be recognized (or should be reversed to the extent any expense has been recognized related to such tranche) because the vesting condition in the award would not have been satisfied.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grant date, a Monte Carlo simulation was used to determine for each tranche (i) a fixed amount of expense for such tranche and (ii) the future time when the market capitalization milestone for such tranche was expected to be achieved. Separately, based on a subjective assessment of our future financial performance, each quarter we determine whether it is probable that we will achieve each operational milestone that has not previously been achieved or deemed probable of achievement and if so, the future time when we expect to achieve that operational milestone. The Monte Carlo simulation utilized the following inputs:</w:t>
      </w:r>
    </w:p>
    <w:p>
      <w:pPr>
        <w:pStyle w:val="TextBody"/>
        <w:bidi w:val="0"/>
        <w:spacing w:before="0" w:after="0"/>
        <w:ind w:left="0" w:right="0" w:hanging="0"/>
        <w:jc w:val="both"/>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75"/>
        <w:gridCol w:w="95"/>
        <w:gridCol w:w="279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Stock Price - $</w:t>
            </w:r>
            <w:bookmarkStart w:id="861" w:name="xdx_90E_eus-gaap--SharePrice_c20220512_p"/>
            <w:bookmarkEnd w:id="861"/>
            <w:r>
              <w:rPr>
                <w:rFonts w:ascii="Times New Roman;Times;Serif" w:hAnsi="Times New Roman;Times;Serif"/>
                <w:sz w:val="20"/>
              </w:rPr>
              <w:t xml:space="preserve">1.12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Volatility – </w:t>
            </w:r>
            <w:bookmarkStart w:id="862" w:name="xdx_901_eus-gaap--ShareBasedCompensation"/>
            <w:bookmarkEnd w:id="862"/>
            <w:r>
              <w:rPr>
                <w:rFonts w:ascii="Times New Roman;Times;Serif" w:hAnsi="Times New Roman;Times;Serif"/>
                <w:sz w:val="20"/>
              </w:rPr>
              <w:t xml:space="preserve">95.65%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Term –</w:t>
            </w:r>
            <w:bookmarkStart w:id="863" w:name="xdx_90B_eus-gaap--SharebasedCompensation"/>
            <w:bookmarkEnd w:id="863"/>
            <w:r>
              <w:rPr>
                <w:rFonts w:ascii="Times New Roman;Times;Serif" w:hAnsi="Times New Roman;Times;Serif"/>
                <w:sz w:val="20"/>
              </w:rPr>
              <w:t>10 years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Risk Free Rate of Return – </w:t>
            </w:r>
            <w:bookmarkStart w:id="864" w:name="xdx_905_eus-gaap--ShareBasedCompensation"/>
            <w:bookmarkEnd w:id="864"/>
            <w:r>
              <w:rPr>
                <w:rFonts w:ascii="Times New Roman;Times;Serif" w:hAnsi="Times New Roman;Times;Serif"/>
                <w:sz w:val="20"/>
              </w:rPr>
              <w:t xml:space="preserve">2.93%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Dividend Yield – </w:t>
            </w:r>
            <w:bookmarkStart w:id="865" w:name="xdx_905_eus-gaap--ShareBasedCompensation"/>
            <w:bookmarkEnd w:id="865"/>
            <w:r>
              <w:rPr>
                <w:rFonts w:ascii="Times New Roman;Times;Serif" w:hAnsi="Times New Roman;Times;Serif"/>
                <w:sz w:val="20"/>
              </w:rPr>
              <w:t>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866" w:name="xdx_23B_zIiJMVjei6z8"/>
      <w:bookmarkEnd w:id="866"/>
      <w:r>
        <w:rPr>
          <w:caps w:val="false"/>
          <w:smallCaps w:val="false"/>
        </w:rPr>
        <w:t> </w:t>
      </w:r>
    </w:p>
    <w:p>
      <w:pPr>
        <w:pStyle w:val="TextBody"/>
        <w:bidi w:val="0"/>
        <w:spacing w:before="0" w:after="0"/>
        <w:ind w:left="0" w:right="0" w:hanging="0"/>
        <w:jc w:val="both"/>
        <w:rPr>
          <w:caps w:val="false"/>
          <w:smallCaps w:val="false"/>
        </w:rPr>
      </w:pPr>
      <w:bookmarkStart w:id="867" w:name="xdx_234_zHorWO78rGRi"/>
      <w:bookmarkEnd w:id="867"/>
      <w:r>
        <w:rPr>
          <w:caps w:val="false"/>
          <w:smallCaps w:val="false"/>
        </w:rPr>
        <w:t> </w:t>
      </w:r>
    </w:p>
    <w:p>
      <w:pPr>
        <w:pStyle w:val="Normal"/>
        <w:bidi w:val="0"/>
        <w:spacing w:before="0" w:after="0"/>
        <w:ind w:left="0" w:right="0" w:hanging="0"/>
        <w:jc w:val="left"/>
        <w:rPr>
          <w:sz w:val="4"/>
          <w:szCs w:val="4"/>
        </w:rPr>
      </w:pPr>
      <w:r>
        <w:rPr>
          <w:sz w:val="4"/>
          <w:szCs w:val="4"/>
        </w:rPr>
      </w:r>
      <w:bookmarkStart w:id="868" w:name="xdx_236_zUGsE53Pq7sk"/>
      <w:bookmarkStart w:id="869" w:name="xdx_234_z6blLEGTCp3g"/>
      <w:bookmarkStart w:id="870" w:name="xdx_236_zUGsE53Pq7sk"/>
      <w:bookmarkStart w:id="871" w:name="xdx_234_z6blLEGTCp3g"/>
      <w:bookmarkEnd w:id="870"/>
      <w:bookmarkEnd w:id="871"/>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bookmarkStart w:id="872" w:name="xdx_237_ztm7EOOtmWRa"/>
            <w:bookmarkEnd w:id="872"/>
          </w:p>
        </w:tc>
        <w:tc>
          <w:tcPr>
            <w:tcW w:w="75" w:type="dxa"/>
            <w:tcBorders/>
            <w:vAlign w:val="center"/>
          </w:tcPr>
          <w:p>
            <w:pPr>
              <w:pStyle w:val="TableContents"/>
              <w:bidi w:val="0"/>
              <w:spacing w:before="0" w:after="283"/>
              <w:jc w:val="right"/>
              <w:rPr/>
            </w:pPr>
            <w:r>
              <w:rPr/>
              <w:t>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bookmarkStart w:id="873" w:name="xdx_234_zo5vbqYSm66f"/>
      <w:bookmarkEnd w:id="873"/>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874" w:name="xdx_23E_zyh4FLRqZINa"/>
      <w:bookmarkEnd w:id="87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total fair value of the Option Grants was $3.2 million of which, at June 30, 2022, $2.3 million is deemed probable of vesting. As of March 31, 2023, </w:t>
      </w:r>
      <w:bookmarkStart w:id="875" w:name="xdx_90D_eus-gaap--ShareBasedCompensation"/>
      <w:bookmarkEnd w:id="875"/>
      <w:r>
        <w:rPr>
          <w:rFonts w:ascii="Times New Roman;Times;Serif" w:hAnsi="Times New Roman;Times;Serif"/>
          <w:b w:val="false"/>
          <w:i w:val="false"/>
          <w:caps w:val="false"/>
          <w:smallCaps w:val="false"/>
          <w:sz w:val="20"/>
        </w:rPr>
        <w:t>none of the options had vested. For the three and nine months ended March 31, 2023, the Company recorded $</w:t>
      </w:r>
      <w:bookmarkStart w:id="876" w:name="xdx_908_eus-gaap--ShareBasedCompensation"/>
      <w:bookmarkEnd w:id="876"/>
      <w:r>
        <w:rPr>
          <w:rFonts w:ascii="Times New Roman;Times;Serif" w:hAnsi="Times New Roman;Times;Serif"/>
          <w:b w:val="false"/>
          <w:i w:val="false"/>
          <w:caps w:val="false"/>
          <w:smallCaps w:val="false"/>
          <w:sz w:val="20"/>
        </w:rPr>
        <w:t>110,382 and $</w:t>
      </w:r>
      <w:bookmarkStart w:id="877" w:name="xdx_904_eus-gaap--ShareBasedCompensation"/>
      <w:bookmarkEnd w:id="877"/>
      <w:r>
        <w:rPr>
          <w:rFonts w:ascii="Times New Roman;Times;Serif" w:hAnsi="Times New Roman;Times;Serif"/>
          <w:b w:val="false"/>
          <w:i w:val="false"/>
          <w:caps w:val="false"/>
          <w:smallCaps w:val="false"/>
          <w:sz w:val="20"/>
        </w:rPr>
        <w:t xml:space="preserve">331,146 of stock-based compensation expense related to the Option Grants. For the three and nine months ended March 31, 2022, the Company did </w:t>
      </w:r>
      <w:bookmarkStart w:id="878" w:name="xdx_909_eus-gaap--ShareBasedCompensation"/>
      <w:bookmarkEnd w:id="878"/>
      <w:r>
        <w:rPr>
          <w:rFonts w:ascii="Times New Roman;Times;Serif" w:hAnsi="Times New Roman;Times;Serif"/>
          <w:b w:val="false"/>
          <w:i w:val="false"/>
          <w:caps w:val="false"/>
          <w:smallCaps w:val="false"/>
          <w:sz w:val="20"/>
        </w:rPr>
        <w:t>not record any stock-based compensation expense related to the Option Grants. Unrecognized compensation cost related to tranches probable of vesting is approximately $1.9 million and will be recognized over 2.25 years to 9.25 years, depending on the tranche.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79" w:name="xdx_804_ecustom--WarrantLiabilitiesTextB"/>
      <w:bookmarkEnd w:id="879"/>
      <w:r>
        <w:rPr>
          <w:rFonts w:ascii="Times New Roman;Times;Serif" w:hAnsi="Times New Roman;Times;Serif"/>
          <w:b/>
          <w:i w:val="false"/>
          <w:caps w:val="false"/>
          <w:smallCaps w:val="false"/>
          <w:sz w:val="20"/>
        </w:rPr>
        <w:t xml:space="preserve">Note 17 – </w:t>
      </w:r>
      <w:bookmarkStart w:id="880" w:name="xdx_82B_zWqLv8sQps56"/>
      <w:bookmarkEnd w:id="880"/>
      <w:r>
        <w:rPr>
          <w:rFonts w:ascii="Times New Roman;Times;Serif" w:hAnsi="Times New Roman;Times;Serif"/>
          <w:b/>
          <w:i w:val="false"/>
          <w:caps w:val="false"/>
          <w:smallCaps w:val="false"/>
          <w:sz w:val="20"/>
        </w:rPr>
        <w:t>Warrant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2021, the Company completed a private placement offering pursuant to which the Company sold to two accredited investors an aggregate of $</w:t>
      </w:r>
      <w:bookmarkStart w:id="881" w:name="xdx_901_eus-gaap--ProceedsFromIssuanceOr"/>
      <w:bookmarkEnd w:id="881"/>
      <w:r>
        <w:rPr>
          <w:rFonts w:ascii="Times New Roman;Times;Serif" w:hAnsi="Times New Roman;Times;Serif"/>
          <w:b w:val="false"/>
          <w:i w:val="false"/>
          <w:caps w:val="false"/>
          <w:smallCaps w:val="false"/>
          <w:sz w:val="20"/>
        </w:rPr>
        <w:t>3,000,000 in Convertible Notes and warrants to purchase shares of Class A Common Stock equaling 80% of the number of shares of Class A Common Stock issuable upon conversion of the Convertible Notes. The convertible note warrants shall be exercisable for a period of three years from the IPO completion date at a per share exercise price equal to the IPO. In accordance with the terms of the warrants, in the event the Convertible Notes are repaid in cash by the Company, the warrants issued in conjunction with the Convertible Notes will expire and have no further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outstanding warrants held by the Convertible Note investors were reclassed to additional paid in capital as the terms became fixed upon closing of the IPO. Through March 31, 2023, none of the private placement investors exercised any of their warrants. As such, as of March 31, 2023 and June 30, 2022, the number of shares issuable under the outstanding warrants was </w:t>
      </w:r>
      <w:bookmarkStart w:id="882" w:name="xdx_90A_eus-gaap--ClassOfWarrantOrRightN"/>
      <w:bookmarkEnd w:id="882"/>
      <w:r>
        <w:rPr>
          <w:rFonts w:ascii="Times New Roman;Times;Serif" w:hAnsi="Times New Roman;Times;Serif"/>
          <w:b w:val="false"/>
          <w:i w:val="false"/>
          <w:caps w:val="false"/>
          <w:smallCaps w:val="false"/>
          <w:sz w:val="20"/>
        </w:rPr>
        <w:t>685,715, with an average exercise price of $</w:t>
      </w:r>
      <w:bookmarkStart w:id="883" w:name="xdx_902_eus-gaap--ClassOfWarrantOrRightE"/>
      <w:bookmarkEnd w:id="883"/>
      <w:r>
        <w:rPr>
          <w:rFonts w:ascii="Times New Roman;Times;Serif" w:hAnsi="Times New Roman;Times;Serif"/>
          <w:b w:val="false"/>
          <w:i w:val="false"/>
          <w:caps w:val="false"/>
          <w:smallCaps w:val="false"/>
          <w:sz w:val="20"/>
        </w:rPr>
        <w:t>5.00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884" w:name="xdx_80E_eus-gaap--ConcentrationRiskDiscl"/>
      <w:bookmarkEnd w:id="884"/>
      <w:r>
        <w:rPr>
          <w:rFonts w:ascii="Times New Roman;Times;Serif" w:hAnsi="Times New Roman;Times;Serif"/>
          <w:b/>
          <w:i w:val="false"/>
          <w:caps w:val="false"/>
          <w:smallCaps w:val="false"/>
          <w:sz w:val="20"/>
        </w:rPr>
        <w:t>Note 18 -</w:t>
      </w:r>
      <w:bookmarkStart w:id="885" w:name="xdx_824_zvenGK1LDKp2"/>
      <w:bookmarkEnd w:id="885"/>
      <w:r>
        <w:rPr>
          <w:rFonts w:ascii="Times New Roman;Times;Serif" w:hAnsi="Times New Roman;Times;Serif"/>
          <w:b/>
          <w:i w:val="false"/>
          <w:caps w:val="false"/>
          <w:smallCaps w:val="false"/>
          <w:sz w:val="20"/>
        </w:rPr>
        <w:t xml:space="preserve"> Concentration of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Credit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that potentially subject the Company to significant concentrations of credit risk consist primarily of cash and cash equivalents and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June 30, 2022, $</w:t>
      </w:r>
      <w:bookmarkStart w:id="886" w:name="xdx_905_eus-gaap--CashAndCashEquivalents"/>
      <w:bookmarkEnd w:id="886"/>
      <w:r>
        <w:rPr>
          <w:rFonts w:ascii="Times New Roman;Times;Serif" w:hAnsi="Times New Roman;Times;Serif"/>
          <w:b w:val="false"/>
          <w:i w:val="false"/>
          <w:caps w:val="false"/>
          <w:smallCaps w:val="false"/>
          <w:sz w:val="20"/>
        </w:rPr>
        <w:t>1,419,495 and $</w:t>
      </w:r>
      <w:bookmarkStart w:id="887" w:name="xdx_904_eus-gaap--CashAndCashEquivalents"/>
      <w:bookmarkEnd w:id="887"/>
      <w:r>
        <w:rPr>
          <w:rFonts w:ascii="Times New Roman;Times;Serif" w:hAnsi="Times New Roman;Times;Serif"/>
          <w:b w:val="false"/>
          <w:i w:val="false"/>
          <w:caps w:val="false"/>
          <w:smallCaps w:val="false"/>
          <w:sz w:val="20"/>
        </w:rPr>
        <w:t>1,821,947, respectively, were deposited with various major financial institutions in the United States and PRC. Accounts at each institution in the United States are insured by the Federal Deposit Insurance Corporation (FDIC) for up to $250,000. The Company had approximately $</w:t>
      </w:r>
      <w:bookmarkStart w:id="888" w:name="xdx_906_eus-gaap--CashUninsuredAmount_iI"/>
      <w:bookmarkEnd w:id="888"/>
      <w:r>
        <w:rPr>
          <w:rFonts w:ascii="Times New Roman;Times;Serif" w:hAnsi="Times New Roman;Times;Serif"/>
          <w:b w:val="false"/>
          <w:i w:val="false"/>
          <w:caps w:val="false"/>
          <w:smallCaps w:val="false"/>
          <w:sz w:val="20"/>
        </w:rPr>
        <w:t>0.4 million and $</w:t>
      </w:r>
      <w:bookmarkStart w:id="889" w:name="xdx_90C_eus-gaap--CashUninsuredAmount_iI"/>
      <w:bookmarkEnd w:id="889"/>
      <w:r>
        <w:rPr>
          <w:rFonts w:ascii="Times New Roman;Times;Serif" w:hAnsi="Times New Roman;Times;Serif"/>
          <w:b w:val="false"/>
          <w:i w:val="false"/>
          <w:caps w:val="false"/>
          <w:smallCaps w:val="false"/>
          <w:sz w:val="20"/>
        </w:rPr>
        <w:t>0.5 million, respectively, in excess of the FDIC insurance limit, as of March 31, 2023 and June 30,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of DHS, the Company’s VIE, may be impacted by Chinese economic conditions, changes in regulations and laws, and other uncertainties.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Customer and vendor concentration risk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nine months ended March 31, 2023 and 2022, Amazon Vendor and Amazon Seller customers accounted for </w:t>
      </w:r>
      <w:bookmarkStart w:id="890" w:name="xdx_909_eus-gaap--ConcentrationRiskPerce"/>
      <w:bookmarkEnd w:id="890"/>
      <w:r>
        <w:rPr>
          <w:rFonts w:ascii="Times New Roman;Times;Serif" w:hAnsi="Times New Roman;Times;Serif"/>
          <w:b w:val="false"/>
          <w:i w:val="false"/>
          <w:caps w:val="false"/>
          <w:smallCaps w:val="false"/>
          <w:sz w:val="20"/>
        </w:rPr>
        <w:t xml:space="preserve">91% and </w:t>
      </w:r>
      <w:bookmarkStart w:id="891" w:name="xdx_90D_eus-gaap--ConcentrationRiskPerce"/>
      <w:bookmarkEnd w:id="891"/>
      <w:r>
        <w:rPr>
          <w:rFonts w:ascii="Times New Roman;Times;Serif" w:hAnsi="Times New Roman;Times;Serif"/>
          <w:b w:val="false"/>
          <w:i w:val="false"/>
          <w:caps w:val="false"/>
          <w:smallCaps w:val="false"/>
          <w:sz w:val="20"/>
        </w:rPr>
        <w:t xml:space="preserve">89% of the Company's total revenues, respectively. As of March 31, 2023 and June 30, 2022, accounts receivable from Amazon Vendor and Amazon Seller accounted for </w:t>
      </w:r>
      <w:bookmarkStart w:id="892" w:name="xdx_904_eus-gaap--ConcentrationRiskPerce"/>
      <w:bookmarkEnd w:id="892"/>
      <w:r>
        <w:rPr>
          <w:rFonts w:ascii="Times New Roman;Times;Serif" w:hAnsi="Times New Roman;Times;Serif"/>
          <w:b w:val="false"/>
          <w:i w:val="false"/>
          <w:caps w:val="false"/>
          <w:smallCaps w:val="false"/>
          <w:sz w:val="20"/>
        </w:rPr>
        <w:t xml:space="preserve">94% and </w:t>
      </w:r>
      <w:bookmarkStart w:id="893" w:name="xdx_904_eus-gaap--ConcentrationRiskPerce"/>
      <w:bookmarkEnd w:id="893"/>
      <w:r>
        <w:rPr>
          <w:rFonts w:ascii="Times New Roman;Times;Serif" w:hAnsi="Times New Roman;Times;Serif"/>
          <w:b w:val="false"/>
          <w:i w:val="false"/>
          <w:caps w:val="false"/>
          <w:smallCaps w:val="false"/>
          <w:sz w:val="20"/>
        </w:rPr>
        <w:t>94% of the Company’s total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nine months ended March 31, 2023 and 2022, two suppliers accounted for </w:t>
      </w:r>
      <w:bookmarkStart w:id="894" w:name="xdx_906_eus-gaap--ConcentrationRiskPerce"/>
      <w:bookmarkEnd w:id="894"/>
      <w:r>
        <w:rPr>
          <w:rFonts w:ascii="Times New Roman;Times;Serif" w:hAnsi="Times New Roman;Times;Serif"/>
          <w:b w:val="false"/>
          <w:i w:val="false"/>
          <w:caps w:val="false"/>
          <w:smallCaps w:val="false"/>
          <w:sz w:val="20"/>
        </w:rPr>
        <w:t>39% (</w:t>
      </w:r>
      <w:bookmarkStart w:id="895" w:name="xdx_90B_eus-gaap--ConcentrationRiskPerce"/>
      <w:bookmarkEnd w:id="895"/>
      <w:r>
        <w:rPr>
          <w:rFonts w:ascii="Times New Roman;Times;Serif" w:hAnsi="Times New Roman;Times;Serif"/>
          <w:b w:val="false"/>
          <w:i w:val="false"/>
          <w:caps w:val="false"/>
          <w:smallCaps w:val="false"/>
          <w:sz w:val="20"/>
        </w:rPr>
        <w:t xml:space="preserve">28% and </w:t>
      </w:r>
      <w:bookmarkStart w:id="896" w:name="xdx_901_eus-gaap--ConcentrationRiskPerce"/>
      <w:bookmarkEnd w:id="896"/>
      <w:r>
        <w:rPr>
          <w:rFonts w:ascii="Times New Roman;Times;Serif" w:hAnsi="Times New Roman;Times;Serif"/>
          <w:b w:val="false"/>
          <w:i w:val="false"/>
          <w:caps w:val="false"/>
          <w:smallCaps w:val="false"/>
          <w:sz w:val="20"/>
        </w:rPr>
        <w:t xml:space="preserve">11%) and </w:t>
      </w:r>
      <w:bookmarkStart w:id="897" w:name="xdx_907_eus-gaap--ConcentrationRiskPerce"/>
      <w:bookmarkEnd w:id="897"/>
      <w:r>
        <w:rPr>
          <w:rFonts w:ascii="Times New Roman;Times;Serif" w:hAnsi="Times New Roman;Times;Serif"/>
          <w:b w:val="false"/>
          <w:i w:val="false"/>
          <w:caps w:val="false"/>
          <w:smallCaps w:val="false"/>
          <w:sz w:val="20"/>
        </w:rPr>
        <w:t>27% (</w:t>
      </w:r>
      <w:bookmarkStart w:id="898" w:name="xdx_902_eus-gaap--ConcentrationRiskPerce"/>
      <w:bookmarkEnd w:id="898"/>
      <w:r>
        <w:rPr>
          <w:rFonts w:ascii="Times New Roman;Times;Serif" w:hAnsi="Times New Roman;Times;Serif"/>
          <w:b w:val="false"/>
          <w:i w:val="false"/>
          <w:caps w:val="false"/>
          <w:smallCaps w:val="false"/>
          <w:sz w:val="20"/>
        </w:rPr>
        <w:t xml:space="preserve">17% and </w:t>
      </w:r>
      <w:bookmarkStart w:id="899" w:name="xdx_90E_eus-gaap--ConcentrationRiskPerce"/>
      <w:bookmarkEnd w:id="899"/>
      <w:r>
        <w:rPr>
          <w:rFonts w:ascii="Times New Roman;Times;Serif" w:hAnsi="Times New Roman;Times;Serif"/>
          <w:b w:val="false"/>
          <w:i w:val="false"/>
          <w:caps w:val="false"/>
          <w:smallCaps w:val="false"/>
          <w:sz w:val="20"/>
        </w:rPr>
        <w:t xml:space="preserve">11%) of the Company's total purchases, respectively. As of March 31, 2023, accounts payable to two suppliers accounted for </w:t>
      </w:r>
      <w:bookmarkStart w:id="900" w:name="xdx_902_eus-gaap--ConcentrationRiskPerce"/>
      <w:bookmarkEnd w:id="900"/>
      <w:r>
        <w:rPr>
          <w:rFonts w:ascii="Times New Roman;Times;Serif" w:hAnsi="Times New Roman;Times;Serif"/>
          <w:b w:val="false"/>
          <w:i w:val="false"/>
          <w:caps w:val="false"/>
          <w:smallCaps w:val="false"/>
          <w:sz w:val="20"/>
        </w:rPr>
        <w:t>59% (</w:t>
      </w:r>
      <w:bookmarkStart w:id="901" w:name="xdx_901_eus-gaap--ConcentrationRiskPerce"/>
      <w:bookmarkEnd w:id="901"/>
      <w:r>
        <w:rPr>
          <w:rFonts w:ascii="Times New Roman;Times;Serif" w:hAnsi="Times New Roman;Times;Serif"/>
          <w:b w:val="false"/>
          <w:i w:val="false"/>
          <w:caps w:val="false"/>
          <w:smallCaps w:val="false"/>
          <w:sz w:val="20"/>
        </w:rPr>
        <w:t xml:space="preserve">53% and </w:t>
      </w:r>
      <w:bookmarkStart w:id="902" w:name="xdx_905_eus-gaap--ConcentrationRiskPerce"/>
      <w:bookmarkEnd w:id="902"/>
      <w:r>
        <w:rPr>
          <w:rFonts w:ascii="Times New Roman;Times;Serif" w:hAnsi="Times New Roman;Times;Serif"/>
          <w:b w:val="false"/>
          <w:i w:val="false"/>
          <w:caps w:val="false"/>
          <w:smallCaps w:val="false"/>
          <w:sz w:val="20"/>
        </w:rPr>
        <w:t xml:space="preserve">6%) of the Company’s total accounts payable. As of June 30, 2022, accounts payable to two suppliers accounted for </w:t>
      </w:r>
      <w:bookmarkStart w:id="903" w:name="xdx_908_eus-gaap--ConcentrationRiskPerce"/>
      <w:bookmarkEnd w:id="903"/>
      <w:r>
        <w:rPr>
          <w:rFonts w:ascii="Times New Roman;Times;Serif" w:hAnsi="Times New Roman;Times;Serif"/>
          <w:b w:val="false"/>
          <w:i w:val="false"/>
          <w:caps w:val="false"/>
          <w:smallCaps w:val="false"/>
          <w:sz w:val="20"/>
        </w:rPr>
        <w:t>44% (</w:t>
      </w:r>
      <w:bookmarkStart w:id="904" w:name="xdx_90C_eus-gaap--ConcentrationRiskPerce"/>
      <w:bookmarkEnd w:id="904"/>
      <w:r>
        <w:rPr>
          <w:rFonts w:ascii="Times New Roman;Times;Serif" w:hAnsi="Times New Roman;Times;Serif"/>
          <w:b w:val="false"/>
          <w:i w:val="false"/>
          <w:caps w:val="false"/>
          <w:smallCaps w:val="false"/>
          <w:sz w:val="20"/>
        </w:rPr>
        <w:t xml:space="preserve">34% and </w:t>
      </w:r>
      <w:bookmarkStart w:id="905" w:name="xdx_90D_eus-gaap--ConcentrationRiskPerce"/>
      <w:bookmarkEnd w:id="905"/>
      <w:r>
        <w:rPr>
          <w:rFonts w:ascii="Times New Roman;Times;Serif" w:hAnsi="Times New Roman;Times;Serif"/>
          <w:b w:val="false"/>
          <w:i w:val="false"/>
          <w:caps w:val="false"/>
          <w:smallCaps w:val="false"/>
          <w:sz w:val="20"/>
        </w:rPr>
        <w:t>10%) of the Company’s total accounts payable.</w:t>
      </w:r>
    </w:p>
    <w:p>
      <w:pPr>
        <w:pStyle w:val="TextBody"/>
        <w:bidi w:val="0"/>
        <w:spacing w:before="0" w:after="0"/>
        <w:ind w:left="0" w:right="0" w:hanging="0"/>
        <w:jc w:val="both"/>
        <w:rPr>
          <w:caps w:val="false"/>
          <w:smallCaps w:val="false"/>
        </w:rPr>
      </w:pPr>
      <w:bookmarkStart w:id="906" w:name="xdx_235_z5BRwfm0i0Ob"/>
      <w:bookmarkEnd w:id="906"/>
      <w:r>
        <w:rPr>
          <w:caps w:val="false"/>
          <w:smallCaps w:val="false"/>
        </w:rPr>
        <w:t> </w:t>
      </w:r>
    </w:p>
    <w:p>
      <w:pPr>
        <w:pStyle w:val="TextBody"/>
        <w:bidi w:val="0"/>
        <w:spacing w:before="0" w:after="0"/>
        <w:ind w:left="0" w:right="0" w:hanging="0"/>
        <w:jc w:val="both"/>
        <w:rPr>
          <w:caps w:val="false"/>
          <w:smallCaps w:val="false"/>
        </w:rPr>
      </w:pPr>
      <w:bookmarkStart w:id="907" w:name="xdx_23A_zQC6GlKYZa4c"/>
      <w:bookmarkEnd w:id="907"/>
      <w:r>
        <w:rPr>
          <w:caps w:val="false"/>
          <w:smallCaps w:val="false"/>
        </w:rPr>
        <w:t> </w:t>
      </w:r>
    </w:p>
    <w:p>
      <w:pPr>
        <w:pStyle w:val="TextBody"/>
        <w:bidi w:val="0"/>
        <w:spacing w:before="0" w:after="0"/>
        <w:ind w:left="0" w:right="0" w:hanging="0"/>
        <w:jc w:val="both"/>
        <w:rPr>
          <w:caps w:val="false"/>
          <w:smallCaps w:val="false"/>
        </w:rPr>
      </w:pPr>
      <w:bookmarkStart w:id="908" w:name="xdx_234_zBbfiIc0XcT6"/>
      <w:bookmarkEnd w:id="908"/>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09" w:name="xdx_805_eus-gaap--CommitmentsAndContinge"/>
      <w:bookmarkEnd w:id="909"/>
      <w:r>
        <w:rPr>
          <w:rFonts w:ascii="Times New Roman;Times;Serif" w:hAnsi="Times New Roman;Times;Serif"/>
          <w:b/>
          <w:i w:val="false"/>
          <w:caps w:val="false"/>
          <w:smallCaps w:val="false"/>
          <w:sz w:val="20"/>
        </w:rPr>
        <w:t xml:space="preserve">Note 19 - </w:t>
      </w:r>
      <w:bookmarkStart w:id="910" w:name="xdx_82A_z5BHWTJrIEAh"/>
      <w:bookmarkEnd w:id="910"/>
      <w:r>
        <w:rPr>
          <w:rFonts w:ascii="Times New Roman;Times;Serif" w:hAnsi="Times New Roman;Times;Serif"/>
          <w:b/>
          <w:i w:val="false"/>
          <w:caps w:val="false"/>
          <w:smallCaps w:val="false"/>
          <w:sz w:val="20"/>
        </w:rPr>
        <w:t>Commitments and 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Lease commitments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a lease agreement to rent office and warehouse space with a lease period from December 1, 2018 until December 31, 2020. On August 24, 2020, the Company negotiated for new terms to extend the lease through December 21, 2023 at the rate of approximately $42,000 per month.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2020, in addition to the primary fulfillment center, the Company leased a second fulfillment center in City of Industry, California. The base rental fee ranges from $27,921 to $29,910 per month through October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upon completion of the acquisition of Anivia Limited, the Company assumed an operating lease for offices located in the People’s Republic of China.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was for 62 months, commencing on the date on which the Landlord completes certain prescribed improvements on the property (the “Rent Commencement Date”). The Lease Agreement does not provide for an option to renew.</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Company will be responsible for its pro rata share of certain costs, including utility costs, insurance and common area costs, as further detailed in the Lease Agreement. Following the Rent Commencement Date, the first two months of the Base Rent were to be abated.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lease was not started under the original Lease Agreement as completion of the construction was not timely completed. On February 23, 2022, as a result of the delay in completion of the construction, the Company entered into an amended agreement to extend the lease term to 74 months. The lease commencement date is February 10, 2022, with rent payments commencing May 11, 2022 and the lease expiring on May 31, 2028. The base rental fee ranges from $114,249 to $140,079 per month through the expiration date of May 31, 2028.</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1, 2022, the Company leased another fulfillment center in Duarte, California. The base rental fee ranges from $56,000 to $59,410 per month through April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commitment for the full term of these leases is $</w:t>
      </w:r>
      <w:bookmarkStart w:id="911" w:name="xdx_90A_eus-gaap--ContractualObligation_"/>
      <w:bookmarkEnd w:id="911"/>
      <w:r>
        <w:rPr>
          <w:rFonts w:ascii="Times New Roman;Times;Serif" w:hAnsi="Times New Roman;Times;Serif"/>
          <w:b w:val="false"/>
          <w:i w:val="false"/>
          <w:caps w:val="false"/>
          <w:smallCaps w:val="false"/>
          <w:sz w:val="20"/>
        </w:rPr>
        <w:t>12,440,869. The financial statements reflected $</w:t>
      </w:r>
      <w:bookmarkStart w:id="912" w:name="xdx_90C_eus-gaap--OperatingLeaseRightOfU"/>
      <w:bookmarkEnd w:id="912"/>
      <w:r>
        <w:rPr>
          <w:rFonts w:ascii="Times New Roman;Times;Serif" w:hAnsi="Times New Roman;Times;Serif"/>
          <w:b w:val="false"/>
          <w:i w:val="false"/>
          <w:caps w:val="false"/>
          <w:smallCaps w:val="false"/>
          <w:sz w:val="20"/>
        </w:rPr>
        <w:t>8,504,929 and $</w:t>
      </w:r>
      <w:bookmarkStart w:id="913" w:name="xdx_90D_eus-gaap--OperatingLeaseRightOfU"/>
      <w:bookmarkEnd w:id="913"/>
      <w:r>
        <w:rPr>
          <w:rFonts w:ascii="Times New Roman;Times;Serif" w:hAnsi="Times New Roman;Times;Serif"/>
          <w:b w:val="false"/>
          <w:i w:val="false"/>
          <w:caps w:val="false"/>
          <w:smallCaps w:val="false"/>
          <w:sz w:val="20"/>
        </w:rPr>
        <w:t>10,453,282, respectively, of operating lease right-of-use assets, and $</w:t>
      </w:r>
      <w:bookmarkStart w:id="914" w:name="xdx_906_eus-gaap--OperatingLeaseLiabilit"/>
      <w:bookmarkEnd w:id="914"/>
      <w:r>
        <w:rPr>
          <w:rFonts w:ascii="Times New Roman;Times;Serif" w:hAnsi="Times New Roman;Times;Serif"/>
          <w:b w:val="false"/>
          <w:i w:val="false"/>
          <w:caps w:val="false"/>
          <w:smallCaps w:val="false"/>
          <w:sz w:val="20"/>
        </w:rPr>
        <w:t>8,927,949 and $</w:t>
      </w:r>
      <w:bookmarkStart w:id="915" w:name="xdx_901_eus-gaap--OperatingLeaseLiabilit"/>
      <w:bookmarkEnd w:id="915"/>
      <w:r>
        <w:rPr>
          <w:rFonts w:ascii="Times New Roman;Times;Serif" w:hAnsi="Times New Roman;Times;Serif"/>
          <w:b w:val="false"/>
          <w:i w:val="false"/>
          <w:caps w:val="false"/>
          <w:smallCaps w:val="false"/>
          <w:sz w:val="20"/>
        </w:rPr>
        <w:t>10,848,544, respectively, of operating lease liabilities as of March 31, 2023 and June 30,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Three Months Ended March 31, 2023 and 2022: </w:t>
      </w:r>
    </w:p>
    <w:p>
      <w:pPr>
        <w:pStyle w:val="Normal"/>
        <w:bidi w:val="0"/>
        <w:spacing w:before="0" w:after="0"/>
        <w:jc w:val="left"/>
        <w:rPr>
          <w:sz w:val="4"/>
          <w:szCs w:val="4"/>
        </w:rPr>
      </w:pPr>
      <w:r>
        <w:rPr>
          <w:sz w:val="4"/>
          <w:szCs w:val="4"/>
        </w:rPr>
      </w:r>
      <w:bookmarkStart w:id="916" w:name="xdx_899_eus-gaap--LeaseCostTableTextBloc"/>
      <w:bookmarkStart w:id="917" w:name="xdx_899_eus-gaap--LeaseCostTableTextBloc"/>
      <w:bookmarkEnd w:id="917"/>
    </w:p>
    <w:tbl>
      <w:tblPr>
        <w:tblW w:w="10205" w:type="dxa"/>
        <w:jc w:val="left"/>
        <w:tblInd w:w="0" w:type="dxa"/>
        <w:tblLayout w:type="fixed"/>
        <w:tblCellMar>
          <w:top w:w="0" w:type="dxa"/>
          <w:left w:w="0" w:type="dxa"/>
          <w:bottom w:w="0" w:type="dxa"/>
          <w:right w:w="0" w:type="dxa"/>
        </w:tblCellMar>
      </w:tblPr>
      <w:tblGrid>
        <w:gridCol w:w="7847"/>
        <w:gridCol w:w="60"/>
        <w:gridCol w:w="140"/>
        <w:gridCol w:w="911"/>
        <w:gridCol w:w="60"/>
        <w:gridCol w:w="60"/>
        <w:gridCol w:w="140"/>
        <w:gridCol w:w="911"/>
        <w:gridCol w:w="76"/>
      </w:tblGrid>
      <w:tr>
        <w:trPr/>
        <w:tc>
          <w:tcPr>
            <w:tcW w:w="7847" w:type="dxa"/>
            <w:tcBorders/>
            <w:vAlign w:val="center"/>
          </w:tcPr>
          <w:p>
            <w:pPr>
              <w:pStyle w:val="TableContents"/>
              <w:bidi w:val="0"/>
              <w:spacing w:before="0" w:after="283"/>
              <w:ind w:left="0" w:right="0" w:hanging="200"/>
              <w:jc w:val="left"/>
              <w:rPr/>
            </w:pPr>
            <w:bookmarkStart w:id="918" w:name="xdx_8B8_zirQCzaxUH35"/>
            <w:bookmarkEnd w:id="918"/>
            <w:r>
              <w:rPr/>
              <w:t>Schedule of lease cost and other information</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911" w:type="dxa"/>
            <w:tcBorders/>
            <w:vAlign w:val="center"/>
          </w:tcPr>
          <w:p>
            <w:pPr>
              <w:pStyle w:val="TableContents"/>
              <w:bidi w:val="0"/>
              <w:spacing w:before="0" w:after="283"/>
              <w:jc w:val="right"/>
              <w:rPr/>
            </w:pPr>
            <w:r>
              <w:rPr/>
              <w:t> </w:t>
            </w:r>
          </w:p>
        </w:tc>
        <w:tc>
          <w:tcPr>
            <w:tcW w:w="76" w:type="dxa"/>
            <w:tcBorders/>
            <w:vAlign w:val="center"/>
          </w:tcPr>
          <w:p>
            <w:pPr>
              <w:pStyle w:val="TableContents"/>
              <w:bidi w:val="0"/>
              <w:spacing w:before="0" w:after="283"/>
              <w:jc w:val="left"/>
              <w:rPr/>
            </w:pPr>
            <w:r>
              <w:rPr/>
              <w:t> </w:t>
            </w:r>
          </w:p>
        </w:tc>
      </w:tr>
      <w:tr>
        <w:trPr/>
        <w:tc>
          <w:tcPr>
            <w:tcW w:w="78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center"/>
          </w:tcPr>
          <w:p>
            <w:pPr>
              <w:pStyle w:val="TableContents"/>
              <w:bidi w:val="0"/>
              <w:spacing w:before="0" w:after="283"/>
              <w:jc w:val="center"/>
              <w:rPr/>
            </w:pPr>
            <w:r>
              <w:rPr/>
              <w:t>3/31/2023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1" w:type="dxa"/>
            <w:gridSpan w:val="2"/>
            <w:tcBorders>
              <w:bottom w:val="single" w:sz="8" w:space="0" w:color="000000"/>
            </w:tcBorders>
            <w:tcMar>
              <w:bottom w:w="28" w:type="dxa"/>
            </w:tcMar>
            <w:vAlign w:val="center"/>
          </w:tcPr>
          <w:p>
            <w:pPr>
              <w:pStyle w:val="TableContents"/>
              <w:bidi w:val="0"/>
              <w:spacing w:before="0" w:after="283"/>
              <w:jc w:val="center"/>
              <w:rPr/>
            </w:pPr>
            <w:r>
              <w:rPr/>
              <w:t>3/31/2022</w:t>
            </w:r>
          </w:p>
        </w:tc>
        <w:tc>
          <w:tcPr>
            <w:tcW w:w="76" w:type="dxa"/>
            <w:tcBorders/>
            <w:vAlign w:val="center"/>
          </w:tcPr>
          <w:p>
            <w:pPr>
              <w:pStyle w:val="TableContents"/>
              <w:bidi w:val="0"/>
              <w:spacing w:before="0" w:after="283"/>
              <w:ind w:left="0" w:right="0" w:hanging="200"/>
              <w:jc w:val="left"/>
              <w:rPr/>
            </w:pPr>
            <w:r>
              <w:rPr/>
              <w:t> </w:t>
            </w:r>
          </w:p>
        </w:tc>
      </w:tr>
      <w:tr>
        <w:trPr/>
        <w:tc>
          <w:tcPr>
            <w:tcW w:w="7847" w:type="dxa"/>
            <w:tcBorders/>
            <w:shd w:fill="EEEEEE" w:val="clear"/>
            <w:vAlign w:val="center"/>
          </w:tcPr>
          <w:p>
            <w:pPr>
              <w:pStyle w:val="TableContents"/>
              <w:bidi w:val="0"/>
              <w:spacing w:before="0" w:after="283"/>
              <w:jc w:val="left"/>
              <w:rPr>
                <w:u w:val="single"/>
              </w:rPr>
            </w:pPr>
            <w:r>
              <w:rPr>
                <w:u w:val="single"/>
              </w:rPr>
              <w:t>Lease cost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11"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11" w:type="dxa"/>
            <w:tcBorders/>
            <w:shd w:fill="EEEEEE" w:val="clear"/>
            <w:vAlign w:val="center"/>
          </w:tcPr>
          <w:p>
            <w:pPr>
              <w:pStyle w:val="TableContents"/>
              <w:bidi w:val="0"/>
              <w:spacing w:before="0" w:after="283"/>
              <w:jc w:val="right"/>
              <w:rPr/>
            </w:pPr>
            <w:r>
              <w:rPr/>
              <w:t> </w:t>
            </w:r>
          </w:p>
        </w:tc>
        <w:tc>
          <w:tcPr>
            <w:tcW w:w="76" w:type="dxa"/>
            <w:tcBorders/>
            <w:shd w:fill="EEEEEE" w:val="clear"/>
            <w:vAlign w:val="center"/>
          </w:tcPr>
          <w:p>
            <w:pPr>
              <w:pStyle w:val="TableContents"/>
              <w:bidi w:val="0"/>
              <w:spacing w:before="0" w:after="283"/>
              <w:ind w:left="0" w:right="0" w:hanging="200"/>
              <w:jc w:val="left"/>
              <w:rPr/>
            </w:pPr>
            <w:r>
              <w:rPr/>
              <w:t> </w:t>
            </w:r>
          </w:p>
        </w:tc>
      </w:tr>
      <w:tr>
        <w:trPr/>
        <w:tc>
          <w:tcPr>
            <w:tcW w:w="7847" w:type="dxa"/>
            <w:tcBorders/>
            <w:shd w:fill="FFFFFF" w:val="clear"/>
            <w:vAlign w:val="center"/>
          </w:tcPr>
          <w:p>
            <w:pPr>
              <w:pStyle w:val="TableContents"/>
              <w:bidi w:val="0"/>
              <w:spacing w:before="0" w:after="283"/>
              <w:jc w:val="left"/>
              <w:rPr/>
            </w:pPr>
            <w:r>
              <w:rPr/>
              <w:t>Operating lease cost (included in selling and fulfillment in the Company's statement of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919" w:name="xdx_981_eus-gaap--OperatingLeaseCost_c20"/>
            <w:bookmarkEnd w:id="919"/>
          </w:p>
        </w:tc>
        <w:tc>
          <w:tcPr>
            <w:tcW w:w="911" w:type="dxa"/>
            <w:tcBorders/>
            <w:shd w:fill="FFFFFF" w:val="clear"/>
            <w:vAlign w:val="center"/>
          </w:tcPr>
          <w:p>
            <w:pPr>
              <w:pStyle w:val="TableContents"/>
              <w:bidi w:val="0"/>
              <w:spacing w:before="0" w:after="283"/>
              <w:jc w:val="right"/>
              <w:rPr/>
            </w:pPr>
            <w:r>
              <w:rPr/>
              <w:t>776,878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920" w:name="xdx_988_eus-gaap--OperatingLeaseCost_c20"/>
            <w:bookmarkEnd w:id="920"/>
          </w:p>
        </w:tc>
        <w:tc>
          <w:tcPr>
            <w:tcW w:w="911" w:type="dxa"/>
            <w:tcBorders/>
            <w:shd w:fill="FFFFFF" w:val="clear"/>
            <w:vAlign w:val="center"/>
          </w:tcPr>
          <w:p>
            <w:pPr>
              <w:pStyle w:val="TableContents"/>
              <w:bidi w:val="0"/>
              <w:spacing w:before="0" w:after="283"/>
              <w:jc w:val="right"/>
              <w:rPr/>
            </w:pPr>
            <w:r>
              <w:rPr/>
              <w:t>427,692</w:t>
            </w:r>
          </w:p>
        </w:tc>
        <w:tc>
          <w:tcPr>
            <w:tcW w:w="76" w:type="dxa"/>
            <w:tcBorders/>
            <w:shd w:fill="FFFFFF" w:val="clear"/>
            <w:vAlign w:val="center"/>
          </w:tcPr>
          <w:p>
            <w:pPr>
              <w:pStyle w:val="TableContents"/>
              <w:bidi w:val="0"/>
              <w:spacing w:before="0" w:after="283"/>
              <w:jc w:val="left"/>
              <w:rPr/>
            </w:pPr>
            <w:r>
              <w:rPr/>
              <w:t> </w:t>
            </w:r>
          </w:p>
        </w:tc>
      </w:tr>
      <w:tr>
        <w:trPr/>
        <w:tc>
          <w:tcPr>
            <w:tcW w:w="7847"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11"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11" w:type="dxa"/>
            <w:tcBorders/>
            <w:shd w:fill="EEEEEE" w:val="clear"/>
            <w:vAlign w:val="center"/>
          </w:tcPr>
          <w:p>
            <w:pPr>
              <w:pStyle w:val="TableContents"/>
              <w:bidi w:val="0"/>
              <w:spacing w:before="0" w:after="283"/>
              <w:jc w:val="right"/>
              <w:rPr/>
            </w:pPr>
            <w:r>
              <w:rPr/>
              <w:t> </w:t>
            </w:r>
          </w:p>
        </w:tc>
        <w:tc>
          <w:tcPr>
            <w:tcW w:w="76" w:type="dxa"/>
            <w:tcBorders/>
            <w:shd w:fill="EEEEEE" w:val="clear"/>
            <w:vAlign w:val="center"/>
          </w:tcPr>
          <w:p>
            <w:pPr>
              <w:pStyle w:val="TableContents"/>
              <w:bidi w:val="0"/>
              <w:spacing w:before="0" w:after="283"/>
              <w:jc w:val="left"/>
              <w:rPr/>
            </w:pPr>
            <w:r>
              <w:rPr/>
              <w:t> </w:t>
            </w:r>
          </w:p>
        </w:tc>
      </w:tr>
      <w:tr>
        <w:trPr/>
        <w:tc>
          <w:tcPr>
            <w:tcW w:w="7847" w:type="dxa"/>
            <w:tcBorders/>
            <w:shd w:fill="FFFFFF" w:val="clear"/>
            <w:vAlign w:val="center"/>
          </w:tcPr>
          <w:p>
            <w:pPr>
              <w:pStyle w:val="TableContents"/>
              <w:bidi w:val="0"/>
              <w:spacing w:before="0" w:after="283"/>
              <w:jc w:val="left"/>
              <w:rPr>
                <w:u w:val="single"/>
              </w:rPr>
            </w:pPr>
            <w:r>
              <w:rPr>
                <w:u w:val="single"/>
              </w:rPr>
              <w:t>Other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200"/>
              <w:jc w:val="left"/>
              <w:rPr/>
            </w:pPr>
            <w:r>
              <w:rPr/>
              <w:t> </w:t>
            </w:r>
          </w:p>
        </w:tc>
      </w:tr>
      <w:tr>
        <w:trPr/>
        <w:tc>
          <w:tcPr>
            <w:tcW w:w="7847" w:type="dxa"/>
            <w:tcBorders/>
            <w:shd w:fill="EEEEEE" w:val="clear"/>
            <w:vAlign w:val="center"/>
          </w:tcPr>
          <w:p>
            <w:pPr>
              <w:pStyle w:val="TableContents"/>
              <w:bidi w:val="0"/>
              <w:spacing w:before="0" w:after="283"/>
              <w:jc w:val="left"/>
              <w:rPr/>
            </w:pPr>
            <w:r>
              <w:rPr/>
              <w:t>Cash paid for amounts included in the measurement of lease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921" w:name="xdx_983_eus-gaap--OperatingLeasePayments"/>
            <w:bookmarkEnd w:id="921"/>
          </w:p>
        </w:tc>
        <w:tc>
          <w:tcPr>
            <w:tcW w:w="911" w:type="dxa"/>
            <w:tcBorders/>
            <w:shd w:fill="EEEEEE" w:val="clear"/>
            <w:vAlign w:val="center"/>
          </w:tcPr>
          <w:p>
            <w:pPr>
              <w:pStyle w:val="TableContents"/>
              <w:bidi w:val="0"/>
              <w:spacing w:before="0" w:after="283"/>
              <w:jc w:val="right"/>
              <w:rPr/>
            </w:pPr>
            <w:r>
              <w:rPr/>
              <w:t>778,843</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922" w:name="xdx_98D_eus-gaap--OperatingLeasePayments"/>
            <w:bookmarkEnd w:id="922"/>
          </w:p>
        </w:tc>
        <w:tc>
          <w:tcPr>
            <w:tcW w:w="911" w:type="dxa"/>
            <w:tcBorders/>
            <w:shd w:fill="EEEEEE" w:val="clear"/>
            <w:vAlign w:val="center"/>
          </w:tcPr>
          <w:p>
            <w:pPr>
              <w:pStyle w:val="TableContents"/>
              <w:bidi w:val="0"/>
              <w:spacing w:before="0" w:after="283"/>
              <w:jc w:val="right"/>
              <w:rPr/>
            </w:pPr>
            <w:r>
              <w:rPr/>
              <w:t>234,504</w:t>
            </w:r>
          </w:p>
        </w:tc>
        <w:tc>
          <w:tcPr>
            <w:tcW w:w="76" w:type="dxa"/>
            <w:tcBorders/>
            <w:shd w:fill="EEEEEE" w:val="clear"/>
            <w:vAlign w:val="center"/>
          </w:tcPr>
          <w:p>
            <w:pPr>
              <w:pStyle w:val="TableContents"/>
              <w:bidi w:val="0"/>
              <w:spacing w:before="0" w:after="283"/>
              <w:jc w:val="left"/>
              <w:rPr/>
            </w:pPr>
            <w:r>
              <w:rPr/>
              <w:t> </w:t>
            </w:r>
          </w:p>
        </w:tc>
      </w:tr>
      <w:tr>
        <w:trPr/>
        <w:tc>
          <w:tcPr>
            <w:tcW w:w="7847" w:type="dxa"/>
            <w:tcBorders/>
            <w:shd w:fill="FFFFFF" w:val="clear"/>
            <w:vAlign w:val="center"/>
          </w:tcPr>
          <w:p>
            <w:pPr>
              <w:pStyle w:val="TableContents"/>
              <w:bidi w:val="0"/>
              <w:spacing w:before="0" w:after="283"/>
              <w:jc w:val="left"/>
              <w:rPr/>
            </w:pPr>
            <w:r>
              <w:rPr/>
              <w:t>Remaining term in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sz w:val="20"/>
              </w:rPr>
            </w:pPr>
            <w:bookmarkStart w:id="923" w:name="xdx_900_ecustom--OperatingLeaseWeightedA"/>
            <w:bookmarkEnd w:id="923"/>
            <w:r>
              <w:rPr>
                <w:rFonts w:ascii="Times New Roman;Times;Serif" w:hAnsi="Times New Roman;Times;Serif"/>
                <w:sz w:val="20"/>
              </w:rPr>
              <w:t>0.33 – 5.17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11" w:type="dxa"/>
            <w:tcBorders/>
            <w:shd w:fill="FFFFFF" w:val="clear"/>
            <w:vAlign w:val="center"/>
          </w:tcPr>
          <w:p>
            <w:pPr>
              <w:pStyle w:val="TableContents"/>
              <w:bidi w:val="0"/>
              <w:spacing w:before="0" w:after="283"/>
              <w:jc w:val="right"/>
              <w:rPr>
                <w:rFonts w:ascii="Times New Roman;Times;Serif" w:hAnsi="Times New Roman;Times;Serif"/>
                <w:sz w:val="20"/>
              </w:rPr>
            </w:pPr>
            <w:bookmarkStart w:id="924" w:name="xdx_905_ecustom--OperatingLeaseWeightedA"/>
            <w:bookmarkEnd w:id="924"/>
            <w:r>
              <w:rPr>
                <w:rFonts w:ascii="Times New Roman;Times;Serif" w:hAnsi="Times New Roman;Times;Serif"/>
                <w:sz w:val="20"/>
              </w:rPr>
              <w:t>1.33 – 6.17</w:t>
            </w:r>
          </w:p>
        </w:tc>
        <w:tc>
          <w:tcPr>
            <w:tcW w:w="76" w:type="dxa"/>
            <w:tcBorders/>
            <w:shd w:fill="FFFFFF" w:val="clear"/>
            <w:vAlign w:val="center"/>
          </w:tcPr>
          <w:p>
            <w:pPr>
              <w:pStyle w:val="TableContents"/>
              <w:bidi w:val="0"/>
              <w:spacing w:before="0" w:after="283"/>
              <w:jc w:val="left"/>
              <w:rPr/>
            </w:pPr>
            <w:r>
              <w:rPr/>
              <w:t> </w:t>
            </w:r>
          </w:p>
        </w:tc>
      </w:tr>
      <w:tr>
        <w:trPr/>
        <w:tc>
          <w:tcPr>
            <w:tcW w:w="7847" w:type="dxa"/>
            <w:tcBorders/>
            <w:shd w:fill="EEEEEE" w:val="clear"/>
            <w:vAlign w:val="center"/>
          </w:tcPr>
          <w:p>
            <w:pPr>
              <w:pStyle w:val="TableContents"/>
              <w:bidi w:val="0"/>
              <w:spacing w:before="0" w:after="283"/>
              <w:jc w:val="left"/>
              <w:rPr/>
            </w:pPr>
            <w:r>
              <w:rPr/>
              <w:t>Average discount rate - operating leases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11" w:type="dxa"/>
            <w:tcBorders/>
            <w:shd w:fill="EEEEEE" w:val="clear"/>
            <w:vAlign w:val="center"/>
          </w:tcPr>
          <w:p>
            <w:pPr>
              <w:pStyle w:val="TableContents"/>
              <w:bidi w:val="0"/>
              <w:spacing w:before="0" w:after="283"/>
              <w:jc w:val="right"/>
              <w:rPr>
                <w:rFonts w:ascii="Times New Roman;Times;Serif" w:hAnsi="Times New Roman;Times;Serif"/>
                <w:sz w:val="20"/>
              </w:rPr>
            </w:pPr>
            <w:bookmarkStart w:id="925" w:name="xdx_90B_ecustom--OperatingLeaseWeightedA"/>
            <w:bookmarkEnd w:id="925"/>
            <w:r>
              <w:rPr>
                <w:rFonts w:ascii="Times New Roman;Times;Serif" w:hAnsi="Times New Roman;Times;Serif"/>
                <w:sz w:val="20"/>
              </w:rPr>
              <w:t>5 - 8%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11" w:type="dxa"/>
            <w:tcBorders/>
            <w:shd w:fill="EEEEEE" w:val="clear"/>
            <w:vAlign w:val="center"/>
          </w:tcPr>
          <w:p>
            <w:pPr>
              <w:pStyle w:val="TableContents"/>
              <w:bidi w:val="0"/>
              <w:spacing w:before="0" w:after="283"/>
              <w:jc w:val="right"/>
              <w:rPr>
                <w:rFonts w:ascii="Times New Roman;Times;Serif" w:hAnsi="Times New Roman;Times;Serif"/>
                <w:sz w:val="20"/>
              </w:rPr>
            </w:pPr>
            <w:bookmarkStart w:id="926" w:name="xdx_907_ecustom--OperatingLeaseWeightedA"/>
            <w:bookmarkEnd w:id="926"/>
            <w:r>
              <w:rPr>
                <w:rFonts w:ascii="Times New Roman;Times;Serif" w:hAnsi="Times New Roman;Times;Serif"/>
                <w:sz w:val="20"/>
              </w:rPr>
              <w:t>5% – 8%</w:t>
            </w:r>
          </w:p>
        </w:tc>
        <w:tc>
          <w:tcPr>
            <w:tcW w:w="76"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27" w:name="xdx_23D_z9INBspRKgn"/>
      <w:bookmarkEnd w:id="927"/>
      <w:r>
        <w:rPr>
          <w:caps w:val="false"/>
          <w:smallCaps w:val="false"/>
        </w:rPr>
        <w:t> </w:t>
      </w:r>
    </w:p>
    <w:p>
      <w:pPr>
        <w:pStyle w:val="TextBody"/>
        <w:bidi w:val="0"/>
        <w:spacing w:before="0" w:after="0"/>
        <w:ind w:left="0" w:right="0" w:hanging="0"/>
        <w:jc w:val="left"/>
        <w:rPr>
          <w:caps w:val="false"/>
          <w:smallCaps w:val="false"/>
        </w:rPr>
      </w:pPr>
      <w:bookmarkStart w:id="928" w:name="xdx_23D_zn1i7Q2RWMC7"/>
      <w:bookmarkEnd w:id="928"/>
      <w:r>
        <w:rPr>
          <w:caps w:val="false"/>
          <w:smallCaps w:val="false"/>
        </w:rPr>
        <w:t> </w:t>
      </w:r>
    </w:p>
    <w:p>
      <w:pPr>
        <w:pStyle w:val="TextBody"/>
        <w:bidi w:val="0"/>
        <w:spacing w:before="0" w:after="0"/>
        <w:ind w:left="0" w:right="0" w:hanging="0"/>
        <w:jc w:val="left"/>
        <w:rPr>
          <w:caps w:val="false"/>
          <w:smallCaps w:val="false"/>
        </w:rPr>
      </w:pPr>
      <w:bookmarkStart w:id="929" w:name="xdx_23B_zXMdR217YiT"/>
      <w:bookmarkEnd w:id="929"/>
      <w:r>
        <w:rPr>
          <w:caps w:val="false"/>
          <w:smallCaps w:val="false"/>
        </w:rPr>
        <w:t> </w:t>
      </w:r>
    </w:p>
    <w:p>
      <w:pPr>
        <w:pStyle w:val="TextBody"/>
        <w:bidi w:val="0"/>
        <w:spacing w:before="0" w:after="0"/>
        <w:ind w:left="0" w:right="0" w:hanging="0"/>
        <w:jc w:val="left"/>
        <w:rPr>
          <w:caps w:val="false"/>
          <w:smallCaps w:val="false"/>
        </w:rPr>
      </w:pPr>
      <w:bookmarkStart w:id="930" w:name="xdx_238_zf036L6lcp44"/>
      <w:bookmarkEnd w:id="930"/>
      <w:r>
        <w:rPr>
          <w:caps w:val="false"/>
          <w:smallCaps w:val="false"/>
        </w:rPr>
        <w:t> </w:t>
      </w:r>
    </w:p>
    <w:p>
      <w:pPr>
        <w:pStyle w:val="TextBody"/>
        <w:bidi w:val="0"/>
        <w:spacing w:before="0" w:after="0"/>
        <w:ind w:left="0" w:right="0" w:hanging="0"/>
        <w:jc w:val="left"/>
        <w:rPr>
          <w:caps w:val="false"/>
          <w:smallCaps w:val="false"/>
        </w:rPr>
      </w:pPr>
      <w:bookmarkStart w:id="931" w:name="xdx_230_z2WyZ9RlQeGf"/>
      <w:bookmarkEnd w:id="93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932" w:name="xdx_23B_zxM1AFolXT4e"/>
      <w:bookmarkEnd w:id="932"/>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Nine Months Ended March 31, 2023 and 2022:</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80"/>
        <w:gridCol w:w="60"/>
        <w:gridCol w:w="140"/>
        <w:gridCol w:w="980"/>
        <w:gridCol w:w="60"/>
        <w:gridCol w:w="60"/>
        <w:gridCol w:w="140"/>
        <w:gridCol w:w="909"/>
        <w:gridCol w:w="76"/>
      </w:tblGrid>
      <w:tr>
        <w:trPr/>
        <w:tc>
          <w:tcPr>
            <w:tcW w:w="7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3/31/2023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9" w:type="dxa"/>
            <w:gridSpan w:val="2"/>
            <w:tcBorders>
              <w:bottom w:val="single" w:sz="8" w:space="0" w:color="000000"/>
            </w:tcBorders>
            <w:tcMar>
              <w:bottom w:w="28" w:type="dxa"/>
            </w:tcMar>
            <w:vAlign w:val="center"/>
          </w:tcPr>
          <w:p>
            <w:pPr>
              <w:pStyle w:val="TableContents"/>
              <w:bidi w:val="0"/>
              <w:spacing w:before="0" w:after="283"/>
              <w:jc w:val="center"/>
              <w:rPr/>
            </w:pPr>
            <w:r>
              <w:rPr/>
              <w:t>3/31/2022</w:t>
            </w:r>
          </w:p>
        </w:tc>
        <w:tc>
          <w:tcPr>
            <w:tcW w:w="76" w:type="dxa"/>
            <w:tcBorders/>
            <w:vAlign w:val="center"/>
          </w:tcPr>
          <w:p>
            <w:pPr>
              <w:pStyle w:val="TableContents"/>
              <w:bidi w:val="0"/>
              <w:spacing w:before="0" w:after="283"/>
              <w:ind w:left="0" w:right="0" w:hanging="200"/>
              <w:jc w:val="left"/>
              <w:rPr/>
            </w:pPr>
            <w:r>
              <w:rPr/>
              <w:t> </w:t>
            </w:r>
          </w:p>
        </w:tc>
      </w:tr>
      <w:tr>
        <w:trPr/>
        <w:tc>
          <w:tcPr>
            <w:tcW w:w="7780" w:type="dxa"/>
            <w:tcBorders/>
            <w:shd w:fill="EEEEEE" w:val="clear"/>
            <w:vAlign w:val="center"/>
          </w:tcPr>
          <w:p>
            <w:pPr>
              <w:pStyle w:val="TableContents"/>
              <w:bidi w:val="0"/>
              <w:spacing w:before="0" w:after="283"/>
              <w:jc w:val="left"/>
              <w:rPr>
                <w:u w:val="single"/>
              </w:rPr>
            </w:pPr>
            <w:r>
              <w:rPr>
                <w:u w:val="single"/>
              </w:rPr>
              <w:t>Lease cost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09" w:type="dxa"/>
            <w:tcBorders/>
            <w:shd w:fill="EEEEEE" w:val="clear"/>
            <w:vAlign w:val="center"/>
          </w:tcPr>
          <w:p>
            <w:pPr>
              <w:pStyle w:val="TableContents"/>
              <w:bidi w:val="0"/>
              <w:spacing w:before="0" w:after="283"/>
              <w:jc w:val="right"/>
              <w:rPr/>
            </w:pPr>
            <w:r>
              <w:rPr/>
              <w:t> </w:t>
            </w:r>
          </w:p>
        </w:tc>
        <w:tc>
          <w:tcPr>
            <w:tcW w:w="76" w:type="dxa"/>
            <w:tcBorders/>
            <w:shd w:fill="EEEEEE" w:val="clear"/>
            <w:vAlign w:val="center"/>
          </w:tcPr>
          <w:p>
            <w:pPr>
              <w:pStyle w:val="TableContents"/>
              <w:bidi w:val="0"/>
              <w:spacing w:before="0" w:after="283"/>
              <w:ind w:left="0" w:right="0" w:hanging="200"/>
              <w:jc w:val="left"/>
              <w:rPr/>
            </w:pPr>
            <w:r>
              <w:rPr/>
              <w:t> </w:t>
            </w:r>
          </w:p>
        </w:tc>
      </w:tr>
      <w:tr>
        <w:trPr/>
        <w:tc>
          <w:tcPr>
            <w:tcW w:w="7780" w:type="dxa"/>
            <w:tcBorders/>
            <w:shd w:fill="FFFFFF" w:val="clear"/>
            <w:vAlign w:val="center"/>
          </w:tcPr>
          <w:p>
            <w:pPr>
              <w:pStyle w:val="TableContents"/>
              <w:bidi w:val="0"/>
              <w:spacing w:before="0" w:after="283"/>
              <w:jc w:val="left"/>
              <w:rPr/>
            </w:pPr>
            <w:r>
              <w:rPr/>
              <w:t>Operating lease cost (included in selling and fulfillment in the Company's statement of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933" w:name="xdx_984_eus-gaap--OperatingLeaseCost_c20"/>
            <w:bookmarkEnd w:id="933"/>
          </w:p>
        </w:tc>
        <w:tc>
          <w:tcPr>
            <w:tcW w:w="980" w:type="dxa"/>
            <w:tcBorders/>
            <w:shd w:fill="FFFFFF" w:val="clear"/>
            <w:vAlign w:val="center"/>
          </w:tcPr>
          <w:p>
            <w:pPr>
              <w:pStyle w:val="TableContents"/>
              <w:bidi w:val="0"/>
              <w:spacing w:before="0" w:after="283"/>
              <w:jc w:val="right"/>
              <w:rPr/>
            </w:pPr>
            <w:r>
              <w:rPr/>
              <w:t>2,331,542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bookmarkStart w:id="934" w:name="xdx_982_eus-gaap--OperatingLeaseCost_c20"/>
            <w:bookmarkEnd w:id="934"/>
          </w:p>
        </w:tc>
        <w:tc>
          <w:tcPr>
            <w:tcW w:w="909" w:type="dxa"/>
            <w:tcBorders/>
            <w:shd w:fill="FFFFFF" w:val="clear"/>
            <w:vAlign w:val="center"/>
          </w:tcPr>
          <w:p>
            <w:pPr>
              <w:pStyle w:val="TableContents"/>
              <w:bidi w:val="0"/>
              <w:spacing w:before="0" w:after="283"/>
              <w:jc w:val="right"/>
              <w:rPr/>
            </w:pPr>
            <w:r>
              <w:rPr/>
              <w:t>838,726</w:t>
            </w:r>
          </w:p>
        </w:tc>
        <w:tc>
          <w:tcPr>
            <w:tcW w:w="76" w:type="dxa"/>
            <w:tcBorders/>
            <w:shd w:fill="FFFFFF" w:val="clear"/>
            <w:vAlign w:val="center"/>
          </w:tcPr>
          <w:p>
            <w:pPr>
              <w:pStyle w:val="TableContents"/>
              <w:bidi w:val="0"/>
              <w:spacing w:before="0" w:after="283"/>
              <w:jc w:val="left"/>
              <w:rPr/>
            </w:pPr>
            <w:r>
              <w:rPr/>
              <w:t> </w:t>
            </w:r>
          </w:p>
        </w:tc>
      </w:tr>
      <w:tr>
        <w:trPr/>
        <w:tc>
          <w:tcPr>
            <w:tcW w:w="778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09" w:type="dxa"/>
            <w:tcBorders/>
            <w:shd w:fill="EEEEEE" w:val="clear"/>
            <w:vAlign w:val="center"/>
          </w:tcPr>
          <w:p>
            <w:pPr>
              <w:pStyle w:val="TableContents"/>
              <w:bidi w:val="0"/>
              <w:spacing w:before="0" w:after="283"/>
              <w:jc w:val="right"/>
              <w:rPr/>
            </w:pPr>
            <w:r>
              <w:rPr/>
              <w:t> </w:t>
            </w:r>
          </w:p>
        </w:tc>
        <w:tc>
          <w:tcPr>
            <w:tcW w:w="76" w:type="dxa"/>
            <w:tcBorders/>
            <w:shd w:fill="EEEEEE" w:val="clear"/>
            <w:vAlign w:val="center"/>
          </w:tcPr>
          <w:p>
            <w:pPr>
              <w:pStyle w:val="TableContents"/>
              <w:bidi w:val="0"/>
              <w:spacing w:before="0" w:after="283"/>
              <w:jc w:val="left"/>
              <w:rPr/>
            </w:pPr>
            <w:r>
              <w:rPr/>
              <w:t> </w:t>
            </w:r>
          </w:p>
        </w:tc>
      </w:tr>
      <w:tr>
        <w:trPr/>
        <w:tc>
          <w:tcPr>
            <w:tcW w:w="7780" w:type="dxa"/>
            <w:tcBorders/>
            <w:shd w:fill="FFFFFF" w:val="clear"/>
            <w:vAlign w:val="center"/>
          </w:tcPr>
          <w:p>
            <w:pPr>
              <w:pStyle w:val="TableContents"/>
              <w:bidi w:val="0"/>
              <w:spacing w:before="0" w:after="283"/>
              <w:jc w:val="left"/>
              <w:rPr>
                <w:u w:val="single"/>
              </w:rPr>
            </w:pPr>
            <w:r>
              <w:rPr>
                <w:u w:val="single"/>
              </w:rPr>
              <w:t>Other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pPr>
            <w:r>
              <w:rPr/>
              <w:t> </w:t>
            </w:r>
          </w:p>
        </w:tc>
        <w:tc>
          <w:tcPr>
            <w:tcW w:w="76" w:type="dxa"/>
            <w:tcBorders/>
            <w:shd w:fill="FFFFFF" w:val="clear"/>
            <w:vAlign w:val="center"/>
          </w:tcPr>
          <w:p>
            <w:pPr>
              <w:pStyle w:val="TableContents"/>
              <w:bidi w:val="0"/>
              <w:spacing w:before="0" w:after="283"/>
              <w:ind w:left="0" w:right="0" w:hanging="200"/>
              <w:jc w:val="left"/>
              <w:rPr/>
            </w:pPr>
            <w:r>
              <w:rPr/>
              <w:t> </w:t>
            </w:r>
          </w:p>
        </w:tc>
      </w:tr>
      <w:tr>
        <w:trPr/>
        <w:tc>
          <w:tcPr>
            <w:tcW w:w="7780" w:type="dxa"/>
            <w:tcBorders/>
            <w:shd w:fill="EEEEEE" w:val="clear"/>
            <w:vAlign w:val="center"/>
          </w:tcPr>
          <w:p>
            <w:pPr>
              <w:pStyle w:val="TableContents"/>
              <w:bidi w:val="0"/>
              <w:spacing w:before="0" w:after="283"/>
              <w:jc w:val="left"/>
              <w:rPr/>
            </w:pPr>
            <w:r>
              <w:rPr/>
              <w:t>Cash paid for amounts included in the measurement of lease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935" w:name="xdx_986_eus-gaap--OperatingLeasePayments"/>
            <w:bookmarkEnd w:id="935"/>
          </w:p>
        </w:tc>
        <w:tc>
          <w:tcPr>
            <w:tcW w:w="980" w:type="dxa"/>
            <w:tcBorders/>
            <w:shd w:fill="EEEEEE" w:val="clear"/>
            <w:vAlign w:val="center"/>
          </w:tcPr>
          <w:p>
            <w:pPr>
              <w:pStyle w:val="TableContents"/>
              <w:bidi w:val="0"/>
              <w:spacing w:before="0" w:after="283"/>
              <w:jc w:val="right"/>
              <w:rPr/>
            </w:pPr>
            <w:r>
              <w:rPr/>
              <w:t>2,303,668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bookmarkStart w:id="936" w:name="xdx_980_eus-gaap--OperatingLeasePayments"/>
            <w:bookmarkEnd w:id="936"/>
          </w:p>
        </w:tc>
        <w:tc>
          <w:tcPr>
            <w:tcW w:w="909" w:type="dxa"/>
            <w:tcBorders/>
            <w:shd w:fill="EEEEEE" w:val="clear"/>
            <w:vAlign w:val="center"/>
          </w:tcPr>
          <w:p>
            <w:pPr>
              <w:pStyle w:val="TableContents"/>
              <w:bidi w:val="0"/>
              <w:spacing w:before="0" w:after="283"/>
              <w:jc w:val="right"/>
              <w:rPr/>
            </w:pPr>
            <w:r>
              <w:rPr/>
              <w:t>656,961</w:t>
            </w:r>
          </w:p>
        </w:tc>
        <w:tc>
          <w:tcPr>
            <w:tcW w:w="76" w:type="dxa"/>
            <w:tcBorders/>
            <w:shd w:fill="EEEEEE" w:val="clear"/>
            <w:vAlign w:val="center"/>
          </w:tcPr>
          <w:p>
            <w:pPr>
              <w:pStyle w:val="TableContents"/>
              <w:bidi w:val="0"/>
              <w:spacing w:before="0" w:after="283"/>
              <w:jc w:val="left"/>
              <w:rPr/>
            </w:pPr>
            <w:r>
              <w:rPr/>
              <w:t> </w:t>
            </w:r>
          </w:p>
        </w:tc>
      </w:tr>
      <w:tr>
        <w:trPr/>
        <w:tc>
          <w:tcPr>
            <w:tcW w:w="7780" w:type="dxa"/>
            <w:tcBorders/>
            <w:shd w:fill="FFFFFF" w:val="clear"/>
            <w:vAlign w:val="center"/>
          </w:tcPr>
          <w:p>
            <w:pPr>
              <w:pStyle w:val="TableContents"/>
              <w:bidi w:val="0"/>
              <w:spacing w:before="0" w:after="283"/>
              <w:jc w:val="left"/>
              <w:rPr/>
            </w:pPr>
            <w:r>
              <w:rPr/>
              <w:t>Remaining term in years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rFonts w:ascii="Times New Roman;Times;Serif" w:hAnsi="Times New Roman;Times;Serif"/>
                <w:sz w:val="20"/>
              </w:rPr>
            </w:pPr>
            <w:bookmarkStart w:id="937" w:name="xdx_90B_ecustom--OperatingLeaseWeightedA"/>
            <w:bookmarkEnd w:id="937"/>
            <w:r>
              <w:rPr>
                <w:rFonts w:ascii="Times New Roman;Times;Serif" w:hAnsi="Times New Roman;Times;Serif"/>
                <w:sz w:val="20"/>
              </w:rPr>
              <w:t>0.33 – 5.17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right"/>
              <w:rPr>
                <w:rFonts w:ascii="Times New Roman;Times;Serif" w:hAnsi="Times New Roman;Times;Serif"/>
                <w:sz w:val="20"/>
              </w:rPr>
            </w:pPr>
            <w:bookmarkStart w:id="938" w:name="xdx_903_ecustom--OperatingLeaseWeightedA"/>
            <w:bookmarkEnd w:id="938"/>
            <w:r>
              <w:rPr>
                <w:rFonts w:ascii="Times New Roman;Times;Serif" w:hAnsi="Times New Roman;Times;Serif"/>
                <w:sz w:val="20"/>
              </w:rPr>
              <w:t>1.33 – 6.17</w:t>
            </w:r>
          </w:p>
        </w:tc>
        <w:tc>
          <w:tcPr>
            <w:tcW w:w="76" w:type="dxa"/>
            <w:tcBorders/>
            <w:shd w:fill="FFFFFF" w:val="clear"/>
            <w:vAlign w:val="center"/>
          </w:tcPr>
          <w:p>
            <w:pPr>
              <w:pStyle w:val="TableContents"/>
              <w:bidi w:val="0"/>
              <w:spacing w:before="0" w:after="283"/>
              <w:jc w:val="left"/>
              <w:rPr/>
            </w:pPr>
            <w:r>
              <w:rPr/>
              <w:t> </w:t>
            </w:r>
          </w:p>
        </w:tc>
      </w:tr>
      <w:tr>
        <w:trPr/>
        <w:tc>
          <w:tcPr>
            <w:tcW w:w="7780" w:type="dxa"/>
            <w:tcBorders/>
            <w:shd w:fill="EEEEEE" w:val="clear"/>
            <w:vAlign w:val="center"/>
          </w:tcPr>
          <w:p>
            <w:pPr>
              <w:pStyle w:val="TableContents"/>
              <w:bidi w:val="0"/>
              <w:spacing w:before="0" w:after="283"/>
              <w:jc w:val="left"/>
              <w:rPr/>
            </w:pPr>
            <w:r>
              <w:rPr/>
              <w:t>Average discount rate - operating leases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rFonts w:ascii="Times New Roman;Times;Serif" w:hAnsi="Times New Roman;Times;Serif"/>
                <w:sz w:val="20"/>
              </w:rPr>
            </w:pPr>
            <w:bookmarkStart w:id="939" w:name="xdx_90E_ecustom--OperatingLeaseWeightedA"/>
            <w:bookmarkEnd w:id="939"/>
            <w:r>
              <w:rPr>
                <w:rFonts w:ascii="Times New Roman;Times;Serif" w:hAnsi="Times New Roman;Times;Serif"/>
                <w:sz w:val="20"/>
              </w:rPr>
              <w:t>5 - 8%</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09" w:type="dxa"/>
            <w:tcBorders/>
            <w:shd w:fill="EEEEEE" w:val="clear"/>
            <w:vAlign w:val="center"/>
          </w:tcPr>
          <w:p>
            <w:pPr>
              <w:pStyle w:val="TableContents"/>
              <w:bidi w:val="0"/>
              <w:spacing w:before="0" w:after="283"/>
              <w:jc w:val="right"/>
              <w:rPr>
                <w:rFonts w:ascii="Times New Roman;Times;Serif" w:hAnsi="Times New Roman;Times;Serif"/>
                <w:sz w:val="20"/>
              </w:rPr>
            </w:pPr>
            <w:bookmarkStart w:id="940" w:name="xdx_90E_ecustom--OperatingLeaseWeightedA"/>
            <w:bookmarkEnd w:id="940"/>
            <w:r>
              <w:rPr>
                <w:rFonts w:ascii="Times New Roman;Times;Serif" w:hAnsi="Times New Roman;Times;Serif"/>
                <w:sz w:val="20"/>
              </w:rPr>
              <w:t>5% – 8%</w:t>
            </w:r>
          </w:p>
        </w:tc>
        <w:tc>
          <w:tcPr>
            <w:tcW w:w="76"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941" w:name="xdx_8AF_zcdbYSq3DMj3"/>
      <w:bookmarkEnd w:id="941"/>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supplemental balance sheet information related to leases for the period is as follows: </w:t>
      </w:r>
    </w:p>
    <w:p>
      <w:pPr>
        <w:pStyle w:val="Normal"/>
        <w:bidi w:val="0"/>
        <w:spacing w:before="0" w:after="0"/>
        <w:jc w:val="left"/>
        <w:rPr>
          <w:sz w:val="4"/>
          <w:szCs w:val="4"/>
        </w:rPr>
      </w:pPr>
      <w:r>
        <w:rPr>
          <w:sz w:val="4"/>
          <w:szCs w:val="4"/>
        </w:rPr>
      </w:r>
      <w:bookmarkStart w:id="942" w:name="xdx_891_eus-gaap--ScheduleOfCashFlowSupp"/>
      <w:bookmarkStart w:id="943" w:name="xdx_891_eus-gaap--ScheduleOfCashFlowSupp"/>
      <w:bookmarkEnd w:id="943"/>
    </w:p>
    <w:tbl>
      <w:tblPr>
        <w:tblW w:w="7960" w:type="dxa"/>
        <w:jc w:val="left"/>
        <w:tblInd w:w="0" w:type="dxa"/>
        <w:tblLayout w:type="fixed"/>
        <w:tblCellMar>
          <w:top w:w="0" w:type="dxa"/>
          <w:left w:w="0" w:type="dxa"/>
          <w:bottom w:w="0" w:type="dxa"/>
          <w:right w:w="0" w:type="dxa"/>
        </w:tblCellMar>
      </w:tblPr>
      <w:tblGrid>
        <w:gridCol w:w="5345"/>
        <w:gridCol w:w="60"/>
        <w:gridCol w:w="140"/>
        <w:gridCol w:w="980"/>
        <w:gridCol w:w="60"/>
        <w:gridCol w:w="60"/>
        <w:gridCol w:w="140"/>
        <w:gridCol w:w="1100"/>
        <w:gridCol w:w="75"/>
      </w:tblGrid>
      <w:tr>
        <w:trPr/>
        <w:tc>
          <w:tcPr>
            <w:tcW w:w="5345" w:type="dxa"/>
            <w:tcBorders/>
            <w:vAlign w:val="center"/>
          </w:tcPr>
          <w:p>
            <w:pPr>
              <w:pStyle w:val="TableContents"/>
              <w:bidi w:val="0"/>
              <w:spacing w:before="0" w:after="283"/>
              <w:jc w:val="left"/>
              <w:rPr/>
            </w:pPr>
            <w:bookmarkStart w:id="944" w:name="xdx_8B2_z27qiihw7qIc"/>
            <w:bookmarkEnd w:id="944"/>
            <w:r>
              <w:rPr/>
              <w:t>Supplemental balance sheet information related to leases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945" w:name="xdx_497_20230331"/>
            <w:bookmarkEnd w:id="945"/>
          </w:p>
        </w:tc>
        <w:tc>
          <w:tcPr>
            <w:tcW w:w="9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946" w:name="xdx_497_20220630_z6WApHuxKSRd"/>
            <w:bookmarkEnd w:id="946"/>
          </w:p>
        </w:tc>
        <w:tc>
          <w:tcPr>
            <w:tcW w:w="110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5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pPr>
            <w:r>
              <w:rPr/>
              <w:t>3/31/2023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pPr>
            <w:r>
              <w:rPr/>
              <w:t>6/30/2022</w:t>
            </w:r>
          </w:p>
        </w:tc>
        <w:tc>
          <w:tcPr>
            <w:tcW w:w="75" w:type="dxa"/>
            <w:tcBorders/>
            <w:vAlign w:val="center"/>
          </w:tcPr>
          <w:p>
            <w:pPr>
              <w:pStyle w:val="TableContents"/>
              <w:bidi w:val="0"/>
              <w:spacing w:before="0" w:after="283"/>
              <w:jc w:val="left"/>
              <w:rPr/>
            </w:pPr>
            <w:r>
              <w:rPr/>
              <w:t> </w:t>
            </w:r>
          </w:p>
        </w:tc>
      </w:tr>
      <w:tr>
        <w:trPr/>
        <w:tc>
          <w:tcPr>
            <w:tcW w:w="5345" w:type="dxa"/>
            <w:tcBorders/>
            <w:shd w:fill="EEEEEE" w:val="clear"/>
            <w:vAlign w:val="center"/>
          </w:tcPr>
          <w:p>
            <w:pPr>
              <w:pStyle w:val="TableContents"/>
              <w:bidi w:val="0"/>
              <w:spacing w:before="0" w:after="283"/>
              <w:jc w:val="left"/>
              <w:rPr>
                <w:u w:val="single"/>
              </w:rPr>
            </w:pPr>
            <w:r>
              <w:rPr>
                <w:u w:val="single"/>
              </w:rPr>
              <w:t>Operating leases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 </w:t>
            </w:r>
          </w:p>
        </w:tc>
        <w:tc>
          <w:tcPr>
            <w:tcW w:w="75" w:type="dxa"/>
            <w:tcBorders/>
            <w:shd w:fill="EEEEEE" w:val="clear"/>
            <w:vAlign w:val="center"/>
          </w:tcPr>
          <w:p>
            <w:pPr>
              <w:pStyle w:val="TableContents"/>
              <w:bidi w:val="0"/>
              <w:spacing w:before="0" w:after="283"/>
              <w:jc w:val="left"/>
              <w:rPr/>
            </w:pPr>
            <w:r>
              <w:rPr/>
              <w:t> </w:t>
            </w:r>
            <w:bookmarkStart w:id="947" w:name="xdx_40B_eus-gaap--OperatingLeaseRightOfU"/>
            <w:bookmarkEnd w:id="947"/>
          </w:p>
        </w:tc>
      </w:tr>
      <w:tr>
        <w:trPr/>
        <w:tc>
          <w:tcPr>
            <w:tcW w:w="5345" w:type="dxa"/>
            <w:tcBorders/>
            <w:shd w:fill="FFFFFF" w:val="clear"/>
            <w:vAlign w:val="center"/>
          </w:tcPr>
          <w:p>
            <w:pPr>
              <w:pStyle w:val="TableContents"/>
              <w:bidi w:val="0"/>
              <w:spacing w:before="0" w:after="283"/>
              <w:jc w:val="left"/>
              <w:rPr/>
            </w:pPr>
            <w:r>
              <w:rPr/>
              <w:t>Right of use asset -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8,504,929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10,453,282</w:t>
            </w:r>
          </w:p>
        </w:tc>
        <w:tc>
          <w:tcPr>
            <w:tcW w:w="75" w:type="dxa"/>
            <w:tcBorders/>
            <w:shd w:fill="FFFFFF" w:val="clear"/>
            <w:vAlign w:val="center"/>
          </w:tcPr>
          <w:p>
            <w:pPr>
              <w:pStyle w:val="TableContents"/>
              <w:bidi w:val="0"/>
              <w:spacing w:before="0" w:after="283"/>
              <w:jc w:val="left"/>
              <w:rPr/>
            </w:pPr>
            <w:r>
              <w:rPr/>
              <w:t> </w:t>
            </w:r>
            <w:bookmarkStart w:id="948" w:name="xdx_40F_ecustom--OperatingLeaseLiability"/>
            <w:bookmarkEnd w:id="948"/>
          </w:p>
        </w:tc>
      </w:tr>
      <w:tr>
        <w:trPr/>
        <w:tc>
          <w:tcPr>
            <w:tcW w:w="5345" w:type="dxa"/>
            <w:tcBorders/>
            <w:shd w:fill="EEEEEE" w:val="clear"/>
            <w:vAlign w:val="center"/>
          </w:tcPr>
          <w:p>
            <w:pPr>
              <w:pStyle w:val="TableContents"/>
              <w:bidi w:val="0"/>
              <w:spacing w:before="0" w:after="283"/>
              <w:jc w:val="left"/>
              <w:rPr/>
            </w:pPr>
            <w:r>
              <w:rPr/>
              <w:t>Lease Liability – current</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980" w:type="dxa"/>
            <w:tcBorders/>
            <w:shd w:fill="EEEEEE" w:val="clear"/>
            <w:vAlign w:val="center"/>
          </w:tcPr>
          <w:p>
            <w:pPr>
              <w:pStyle w:val="TableContents"/>
              <w:bidi w:val="0"/>
              <w:spacing w:before="0" w:after="283"/>
              <w:jc w:val="right"/>
              <w:rPr/>
            </w:pPr>
            <w:r>
              <w:rPr/>
              <w:t>2,356,545</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100" w:type="dxa"/>
            <w:tcBorders/>
            <w:shd w:fill="EEEEEE" w:val="clear"/>
            <w:vAlign w:val="center"/>
          </w:tcPr>
          <w:p>
            <w:pPr>
              <w:pStyle w:val="TableContents"/>
              <w:bidi w:val="0"/>
              <w:spacing w:before="0" w:after="283"/>
              <w:jc w:val="right"/>
              <w:rPr/>
            </w:pPr>
            <w:r>
              <w:rPr/>
              <w:t>2,582,933</w:t>
            </w:r>
          </w:p>
        </w:tc>
        <w:tc>
          <w:tcPr>
            <w:tcW w:w="75" w:type="dxa"/>
            <w:tcBorders/>
            <w:shd w:fill="EEEEEE" w:val="clear"/>
            <w:vAlign w:val="center"/>
          </w:tcPr>
          <w:p>
            <w:pPr>
              <w:pStyle w:val="TableContents"/>
              <w:bidi w:val="0"/>
              <w:spacing w:before="0" w:after="283"/>
              <w:jc w:val="left"/>
              <w:rPr/>
            </w:pPr>
            <w:r>
              <w:rPr/>
              <w:t> </w:t>
            </w:r>
            <w:bookmarkStart w:id="949" w:name="xdx_40F_ecustom--OperatingLeaseLiability"/>
            <w:bookmarkEnd w:id="949"/>
          </w:p>
        </w:tc>
      </w:tr>
      <w:tr>
        <w:trPr/>
        <w:tc>
          <w:tcPr>
            <w:tcW w:w="5345" w:type="dxa"/>
            <w:tcBorders/>
            <w:shd w:fill="FFFFFF" w:val="clear"/>
            <w:vAlign w:val="center"/>
          </w:tcPr>
          <w:p>
            <w:pPr>
              <w:pStyle w:val="TableContents"/>
              <w:bidi w:val="0"/>
              <w:spacing w:before="0" w:after="283"/>
              <w:jc w:val="left"/>
              <w:rPr/>
            </w:pPr>
            <w:r>
              <w:rPr/>
              <w:t>Lease Liability – non-current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6,571,404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8,265,611</w:t>
            </w:r>
          </w:p>
        </w:tc>
        <w:tc>
          <w:tcPr>
            <w:tcW w:w="75" w:type="dxa"/>
            <w:tcBorders/>
            <w:shd w:fill="FFFFFF" w:val="clear"/>
            <w:vAlign w:val="center"/>
          </w:tcPr>
          <w:p>
            <w:pPr>
              <w:pStyle w:val="TableContents"/>
              <w:bidi w:val="0"/>
              <w:spacing w:before="0" w:after="283"/>
              <w:jc w:val="left"/>
              <w:rPr/>
            </w:pPr>
            <w:r>
              <w:rPr/>
              <w:t> </w:t>
            </w:r>
            <w:bookmarkStart w:id="950" w:name="xdx_40C_eus-gaap--OperatingLeaseLiabilit"/>
            <w:bookmarkEnd w:id="950"/>
          </w:p>
        </w:tc>
      </w:tr>
      <w:tr>
        <w:trPr/>
        <w:tc>
          <w:tcPr>
            <w:tcW w:w="5345" w:type="dxa"/>
            <w:tcBorders/>
            <w:shd w:fill="EEEEEE" w:val="clear"/>
            <w:vAlign w:val="center"/>
          </w:tcPr>
          <w:p>
            <w:pPr>
              <w:pStyle w:val="TableContents"/>
              <w:bidi w:val="0"/>
              <w:spacing w:before="0" w:after="283"/>
              <w:jc w:val="left"/>
              <w:rPr/>
            </w:pPr>
            <w:r>
              <w:rPr/>
              <w:t>Total operating lease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EEEEEE" w:val="clear"/>
            <w:tcMar>
              <w:bottom w:w="28" w:type="dxa"/>
            </w:tcMar>
            <w:vAlign w:val="center"/>
          </w:tcPr>
          <w:p>
            <w:pPr>
              <w:pStyle w:val="TableContents"/>
              <w:bidi w:val="0"/>
              <w:spacing w:before="0" w:after="283"/>
              <w:jc w:val="right"/>
              <w:rPr/>
            </w:pPr>
            <w:r>
              <w:rPr/>
              <w:t>8,927,949</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EEEEEE" w:val="clear"/>
            <w:tcMar>
              <w:bottom w:w="28" w:type="dxa"/>
            </w:tcMar>
            <w:vAlign w:val="center"/>
          </w:tcPr>
          <w:p>
            <w:pPr>
              <w:pStyle w:val="TableContents"/>
              <w:bidi w:val="0"/>
              <w:spacing w:before="0" w:after="283"/>
              <w:jc w:val="right"/>
              <w:rPr/>
            </w:pPr>
            <w:r>
              <w:rPr/>
              <w:t>10,848,544</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51" w:name="xdx_8AC_zO2nhIVluH45"/>
      <w:bookmarkEnd w:id="951"/>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Maturities of the Company’s lease liabilities are as follows: </w:t>
      </w:r>
    </w:p>
    <w:p>
      <w:pPr>
        <w:pStyle w:val="Normal"/>
        <w:bidi w:val="0"/>
        <w:spacing w:before="0" w:after="0"/>
        <w:jc w:val="left"/>
        <w:rPr>
          <w:sz w:val="4"/>
          <w:szCs w:val="4"/>
        </w:rPr>
      </w:pPr>
      <w:r>
        <w:rPr>
          <w:sz w:val="4"/>
          <w:szCs w:val="4"/>
        </w:rPr>
      </w:r>
      <w:bookmarkStart w:id="952" w:name="xdx_897_eus-gaap--LesseeOperatingLeaseLi"/>
      <w:bookmarkStart w:id="953" w:name="xdx_897_eus-gaap--LesseeOperatingLeaseLi"/>
      <w:bookmarkEnd w:id="953"/>
    </w:p>
    <w:tbl>
      <w:tblPr>
        <w:tblW w:w="5630" w:type="dxa"/>
        <w:jc w:val="left"/>
        <w:tblInd w:w="0" w:type="dxa"/>
        <w:tblLayout w:type="fixed"/>
        <w:tblCellMar>
          <w:top w:w="0" w:type="dxa"/>
          <w:left w:w="0" w:type="dxa"/>
          <w:bottom w:w="0" w:type="dxa"/>
          <w:right w:w="0" w:type="dxa"/>
        </w:tblCellMar>
      </w:tblPr>
      <w:tblGrid>
        <w:gridCol w:w="4265"/>
        <w:gridCol w:w="60"/>
        <w:gridCol w:w="140"/>
        <w:gridCol w:w="1055"/>
        <w:gridCol w:w="110"/>
      </w:tblGrid>
      <w:tr>
        <w:trPr/>
        <w:tc>
          <w:tcPr>
            <w:tcW w:w="4265" w:type="dxa"/>
            <w:tcBorders/>
            <w:vAlign w:val="center"/>
          </w:tcPr>
          <w:p>
            <w:pPr>
              <w:pStyle w:val="TableContents"/>
              <w:bidi w:val="0"/>
              <w:spacing w:before="0" w:after="283"/>
              <w:jc w:val="left"/>
              <w:rPr/>
            </w:pPr>
            <w:bookmarkStart w:id="954" w:name="xdx_8B2_zPtWL074i7k7"/>
            <w:bookmarkEnd w:id="954"/>
            <w:r>
              <w:rPr/>
              <w:t>Schedule of maturities of lease liabilities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955" w:name="xdx_499_20230331_zQfwJG8M8ed3"/>
            <w:bookmarkEnd w:id="955"/>
          </w:p>
        </w:tc>
        <w:tc>
          <w:tcPr>
            <w:tcW w:w="1055"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vAlign w:val="center"/>
          </w:tcPr>
          <w:p>
            <w:pPr>
              <w:pStyle w:val="TableContents"/>
              <w:bidi w:val="0"/>
              <w:spacing w:before="0" w:after="283"/>
              <w:jc w:val="center"/>
              <w:rPr/>
            </w:pPr>
            <w:r>
              <w:rPr/>
              <w:t>Operating</w:t>
            </w:r>
          </w:p>
        </w:tc>
        <w:tc>
          <w:tcPr>
            <w:tcW w:w="110" w:type="dxa"/>
            <w:tcBorders/>
            <w:vAlign w:val="center"/>
          </w:tcPr>
          <w:p>
            <w:pPr>
              <w:pStyle w:val="TableContents"/>
              <w:bidi w:val="0"/>
              <w:spacing w:before="0" w:after="283"/>
              <w:jc w:val="left"/>
              <w:rPr/>
            </w:pPr>
            <w:r>
              <w:rPr/>
              <w:t> </w:t>
            </w:r>
          </w:p>
        </w:tc>
      </w:tr>
      <w:tr>
        <w:trPr/>
        <w:tc>
          <w:tcPr>
            <w:tcW w:w="42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pPr>
            <w:r>
              <w:rPr/>
              <w:t>Lease</w:t>
            </w:r>
          </w:p>
        </w:tc>
        <w:tc>
          <w:tcPr>
            <w:tcW w:w="110" w:type="dxa"/>
            <w:tcBorders/>
            <w:vAlign w:val="center"/>
          </w:tcPr>
          <w:p>
            <w:pPr>
              <w:pStyle w:val="TableContents"/>
              <w:bidi w:val="0"/>
              <w:spacing w:before="0" w:after="283"/>
              <w:jc w:val="left"/>
              <w:rPr/>
            </w:pPr>
            <w:r>
              <w:rPr/>
              <w:t> </w:t>
            </w:r>
          </w:p>
        </w:tc>
      </w:tr>
      <w:tr>
        <w:trPr/>
        <w:tc>
          <w:tcPr>
            <w:tcW w:w="4265" w:type="dxa"/>
            <w:tcBorders/>
            <w:shd w:fill="EEEEEE" w:val="clear"/>
            <w:vAlign w:val="center"/>
          </w:tcPr>
          <w:p>
            <w:pPr>
              <w:pStyle w:val="TableContents"/>
              <w:bidi w:val="0"/>
              <w:spacing w:before="0" w:after="283"/>
              <w:jc w:val="left"/>
              <w:rPr/>
            </w:pPr>
            <w:r>
              <w:rPr/>
              <w:t>For Year ending June 30:</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 </w:t>
            </w:r>
          </w:p>
        </w:tc>
        <w:tc>
          <w:tcPr>
            <w:tcW w:w="110" w:type="dxa"/>
            <w:tcBorders/>
            <w:shd w:fill="EEEEEE" w:val="clear"/>
            <w:vAlign w:val="center"/>
          </w:tcPr>
          <w:p>
            <w:pPr>
              <w:pStyle w:val="TableContents"/>
              <w:bidi w:val="0"/>
              <w:spacing w:before="0" w:after="283"/>
              <w:jc w:val="left"/>
              <w:rPr/>
            </w:pPr>
            <w:r>
              <w:rPr/>
              <w:t> </w:t>
            </w:r>
            <w:bookmarkStart w:id="956" w:name="xdx_405_eus-gaap--LesseeOperatingLeaseLi"/>
            <w:bookmarkEnd w:id="956"/>
          </w:p>
        </w:tc>
      </w:tr>
      <w:tr>
        <w:trPr/>
        <w:tc>
          <w:tcPr>
            <w:tcW w:w="4265" w:type="dxa"/>
            <w:tcBorders/>
            <w:shd w:fill="FFFFFF" w:val="clear"/>
            <w:vAlign w:val="center"/>
          </w:tcPr>
          <w:p>
            <w:pPr>
              <w:pStyle w:val="TableContents"/>
              <w:bidi w:val="0"/>
              <w:spacing w:before="0" w:after="283"/>
              <w:jc w:val="left"/>
              <w:rPr/>
            </w:pPr>
            <w:r>
              <w:rPr/>
              <w:t>2023</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055" w:type="dxa"/>
            <w:tcBorders/>
            <w:shd w:fill="FFFFFF" w:val="clear"/>
            <w:vAlign w:val="center"/>
          </w:tcPr>
          <w:p>
            <w:pPr>
              <w:pStyle w:val="TableContents"/>
              <w:bidi w:val="0"/>
              <w:spacing w:before="0" w:after="283"/>
              <w:jc w:val="right"/>
              <w:rPr/>
            </w:pPr>
            <w:r>
              <w:rPr/>
              <w:t>771,954</w:t>
            </w:r>
          </w:p>
        </w:tc>
        <w:tc>
          <w:tcPr>
            <w:tcW w:w="110" w:type="dxa"/>
            <w:tcBorders/>
            <w:shd w:fill="FFFFFF" w:val="clear"/>
            <w:vAlign w:val="center"/>
          </w:tcPr>
          <w:p>
            <w:pPr>
              <w:pStyle w:val="TableContents"/>
              <w:bidi w:val="0"/>
              <w:spacing w:before="0" w:after="283"/>
              <w:jc w:val="left"/>
              <w:rPr/>
            </w:pPr>
            <w:r>
              <w:rPr/>
              <w:t> </w:t>
            </w:r>
            <w:bookmarkStart w:id="957" w:name="xdx_40A_eus-gaap--LesseeOperatingLeaseLi"/>
            <w:bookmarkEnd w:id="957"/>
          </w:p>
        </w:tc>
      </w:tr>
      <w:tr>
        <w:trPr/>
        <w:tc>
          <w:tcPr>
            <w:tcW w:w="4265" w:type="dxa"/>
            <w:tcBorders/>
            <w:shd w:fill="EEEEEE" w:val="clear"/>
            <w:vAlign w:val="center"/>
          </w:tcPr>
          <w:p>
            <w:pPr>
              <w:pStyle w:val="TableContents"/>
              <w:bidi w:val="0"/>
              <w:spacing w:before="0" w:after="283"/>
              <w:jc w:val="left"/>
              <w:rPr/>
            </w:pPr>
            <w:r>
              <w:rPr/>
              <w:t>2024</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2,510,815</w:t>
            </w:r>
          </w:p>
        </w:tc>
        <w:tc>
          <w:tcPr>
            <w:tcW w:w="110" w:type="dxa"/>
            <w:tcBorders/>
            <w:shd w:fill="EEEEEE" w:val="clear"/>
            <w:vAlign w:val="center"/>
          </w:tcPr>
          <w:p>
            <w:pPr>
              <w:pStyle w:val="TableContents"/>
              <w:bidi w:val="0"/>
              <w:spacing w:before="0" w:after="283"/>
              <w:jc w:val="left"/>
              <w:rPr/>
            </w:pPr>
            <w:r>
              <w:rPr/>
              <w:t> </w:t>
            </w:r>
            <w:bookmarkStart w:id="958" w:name="xdx_40D_eus-gaap--LesseeOperatingLeaseLi"/>
            <w:bookmarkEnd w:id="958"/>
          </w:p>
        </w:tc>
      </w:tr>
      <w:tr>
        <w:trPr/>
        <w:tc>
          <w:tcPr>
            <w:tcW w:w="4265" w:type="dxa"/>
            <w:tcBorders/>
            <w:shd w:fill="FFFFFF" w:val="clear"/>
            <w:vAlign w:val="center"/>
          </w:tcPr>
          <w:p>
            <w:pPr>
              <w:pStyle w:val="TableContents"/>
              <w:bidi w:val="0"/>
              <w:spacing w:before="0" w:after="283"/>
              <w:jc w:val="left"/>
              <w:rPr/>
            </w:pPr>
            <w:r>
              <w:rPr/>
              <w:t>2025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2,080,331</w:t>
            </w:r>
          </w:p>
        </w:tc>
        <w:tc>
          <w:tcPr>
            <w:tcW w:w="110" w:type="dxa"/>
            <w:tcBorders/>
            <w:shd w:fill="FFFFFF" w:val="clear"/>
            <w:vAlign w:val="center"/>
          </w:tcPr>
          <w:p>
            <w:pPr>
              <w:pStyle w:val="TableContents"/>
              <w:bidi w:val="0"/>
              <w:spacing w:before="0" w:after="283"/>
              <w:jc w:val="left"/>
              <w:rPr/>
            </w:pPr>
            <w:r>
              <w:rPr/>
              <w:t> </w:t>
            </w:r>
            <w:bookmarkStart w:id="959" w:name="xdx_402_eus-gaap--LesseeOperatingLeaseLi"/>
            <w:bookmarkEnd w:id="959"/>
          </w:p>
        </w:tc>
      </w:tr>
      <w:tr>
        <w:trPr/>
        <w:tc>
          <w:tcPr>
            <w:tcW w:w="4265" w:type="dxa"/>
            <w:tcBorders/>
            <w:shd w:fill="EEEEEE" w:val="clear"/>
            <w:vAlign w:val="center"/>
          </w:tcPr>
          <w:p>
            <w:pPr>
              <w:pStyle w:val="TableContents"/>
              <w:bidi w:val="0"/>
              <w:spacing w:before="0" w:after="283"/>
              <w:jc w:val="left"/>
              <w:rPr/>
            </w:pPr>
            <w:r>
              <w:rPr/>
              <w:t>2026</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1,533,918</w:t>
            </w:r>
          </w:p>
        </w:tc>
        <w:tc>
          <w:tcPr>
            <w:tcW w:w="110" w:type="dxa"/>
            <w:tcBorders/>
            <w:shd w:fill="EEEEEE" w:val="clear"/>
            <w:vAlign w:val="center"/>
          </w:tcPr>
          <w:p>
            <w:pPr>
              <w:pStyle w:val="TableContents"/>
              <w:bidi w:val="0"/>
              <w:spacing w:before="0" w:after="283"/>
              <w:jc w:val="left"/>
              <w:rPr/>
            </w:pPr>
            <w:r>
              <w:rPr/>
              <w:t> </w:t>
            </w:r>
            <w:bookmarkStart w:id="960" w:name="xdx_405_eus-gaap--LesseeOperatingLeaseLi"/>
            <w:bookmarkEnd w:id="960"/>
          </w:p>
        </w:tc>
      </w:tr>
      <w:tr>
        <w:trPr/>
        <w:tc>
          <w:tcPr>
            <w:tcW w:w="4265"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1,586,572</w:t>
            </w:r>
          </w:p>
        </w:tc>
        <w:tc>
          <w:tcPr>
            <w:tcW w:w="110" w:type="dxa"/>
            <w:tcBorders/>
            <w:shd w:fill="FFFFFF" w:val="clear"/>
            <w:vAlign w:val="center"/>
          </w:tcPr>
          <w:p>
            <w:pPr>
              <w:pStyle w:val="TableContents"/>
              <w:bidi w:val="0"/>
              <w:spacing w:before="0" w:after="283"/>
              <w:jc w:val="left"/>
              <w:rPr/>
            </w:pPr>
            <w:r>
              <w:rPr/>
              <w:t> </w:t>
            </w:r>
            <w:bookmarkStart w:id="961" w:name="xdx_402_eus-gaap--LesseeOperatingLeaseLi"/>
            <w:bookmarkEnd w:id="961"/>
          </w:p>
        </w:tc>
      </w:tr>
      <w:tr>
        <w:trPr/>
        <w:tc>
          <w:tcPr>
            <w:tcW w:w="4265" w:type="dxa"/>
            <w:tcBorders/>
            <w:shd w:fill="EEEEEE" w:val="clear"/>
            <w:vAlign w:val="center"/>
          </w:tcPr>
          <w:p>
            <w:pPr>
              <w:pStyle w:val="TableContents"/>
              <w:bidi w:val="0"/>
              <w:spacing w:before="0" w:after="283"/>
              <w:jc w:val="left"/>
              <w:rPr/>
            </w:pPr>
            <w:r>
              <w:rPr/>
              <w:t>2028 and after</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 </w:t>
            </w:r>
          </w:p>
        </w:tc>
        <w:tc>
          <w:tcPr>
            <w:tcW w:w="1055" w:type="dxa"/>
            <w:tcBorders/>
            <w:shd w:fill="EEEEEE" w:val="clear"/>
            <w:vAlign w:val="center"/>
          </w:tcPr>
          <w:p>
            <w:pPr>
              <w:pStyle w:val="TableContents"/>
              <w:bidi w:val="0"/>
              <w:spacing w:before="0" w:after="283"/>
              <w:jc w:val="right"/>
              <w:rPr/>
            </w:pPr>
            <w:r>
              <w:rPr/>
              <w:t>1,459,407</w:t>
            </w:r>
          </w:p>
        </w:tc>
        <w:tc>
          <w:tcPr>
            <w:tcW w:w="110" w:type="dxa"/>
            <w:tcBorders/>
            <w:shd w:fill="EEEEEE" w:val="clear"/>
            <w:vAlign w:val="center"/>
          </w:tcPr>
          <w:p>
            <w:pPr>
              <w:pStyle w:val="TableContents"/>
              <w:bidi w:val="0"/>
              <w:spacing w:before="0" w:after="283"/>
              <w:jc w:val="left"/>
              <w:rPr/>
            </w:pPr>
            <w:r>
              <w:rPr/>
              <w:t> </w:t>
            </w:r>
            <w:bookmarkStart w:id="962" w:name="xdx_409_eus-gaap--LesseeOperatingLeaseLi"/>
            <w:bookmarkEnd w:id="962"/>
          </w:p>
        </w:tc>
      </w:tr>
      <w:tr>
        <w:trPr/>
        <w:tc>
          <w:tcPr>
            <w:tcW w:w="4265" w:type="dxa"/>
            <w:tcBorders/>
            <w:shd w:fill="FFFFFF" w:val="clear"/>
            <w:vAlign w:val="center"/>
          </w:tcPr>
          <w:p>
            <w:pPr>
              <w:pStyle w:val="TableContents"/>
              <w:bidi w:val="0"/>
              <w:spacing w:before="0" w:after="283"/>
              <w:jc w:val="left"/>
              <w:rPr/>
            </w:pPr>
            <w:r>
              <w:rPr/>
              <w:t>Less: Imputed interest/present value discount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(1,015,068</w:t>
            </w:r>
          </w:p>
        </w:tc>
        <w:tc>
          <w:tcPr>
            <w:tcW w:w="110" w:type="dxa"/>
            <w:tcBorders/>
            <w:shd w:fill="FFFFFF" w:val="clear"/>
            <w:vAlign w:val="center"/>
          </w:tcPr>
          <w:p>
            <w:pPr>
              <w:pStyle w:val="TableContents"/>
              <w:bidi w:val="0"/>
              <w:spacing w:before="0" w:after="283"/>
              <w:jc w:val="left"/>
              <w:rPr/>
            </w:pPr>
            <w:r>
              <w:rPr/>
              <w:t>)</w:t>
            </w:r>
            <w:bookmarkStart w:id="963" w:name="xdx_406_eus-gaap--OperatingLeaseLiabilit"/>
            <w:bookmarkEnd w:id="963"/>
          </w:p>
        </w:tc>
      </w:tr>
      <w:tr>
        <w:trPr/>
        <w:tc>
          <w:tcPr>
            <w:tcW w:w="4265" w:type="dxa"/>
            <w:tcBorders/>
            <w:shd w:fill="EEEEEE" w:val="clear"/>
            <w:vAlign w:val="center"/>
          </w:tcPr>
          <w:p>
            <w:pPr>
              <w:pStyle w:val="TableContents"/>
              <w:bidi w:val="0"/>
              <w:spacing w:before="0" w:after="283"/>
              <w:jc w:val="left"/>
              <w:rPr/>
            </w:pPr>
            <w:r>
              <w:rPr/>
              <w:t>Present value of lease liabilities</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EEEEEE" w:val="clear"/>
            <w:tcMar>
              <w:bottom w:w="28" w:type="dxa"/>
            </w:tcMar>
            <w:vAlign w:val="center"/>
          </w:tcPr>
          <w:p>
            <w:pPr>
              <w:pStyle w:val="TableContents"/>
              <w:bidi w:val="0"/>
              <w:spacing w:before="0" w:after="283"/>
              <w:jc w:val="right"/>
              <w:rPr/>
            </w:pPr>
            <w:r>
              <w:rPr/>
              <w:t>8,927,949</w:t>
            </w:r>
          </w:p>
        </w:tc>
        <w:tc>
          <w:tcPr>
            <w:tcW w:w="110"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bookmarkStart w:id="964" w:name="xdx_8AA_zqVqQ97g4hA"/>
      <w:bookmarkEnd w:id="964"/>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Contingencies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disclosed below, the Company is not currently a party to any material legal proceedings, investigation or claims. As the Company may, from time to time, be involved in legal matters arising in the ordinary course of its business,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is seeking, among other things, monetary damages against the Company and D.A. Davidson &amp; Co. (who acted as underwriter in the Company’s IPO). Presently, the matter is scheduled to be heard before a FINRA arbitration panel during the week beginning May 22, 2023. The Company has agreed to indemnify D.A. Davidson &amp; Co. and the other underwriters against any liability or expense they may incur or be subject to arising out of the Boustead dispute. Additionally, Chenlong Tan, the Company’s Chairman, President and Chief Executive Officer and a beneficial owner of more than 5% of the Company’s Common Stock, has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 The Company cannot reasonably estimate the amount of potential exposure as of the date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bookmarkStart w:id="965" w:name="xdx_234_zZbEDuon2AMj"/>
      <w:bookmarkEnd w:id="965"/>
      <w:r>
        <w:rPr>
          <w:caps w:val="false"/>
          <w:smallCaps w:val="false"/>
        </w:rPr>
        <w:t> </w:t>
      </w:r>
    </w:p>
    <w:p>
      <w:pPr>
        <w:pStyle w:val="TextBody"/>
        <w:bidi w:val="0"/>
        <w:spacing w:before="0" w:after="0"/>
        <w:ind w:left="0" w:right="0" w:hanging="0"/>
        <w:jc w:val="both"/>
        <w:rPr>
          <w:caps w:val="false"/>
          <w:smallCaps w:val="false"/>
        </w:rPr>
      </w:pPr>
      <w:bookmarkStart w:id="966" w:name="xdx_230_zaeeLIpQ2Jt6"/>
      <w:bookmarkEnd w:id="96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bookmarkStart w:id="967" w:name="xdx_23E_zl5JQoTQumQ9"/>
            <w:bookmarkEnd w:id="967"/>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bookmarkStart w:id="968" w:name="xdx_23F_zLOCwHR6U1Hc"/>
      <w:bookmarkEnd w:id="968"/>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caps w:val="false"/>
          <w:smallCaps w:val="false"/>
        </w:rPr>
      </w:pPr>
      <w:bookmarkStart w:id="969" w:name="xdx_239_zufpm5j2VMY8"/>
      <w:bookmarkEnd w:id="969"/>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an effort to contain or slow the COVID-19 outbreak, authorities across the world have implemented various measures, some of which have been subsequently rescinded or modified, including travel bans, stay-at-home orders and shutdowns of certain businesses. The Company anticipates that these actions and the global health crisis caused by the COVID-19 outbreak, including any resurgences, will continue to negatively impact global economic activity. While the COVID-19 outbreak has not had a material adverse impact on the Company’s operations to date, it is difficult to predict all of the positive or negative impacts the COVID-19 outbreak may have on the Company’s business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February 2022, the Russian Federation began conducting military operations against Ukraine, which have been ongoing ever since, resulting in global economic uncertainty and increased cost of various commodities. In response to these types of events, should they directly impact our supply chain or other operations, we may experience or be exposed to supply chain disruption which could cause us to seek alternate sources for product supply, or suffer consequences that are unexpected and difficult to mitigate. Any of these risks might have a materially adverse impact on our business operations and our financial position or results of operations. Although, it is difficult to predict the impact that these factors may have on our business in the future, they did not have a material effect on our results of operations, financial condition, or liquidity for the three and nine months ended March 31, 2023.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70" w:name="xdx_801_eus-gaap--SubsequentEventsTextBl"/>
      <w:bookmarkEnd w:id="970"/>
      <w:r>
        <w:rPr>
          <w:rFonts w:ascii="Times New Roman;Times;Serif" w:hAnsi="Times New Roman;Times;Serif"/>
          <w:b/>
          <w:i w:val="false"/>
          <w:caps w:val="false"/>
          <w:smallCaps w:val="false"/>
          <w:sz w:val="20"/>
        </w:rPr>
        <w:t>Note 20 -</w:t>
      </w:r>
      <w:bookmarkStart w:id="971" w:name="xdx_823_zXi3RpTBPuTg"/>
      <w:bookmarkEnd w:id="971"/>
      <w:r>
        <w:rPr>
          <w:rFonts w:ascii="Times New Roman;Times;Serif" w:hAnsi="Times New Roman;Times;Serif"/>
          <w:b/>
          <w:i w:val="false"/>
          <w:caps w:val="false"/>
          <w:smallCaps w:val="false"/>
          <w:sz w:val="20"/>
        </w:rPr>
        <w:t xml:space="preserve">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subsequent events and transactions that occurred after the balance sheet date through the date that the consolidated financial statements are available to be issued. The Company noted no material subsequent events that required recognition or additional disclosure in the consolidated financial statements presented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972" w:name="xdx_81C_zRA6nE1F4oB7"/>
      <w:bookmarkEnd w:id="972"/>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973" w:name="q308"/>
      <w:bookmarkEnd w:id="973"/>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Management’s Discussion and Analysis of Financial Condition and Results of Operations (the “MD&amp;A) should be read in conjunction with our financial statements and the related notes thereto included elsewhere herein. This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report. Our actual results and the timing of events could differ materially from those anticipated in these forward-looking statements as a result of several factors.</w:t>
      </w:r>
    </w:p>
    <w:p>
      <w:pPr>
        <w:pStyle w:val="TextBody"/>
        <w:bidi w:val="0"/>
        <w:spacing w:before="0" w:after="0"/>
        <w:ind w:left="160" w:right="158"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 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Overview</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is a U.S.-based online retailer and supplier of consumer home, garden and pet products. Through the operations of our e-commerce platform, www.simpledeluxe.com and www.Zenhydro.com, as well as Amazon, Walmart and eBay, our combined 121,000 square foot fulfillment centers in Los Angeles, California, and our 99,000 square foot fulfillment center in Rancho Cucamonga, California, we believe we are one of the leading online marketers, distributors and retailers of home fans, shelving, gaming chairs, grow-light systems, ventilation systems, activated carbon filters, nutrients, hydroponic water-resistant grow tents, trimming machines, pumps, accessories for hydroponic gardening and certain pet products, based on management’s estimates. We have a diverse customer base that includes commercial users and individuals. Our core strategy continues to focus on expanding our geographic reach across the United States through organic growth, both in terms of expanding customer base as well as brand and product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actively developing and acquiring our in-house branded products, which to date include the </w:t>
      </w:r>
      <w:r>
        <w:rPr>
          <w:rFonts w:ascii="Times New Roman;Times;Serif" w:hAnsi="Times New Roman;Times;Serif"/>
          <w:b/>
          <w:i/>
          <w:caps w:val="false"/>
          <w:smallCaps w:val="false"/>
          <w:sz w:val="20"/>
        </w:rPr>
        <w:t xml:space="preserve">iPower, Simple Deluxe </w:t>
      </w:r>
      <w:r>
        <w:rPr>
          <w:rFonts w:ascii="Times New Roman;Times;Serif" w:hAnsi="Times New Roman;Times;Serif"/>
          <w:b w:val="false"/>
          <w:i w:val="false"/>
          <w:caps w:val="false"/>
          <w:smallCaps w:val="false"/>
          <w:sz w:val="20"/>
        </w:rPr>
        <w:t>and other brands and consist of products such as home goods, fans, pet products, grow-light systems, ventilation systems, activated carbon filters, nutrients, hydroponic water-resistant grow tents, trimming machines, pumps and many more hydroponic-related items; some of which have been designated as Amazon best seller product leaders, among others. For the nine months ended March 31, 2023, our top five product segments accounted for 74% of total sales. While we continue to focus on our top product categories, we are working to expand our product catalog to include new and adjacent categories.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Trends and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Product and Brand Development</w:t>
      </w:r>
    </w:p>
    <w:p>
      <w:pPr>
        <w:pStyle w:val="TextBody"/>
        <w:bidi w:val="0"/>
        <w:spacing w:before="0" w:after="0"/>
        <w:ind w:left="160" w:right="159"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plan to increase our investments in product and brand development. We actively evaluate potential acquisition opportunities of companies and product brand names that can complement our product catalog and improve on existing products and supply chain efficiencies.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Global Economic Disruption </w:t>
      </w:r>
    </w:p>
    <w:p>
      <w:pPr>
        <w:pStyle w:val="TextBody"/>
        <w:bidi w:val="0"/>
        <w:spacing w:before="0" w:after="0"/>
        <w:ind w:left="160" w:right="159"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at present the majority of our products are sourced either in the United States or Mainland China, the military conflict between Russia and Ukraine may nonetheless increase the likelihood that we may experience supply chain disruptions or otherwise hinder our ability to find the materials we need to make our products.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pStyle w:val="TextBody"/>
        <w:bidi w:val="0"/>
        <w:spacing w:before="0" w:after="0"/>
        <w:ind w:left="160" w:right="159"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Ongoing COVID-19 Epidemic and Related Disruptions</w:t>
      </w:r>
    </w:p>
    <w:p>
      <w:pPr>
        <w:pStyle w:val="TextBody"/>
        <w:bidi w:val="0"/>
        <w:spacing w:before="0" w:after="0"/>
        <w:ind w:left="159" w:right="159"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continuing to closely monitor the impact of the ongoing COVID-19 epidemic on our business, results of operations and financial results. The situation surrounding the COVID-19 epidemic remains fluid and the full extent of the positive or negative impact of the COVID-19 outbreak on our business will depend on certain developments including the length of time that the epidemic continues, the impact on consumer activity and behaviors and the effect on our customers, employees, suppliers and stockholders, all of which are uncertain and cannot be predicted. Our focus remains on promoting the health, safety and financial security of our employees and serving our customers. As a result, we have taken a number of precautionary measures, including implementing social distancing and enhanced cleaning measures in our facilities, providing emergency paid time off and targeted hourly pay increases as well as developing no contact delivery methods. While the COVID-19 epidemic has not had a material adverse impact on our operations to date and we believe the long-term opportunity for shopping online remains unchanged, it is difficult to predict all of the positive or negative impacts the COVID-19 epidemic will have on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Regulatory Environment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hydroponic gardening products to end users that may use such products in new and emerging industries or segments, including for use in growing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For example, certain countries and a total of 44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certain U.S. states prohibit growing cannabis. Demand for our products could be impacted by changes in the regulatory environment with respect to such industries and segments.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three months ended March 31, 2023 and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certain unaudited condensed consolidated statement of operations information and presentation of that data as a percentage of change from period to period. </w:t>
      </w:r>
    </w:p>
    <w:p>
      <w:pPr>
        <w:pStyle w:val="TextBody"/>
        <w:bidi w:val="0"/>
        <w:spacing w:before="0" w:after="0"/>
        <w:ind w:left="0" w:right="0" w:firstLine="8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099"/>
        <w:gridCol w:w="60"/>
        <w:gridCol w:w="197"/>
        <w:gridCol w:w="1555"/>
        <w:gridCol w:w="95"/>
        <w:gridCol w:w="60"/>
        <w:gridCol w:w="197"/>
        <w:gridCol w:w="1555"/>
        <w:gridCol w:w="95"/>
        <w:gridCol w:w="60"/>
        <w:gridCol w:w="60"/>
        <w:gridCol w:w="1058"/>
        <w:gridCol w:w="114"/>
      </w:tblGrid>
      <w:tr>
        <w:trPr/>
        <w:tc>
          <w:tcPr>
            <w:tcW w:w="5099"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75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2"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114" w:type="dxa"/>
            <w:tcBorders/>
            <w:vAlign w:val="center"/>
          </w:tcPr>
          <w:p>
            <w:pPr>
              <w:pStyle w:val="TableContents"/>
              <w:bidi w:val="0"/>
              <w:spacing w:before="0" w:after="283"/>
              <w:jc w:val="left"/>
              <w:rPr/>
            </w:pPr>
            <w:r>
              <w:rPr/>
              <w:t> </w:t>
            </w:r>
          </w:p>
        </w:tc>
      </w:tr>
      <w:tr>
        <w:trPr/>
        <w:tc>
          <w:tcPr>
            <w:tcW w:w="5099" w:type="dxa"/>
            <w:tcBorders/>
            <w:shd w:fill="EEEEEE" w:val="clear"/>
            <w:vAlign w:val="center"/>
          </w:tcPr>
          <w:p>
            <w:pPr>
              <w:pStyle w:val="TableContents"/>
              <w:bidi w:val="0"/>
              <w:spacing w:before="0" w:after="283"/>
              <w:jc w:val="left"/>
              <w:rPr/>
            </w:pPr>
            <w:r>
              <w:rPr/>
              <w:t>Revenues</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w:t>
            </w:r>
          </w:p>
        </w:tc>
        <w:tc>
          <w:tcPr>
            <w:tcW w:w="1555" w:type="dxa"/>
            <w:tcBorders/>
            <w:shd w:fill="EEEEEE" w:val="clear"/>
            <w:vAlign w:val="center"/>
          </w:tcPr>
          <w:p>
            <w:pPr>
              <w:pStyle w:val="TableContents"/>
              <w:bidi w:val="0"/>
              <w:spacing w:before="0" w:after="283"/>
              <w:jc w:val="right"/>
              <w:rPr/>
            </w:pPr>
            <w:r>
              <w:rPr/>
              <w:t>20,225,619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w:t>
            </w:r>
          </w:p>
        </w:tc>
        <w:tc>
          <w:tcPr>
            <w:tcW w:w="1555" w:type="dxa"/>
            <w:tcBorders/>
            <w:shd w:fill="EEEEEE" w:val="clear"/>
            <w:vAlign w:val="center"/>
          </w:tcPr>
          <w:p>
            <w:pPr>
              <w:pStyle w:val="TableContents"/>
              <w:bidi w:val="0"/>
              <w:spacing w:before="0" w:after="283"/>
              <w:jc w:val="right"/>
              <w:rPr/>
            </w:pPr>
            <w:r>
              <w:rPr/>
              <w:t>22,808,214</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58" w:type="dxa"/>
            <w:tcBorders/>
            <w:shd w:fill="EEEEEE" w:val="clear"/>
            <w:vAlign w:val="center"/>
          </w:tcPr>
          <w:p>
            <w:pPr>
              <w:pStyle w:val="TableContents"/>
              <w:bidi w:val="0"/>
              <w:spacing w:before="0" w:after="283"/>
              <w:jc w:val="right"/>
              <w:rPr/>
            </w:pPr>
            <w:r>
              <w:rPr/>
              <w:t>(11.32%</w:t>
            </w:r>
          </w:p>
        </w:tc>
        <w:tc>
          <w:tcPr>
            <w:tcW w:w="114" w:type="dxa"/>
            <w:tcBorders/>
            <w:shd w:fill="EEEEEE" w:val="clear"/>
            <w:vAlign w:val="center"/>
          </w:tcPr>
          <w:p>
            <w:pPr>
              <w:pStyle w:val="TableContents"/>
              <w:bidi w:val="0"/>
              <w:spacing w:before="0" w:after="283"/>
              <w:jc w:val="left"/>
              <w:rPr/>
            </w:pPr>
            <w:r>
              <w:rPr/>
              <w:t>)</w:t>
            </w:r>
          </w:p>
        </w:tc>
      </w:tr>
      <w:tr>
        <w:trPr/>
        <w:tc>
          <w:tcPr>
            <w:tcW w:w="5099"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5" w:type="dxa"/>
            <w:tcBorders>
              <w:bottom w:val="single" w:sz="8" w:space="0" w:color="000000"/>
            </w:tcBorders>
            <w:shd w:fill="FFFFFF" w:val="clear"/>
            <w:tcMar>
              <w:bottom w:w="28" w:type="dxa"/>
            </w:tcMar>
            <w:vAlign w:val="center"/>
          </w:tcPr>
          <w:p>
            <w:pPr>
              <w:pStyle w:val="TableContents"/>
              <w:bidi w:val="0"/>
              <w:spacing w:before="0" w:after="283"/>
              <w:jc w:val="right"/>
              <w:rPr/>
            </w:pPr>
            <w:r>
              <w:rPr/>
              <w:t>12,433,898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5" w:type="dxa"/>
            <w:tcBorders>
              <w:bottom w:val="single" w:sz="8" w:space="0" w:color="000000"/>
            </w:tcBorders>
            <w:shd w:fill="FFFFFF" w:val="clear"/>
            <w:tcMar>
              <w:bottom w:w="28" w:type="dxa"/>
            </w:tcMar>
            <w:vAlign w:val="center"/>
          </w:tcPr>
          <w:p>
            <w:pPr>
              <w:pStyle w:val="TableContents"/>
              <w:bidi w:val="0"/>
              <w:spacing w:before="0" w:after="283"/>
              <w:jc w:val="right"/>
              <w:rPr/>
            </w:pPr>
            <w:r>
              <w:rPr/>
              <w:t>13,598,563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(8.56%</w:t>
            </w:r>
          </w:p>
        </w:tc>
        <w:tc>
          <w:tcPr>
            <w:tcW w:w="114" w:type="dxa"/>
            <w:tcBorders/>
            <w:shd w:fill="FFFFFF" w:val="clear"/>
            <w:vAlign w:val="center"/>
          </w:tcPr>
          <w:p>
            <w:pPr>
              <w:pStyle w:val="TableContents"/>
              <w:bidi w:val="0"/>
              <w:spacing w:before="0" w:after="283"/>
              <w:jc w:val="left"/>
              <w:rPr/>
            </w:pPr>
            <w:r>
              <w:rPr/>
              <w:t>)</w:t>
            </w:r>
          </w:p>
        </w:tc>
      </w:tr>
      <w:tr>
        <w:trPr/>
        <w:tc>
          <w:tcPr>
            <w:tcW w:w="5099" w:type="dxa"/>
            <w:tcBorders/>
            <w:shd w:fill="EEEEEE" w:val="clear"/>
            <w:vAlign w:val="center"/>
          </w:tcPr>
          <w:p>
            <w:pPr>
              <w:pStyle w:val="TableContents"/>
              <w:bidi w:val="0"/>
              <w:spacing w:before="0" w:after="283"/>
              <w:jc w:val="left"/>
              <w:rPr/>
            </w:pPr>
            <w:r>
              <w:rPr/>
              <w:t>Gross profit</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p>
        </w:tc>
        <w:tc>
          <w:tcPr>
            <w:tcW w:w="1555" w:type="dxa"/>
            <w:tcBorders/>
            <w:shd w:fill="EEEEEE" w:val="clear"/>
            <w:vAlign w:val="center"/>
          </w:tcPr>
          <w:p>
            <w:pPr>
              <w:pStyle w:val="TableContents"/>
              <w:bidi w:val="0"/>
              <w:spacing w:before="0" w:after="283"/>
              <w:jc w:val="right"/>
              <w:rPr/>
            </w:pPr>
            <w:r>
              <w:rPr/>
              <w:t>7,791,721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p>
        </w:tc>
        <w:tc>
          <w:tcPr>
            <w:tcW w:w="1555" w:type="dxa"/>
            <w:tcBorders/>
            <w:shd w:fill="EEEEEE" w:val="clear"/>
            <w:vAlign w:val="center"/>
          </w:tcPr>
          <w:p>
            <w:pPr>
              <w:pStyle w:val="TableContents"/>
              <w:bidi w:val="0"/>
              <w:spacing w:before="0" w:after="283"/>
              <w:jc w:val="right"/>
              <w:rPr/>
            </w:pPr>
            <w:r>
              <w:rPr/>
              <w:t>9,209,651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58" w:type="dxa"/>
            <w:tcBorders/>
            <w:shd w:fill="EEEEEE" w:val="clear"/>
            <w:vAlign w:val="center"/>
          </w:tcPr>
          <w:p>
            <w:pPr>
              <w:pStyle w:val="TableContents"/>
              <w:bidi w:val="0"/>
              <w:spacing w:before="0" w:after="283"/>
              <w:jc w:val="right"/>
              <w:rPr/>
            </w:pPr>
            <w:r>
              <w:rPr/>
              <w:t>(15.40%</w:t>
            </w:r>
          </w:p>
        </w:tc>
        <w:tc>
          <w:tcPr>
            <w:tcW w:w="114" w:type="dxa"/>
            <w:tcBorders/>
            <w:shd w:fill="EEEEEE" w:val="clear"/>
            <w:vAlign w:val="center"/>
          </w:tcPr>
          <w:p>
            <w:pPr>
              <w:pStyle w:val="TableContents"/>
              <w:bidi w:val="0"/>
              <w:spacing w:before="0" w:after="283"/>
              <w:jc w:val="left"/>
              <w:rPr/>
            </w:pPr>
            <w:r>
              <w:rPr/>
              <w:t>)</w:t>
            </w:r>
          </w:p>
        </w:tc>
      </w:tr>
      <w:tr>
        <w:trPr/>
        <w:tc>
          <w:tcPr>
            <w:tcW w:w="5099"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5" w:type="dxa"/>
            <w:tcBorders>
              <w:bottom w:val="single" w:sz="8" w:space="0" w:color="000000"/>
            </w:tcBorders>
            <w:shd w:fill="FFFFFF" w:val="clear"/>
            <w:tcMar>
              <w:bottom w:w="28" w:type="dxa"/>
            </w:tcMar>
            <w:vAlign w:val="center"/>
          </w:tcPr>
          <w:p>
            <w:pPr>
              <w:pStyle w:val="TableContents"/>
              <w:bidi w:val="0"/>
              <w:spacing w:before="0" w:after="283"/>
              <w:jc w:val="right"/>
              <w:rPr/>
            </w:pPr>
            <w:r>
              <w:rPr/>
              <w:t>9,602,919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5" w:type="dxa"/>
            <w:tcBorders>
              <w:bottom w:val="single" w:sz="8" w:space="0" w:color="000000"/>
            </w:tcBorders>
            <w:shd w:fill="FFFFFF" w:val="clear"/>
            <w:tcMar>
              <w:bottom w:w="28" w:type="dxa"/>
            </w:tcMar>
            <w:vAlign w:val="center"/>
          </w:tcPr>
          <w:p>
            <w:pPr>
              <w:pStyle w:val="TableContents"/>
              <w:bidi w:val="0"/>
              <w:spacing w:before="0" w:after="283"/>
              <w:jc w:val="right"/>
              <w:rPr/>
            </w:pPr>
            <w:r>
              <w:rPr/>
              <w:t>7,832,662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22.60%</w:t>
            </w:r>
          </w:p>
        </w:tc>
        <w:tc>
          <w:tcPr>
            <w:tcW w:w="114" w:type="dxa"/>
            <w:tcBorders/>
            <w:shd w:fill="FFFFFF" w:val="clear"/>
            <w:vAlign w:val="center"/>
          </w:tcPr>
          <w:p>
            <w:pPr>
              <w:pStyle w:val="TableContents"/>
              <w:bidi w:val="0"/>
              <w:spacing w:before="0" w:after="283"/>
              <w:jc w:val="left"/>
              <w:rPr/>
            </w:pPr>
            <w:r>
              <w:rPr/>
              <w:t> </w:t>
            </w:r>
          </w:p>
        </w:tc>
      </w:tr>
      <w:tr>
        <w:trPr/>
        <w:tc>
          <w:tcPr>
            <w:tcW w:w="5099" w:type="dxa"/>
            <w:tcBorders/>
            <w:shd w:fill="EEEEEE" w:val="clear"/>
            <w:vAlign w:val="center"/>
          </w:tcPr>
          <w:p>
            <w:pPr>
              <w:pStyle w:val="TableContents"/>
              <w:bidi w:val="0"/>
              <w:spacing w:before="0" w:after="283"/>
              <w:jc w:val="left"/>
              <w:rPr/>
            </w:pPr>
            <w:r>
              <w:rPr/>
              <w:t>Operating (loss) income</w:t>
            </w:r>
          </w:p>
        </w:tc>
        <w:tc>
          <w:tcPr>
            <w:tcW w:w="60" w:type="dxa"/>
            <w:tcBorders/>
            <w:shd w:fill="EEEEEE" w:val="clear"/>
            <w:vAlign w:val="center"/>
          </w:tcPr>
          <w:p>
            <w:pPr>
              <w:pStyle w:val="TableContents"/>
              <w:bidi w:val="0"/>
              <w:spacing w:before="0" w:after="283"/>
              <w:jc w:val="left"/>
              <w:rPr/>
            </w:pPr>
            <w:r>
              <w:rPr/>
              <w:t> </w:t>
            </w:r>
          </w:p>
        </w:tc>
        <w:tc>
          <w:tcPr>
            <w:tcW w:w="19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555" w:type="dxa"/>
            <w:tcBorders>
              <w:bottom w:val="single" w:sz="8" w:space="0" w:color="000000"/>
            </w:tcBorders>
            <w:shd w:fill="EEEEEE" w:val="clear"/>
            <w:tcMar>
              <w:bottom w:w="28" w:type="dxa"/>
            </w:tcMar>
            <w:vAlign w:val="center"/>
          </w:tcPr>
          <w:p>
            <w:pPr>
              <w:pStyle w:val="TableContents"/>
              <w:bidi w:val="0"/>
              <w:spacing w:before="0" w:after="283"/>
              <w:jc w:val="right"/>
              <w:rPr/>
            </w:pPr>
            <w:r>
              <w:rPr/>
              <w:t>(1,811,198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9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555" w:type="dxa"/>
            <w:tcBorders>
              <w:bottom w:val="single" w:sz="8" w:space="0" w:color="000000"/>
            </w:tcBorders>
            <w:shd w:fill="EEEEEE" w:val="clear"/>
            <w:tcMar>
              <w:bottom w:w="28" w:type="dxa"/>
            </w:tcMar>
            <w:vAlign w:val="center"/>
          </w:tcPr>
          <w:p>
            <w:pPr>
              <w:pStyle w:val="TableContents"/>
              <w:bidi w:val="0"/>
              <w:spacing w:before="0" w:after="283"/>
              <w:jc w:val="right"/>
              <w:rPr/>
            </w:pPr>
            <w:r>
              <w:rPr/>
              <w:t>1,376,989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58" w:type="dxa"/>
            <w:tcBorders/>
            <w:shd w:fill="EEEEEE" w:val="clear"/>
            <w:vAlign w:val="center"/>
          </w:tcPr>
          <w:p>
            <w:pPr>
              <w:pStyle w:val="TableContents"/>
              <w:bidi w:val="0"/>
              <w:spacing w:before="0" w:after="283"/>
              <w:jc w:val="right"/>
              <w:rPr/>
            </w:pPr>
            <w:r>
              <w:rPr/>
              <w:t>(231.53%</w:t>
            </w:r>
          </w:p>
        </w:tc>
        <w:tc>
          <w:tcPr>
            <w:tcW w:w="114" w:type="dxa"/>
            <w:tcBorders/>
            <w:shd w:fill="EEEEEE" w:val="clear"/>
            <w:vAlign w:val="center"/>
          </w:tcPr>
          <w:p>
            <w:pPr>
              <w:pStyle w:val="TableContents"/>
              <w:bidi w:val="0"/>
              <w:spacing w:before="0" w:after="283"/>
              <w:jc w:val="left"/>
              <w:rPr/>
            </w:pPr>
            <w:r>
              <w:rPr/>
              <w:t>)</w:t>
            </w:r>
          </w:p>
        </w:tc>
      </w:tr>
      <w:tr>
        <w:trPr/>
        <w:tc>
          <w:tcPr>
            <w:tcW w:w="5099"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5" w:type="dxa"/>
            <w:tcBorders>
              <w:bottom w:val="single" w:sz="8" w:space="0" w:color="000000"/>
            </w:tcBorders>
            <w:shd w:fill="FFFFFF" w:val="clear"/>
            <w:tcMar>
              <w:bottom w:w="28" w:type="dxa"/>
            </w:tcMar>
            <w:vAlign w:val="center"/>
          </w:tcPr>
          <w:p>
            <w:pPr>
              <w:pStyle w:val="TableContents"/>
              <w:bidi w:val="0"/>
              <w:spacing w:before="0" w:after="283"/>
              <w:jc w:val="right"/>
              <w:rPr/>
            </w:pPr>
            <w:r>
              <w:rPr/>
              <w:t>(312,155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5" w:type="dxa"/>
            <w:tcBorders>
              <w:bottom w:val="single" w:sz="8" w:space="0" w:color="000000"/>
            </w:tcBorders>
            <w:shd w:fill="FFFFFF" w:val="clear"/>
            <w:tcMar>
              <w:bottom w:w="28" w:type="dxa"/>
            </w:tcMar>
            <w:vAlign w:val="center"/>
          </w:tcPr>
          <w:p>
            <w:pPr>
              <w:pStyle w:val="TableContents"/>
              <w:bidi w:val="0"/>
              <w:spacing w:before="0" w:after="283"/>
              <w:jc w:val="right"/>
              <w:rPr/>
            </w:pPr>
            <w:r>
              <w:rPr/>
              <w:t>(159,447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95.77%</w:t>
            </w:r>
          </w:p>
        </w:tc>
        <w:tc>
          <w:tcPr>
            <w:tcW w:w="114" w:type="dxa"/>
            <w:tcBorders/>
            <w:shd w:fill="FFFFFF" w:val="clear"/>
            <w:vAlign w:val="center"/>
          </w:tcPr>
          <w:p>
            <w:pPr>
              <w:pStyle w:val="TableContents"/>
              <w:bidi w:val="0"/>
              <w:spacing w:before="0" w:after="283"/>
              <w:jc w:val="left"/>
              <w:rPr/>
            </w:pPr>
            <w:r>
              <w:rPr/>
              <w:t> </w:t>
            </w:r>
          </w:p>
        </w:tc>
      </w:tr>
      <w:tr>
        <w:trPr/>
        <w:tc>
          <w:tcPr>
            <w:tcW w:w="5099" w:type="dxa"/>
            <w:tcBorders/>
            <w:shd w:fill="EEEEEE" w:val="clear"/>
            <w:vAlign w:val="center"/>
          </w:tcPr>
          <w:p>
            <w:pPr>
              <w:pStyle w:val="TableContents"/>
              <w:bidi w:val="0"/>
              <w:spacing w:before="0" w:after="283"/>
              <w:jc w:val="left"/>
              <w:rPr/>
            </w:pPr>
            <w:r>
              <w:rPr/>
              <w:t>(Loss) Income before income taxes</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p>
        </w:tc>
        <w:tc>
          <w:tcPr>
            <w:tcW w:w="1555" w:type="dxa"/>
            <w:tcBorders/>
            <w:shd w:fill="EEEEEE" w:val="clear"/>
            <w:vAlign w:val="center"/>
          </w:tcPr>
          <w:p>
            <w:pPr>
              <w:pStyle w:val="TableContents"/>
              <w:bidi w:val="0"/>
              <w:spacing w:before="0" w:after="283"/>
              <w:jc w:val="right"/>
              <w:rPr/>
            </w:pPr>
            <w:r>
              <w:rPr/>
              <w:t>(2,123,353</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p>
        </w:tc>
        <w:tc>
          <w:tcPr>
            <w:tcW w:w="1555" w:type="dxa"/>
            <w:tcBorders/>
            <w:shd w:fill="EEEEEE" w:val="clear"/>
            <w:vAlign w:val="center"/>
          </w:tcPr>
          <w:p>
            <w:pPr>
              <w:pStyle w:val="TableContents"/>
              <w:bidi w:val="0"/>
              <w:spacing w:before="0" w:after="283"/>
              <w:jc w:val="right"/>
              <w:rPr/>
            </w:pPr>
            <w:r>
              <w:rPr/>
              <w:t>1,217,542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58" w:type="dxa"/>
            <w:tcBorders/>
            <w:shd w:fill="EEEEEE" w:val="clear"/>
            <w:vAlign w:val="center"/>
          </w:tcPr>
          <w:p>
            <w:pPr>
              <w:pStyle w:val="TableContents"/>
              <w:bidi w:val="0"/>
              <w:spacing w:before="0" w:after="283"/>
              <w:jc w:val="right"/>
              <w:rPr/>
            </w:pPr>
            <w:r>
              <w:rPr/>
              <w:t>(274.40%</w:t>
            </w:r>
          </w:p>
        </w:tc>
        <w:tc>
          <w:tcPr>
            <w:tcW w:w="114" w:type="dxa"/>
            <w:tcBorders/>
            <w:shd w:fill="EEEEEE" w:val="clear"/>
            <w:vAlign w:val="center"/>
          </w:tcPr>
          <w:p>
            <w:pPr>
              <w:pStyle w:val="TableContents"/>
              <w:bidi w:val="0"/>
              <w:spacing w:before="0" w:after="283"/>
              <w:jc w:val="left"/>
              <w:rPr/>
            </w:pPr>
            <w:r>
              <w:rPr/>
              <w:t>)</w:t>
            </w:r>
          </w:p>
        </w:tc>
      </w:tr>
      <w:tr>
        <w:trPr/>
        <w:tc>
          <w:tcPr>
            <w:tcW w:w="5099" w:type="dxa"/>
            <w:tcBorders/>
            <w:shd w:fill="FFFFFF" w:val="clear"/>
            <w:vAlign w:val="center"/>
          </w:tcPr>
          <w:p>
            <w:pPr>
              <w:pStyle w:val="TableContents"/>
              <w:bidi w:val="0"/>
              <w:spacing w:before="0" w:after="283"/>
              <w:jc w:val="left"/>
              <w:rPr/>
            </w:pPr>
            <w:r>
              <w:rPr/>
              <w:t>Income tax (benefit) expense</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5" w:type="dxa"/>
            <w:tcBorders>
              <w:bottom w:val="single" w:sz="8" w:space="0" w:color="000000"/>
            </w:tcBorders>
            <w:shd w:fill="FFFFFF" w:val="clear"/>
            <w:tcMar>
              <w:bottom w:w="28" w:type="dxa"/>
            </w:tcMar>
            <w:vAlign w:val="center"/>
          </w:tcPr>
          <w:p>
            <w:pPr>
              <w:pStyle w:val="TableContents"/>
              <w:bidi w:val="0"/>
              <w:spacing w:before="0" w:after="283"/>
              <w:jc w:val="right"/>
              <w:rPr/>
            </w:pPr>
            <w:r>
              <w:rPr/>
              <w:t>(589,581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5" w:type="dxa"/>
            <w:tcBorders>
              <w:bottom w:val="single" w:sz="8" w:space="0" w:color="000000"/>
            </w:tcBorders>
            <w:shd w:fill="FFFFFF" w:val="clear"/>
            <w:tcMar>
              <w:bottom w:w="28" w:type="dxa"/>
            </w:tcMar>
            <w:vAlign w:val="center"/>
          </w:tcPr>
          <w:p>
            <w:pPr>
              <w:pStyle w:val="TableContents"/>
              <w:bidi w:val="0"/>
              <w:spacing w:before="0" w:after="283"/>
              <w:jc w:val="right"/>
              <w:rPr/>
            </w:pPr>
            <w:r>
              <w:rPr/>
              <w:t>39,855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(1579.32%</w:t>
            </w:r>
          </w:p>
        </w:tc>
        <w:tc>
          <w:tcPr>
            <w:tcW w:w="114" w:type="dxa"/>
            <w:tcBorders/>
            <w:shd w:fill="FFFFFF" w:val="clear"/>
            <w:vAlign w:val="center"/>
          </w:tcPr>
          <w:p>
            <w:pPr>
              <w:pStyle w:val="TableContents"/>
              <w:bidi w:val="0"/>
              <w:spacing w:before="0" w:after="283"/>
              <w:jc w:val="left"/>
              <w:rPr/>
            </w:pPr>
            <w:r>
              <w:rPr/>
              <w:t>)</w:t>
            </w:r>
          </w:p>
        </w:tc>
      </w:tr>
      <w:tr>
        <w:trPr/>
        <w:tc>
          <w:tcPr>
            <w:tcW w:w="5099" w:type="dxa"/>
            <w:tcBorders/>
            <w:shd w:fill="EEEEEE" w:val="clear"/>
            <w:vAlign w:val="center"/>
          </w:tcPr>
          <w:p>
            <w:pPr>
              <w:pStyle w:val="TableContents"/>
              <w:bidi w:val="0"/>
              <w:spacing w:before="0" w:after="283"/>
              <w:jc w:val="left"/>
              <w:rPr/>
            </w:pPr>
            <w:r>
              <w:rPr/>
              <w:t>Net (loss) income</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p>
        </w:tc>
        <w:tc>
          <w:tcPr>
            <w:tcW w:w="1555" w:type="dxa"/>
            <w:tcBorders/>
            <w:shd w:fill="EEEEEE" w:val="clear"/>
            <w:vAlign w:val="center"/>
          </w:tcPr>
          <w:p>
            <w:pPr>
              <w:pStyle w:val="TableContents"/>
              <w:bidi w:val="0"/>
              <w:spacing w:before="0" w:after="283"/>
              <w:jc w:val="right"/>
              <w:rPr/>
            </w:pPr>
            <w:r>
              <w:rPr/>
              <w:t>(1,533,772</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p>
        </w:tc>
        <w:tc>
          <w:tcPr>
            <w:tcW w:w="1555" w:type="dxa"/>
            <w:tcBorders/>
            <w:shd w:fill="EEEEEE" w:val="clear"/>
            <w:vAlign w:val="center"/>
          </w:tcPr>
          <w:p>
            <w:pPr>
              <w:pStyle w:val="TableContents"/>
              <w:bidi w:val="0"/>
              <w:spacing w:before="0" w:after="283"/>
              <w:jc w:val="right"/>
              <w:rPr/>
            </w:pPr>
            <w:r>
              <w:rPr/>
              <w:t>1,177,687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58" w:type="dxa"/>
            <w:tcBorders/>
            <w:shd w:fill="EEEEEE" w:val="clear"/>
            <w:vAlign w:val="center"/>
          </w:tcPr>
          <w:p>
            <w:pPr>
              <w:pStyle w:val="TableContents"/>
              <w:bidi w:val="0"/>
              <w:spacing w:before="0" w:after="283"/>
              <w:jc w:val="right"/>
              <w:rPr/>
            </w:pPr>
            <w:r>
              <w:rPr/>
              <w:t>(230.24%</w:t>
            </w:r>
          </w:p>
        </w:tc>
        <w:tc>
          <w:tcPr>
            <w:tcW w:w="114" w:type="dxa"/>
            <w:tcBorders/>
            <w:shd w:fill="EEEEEE" w:val="clear"/>
            <w:vAlign w:val="center"/>
          </w:tcPr>
          <w:p>
            <w:pPr>
              <w:pStyle w:val="TableContents"/>
              <w:bidi w:val="0"/>
              <w:spacing w:before="0" w:after="283"/>
              <w:jc w:val="left"/>
              <w:rPr/>
            </w:pPr>
            <w:r>
              <w:rPr/>
              <w:t>)</w:t>
            </w:r>
          </w:p>
        </w:tc>
      </w:tr>
      <w:tr>
        <w:trPr/>
        <w:tc>
          <w:tcPr>
            <w:tcW w:w="5099"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5" w:type="dxa"/>
            <w:tcBorders>
              <w:bottom w:val="single" w:sz="8" w:space="0" w:color="000000"/>
            </w:tcBorders>
            <w:shd w:fill="FFFFFF" w:val="clear"/>
            <w:tcMar>
              <w:bottom w:w="28" w:type="dxa"/>
            </w:tcMar>
            <w:vAlign w:val="center"/>
          </w:tcPr>
          <w:p>
            <w:pPr>
              <w:pStyle w:val="TableContents"/>
              <w:bidi w:val="0"/>
              <w:spacing w:before="0" w:after="283"/>
              <w:jc w:val="right"/>
              <w:rPr/>
            </w:pPr>
            <w:r>
              <w:rPr/>
              <w:t>(3,238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5" w:type="dxa"/>
            <w:tcBorders>
              <w:bottom w:val="single" w:sz="8" w:space="0" w:color="000000"/>
            </w:tcBorders>
            <w:shd w:fill="FFFFFF" w:val="clear"/>
            <w:tcMar>
              <w:bottom w:w="28" w:type="dxa"/>
            </w:tcMar>
            <w:vAlign w:val="center"/>
          </w:tcPr>
          <w:p>
            <w:pPr>
              <w:pStyle w:val="TableContents"/>
              <w:bidi w:val="0"/>
              <w:spacing w:before="0" w:after="283"/>
              <w:jc w:val="right"/>
              <w:rPr/>
            </w:pPr>
            <w:r>
              <w:rPr/>
              <w:t>(4,070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(20.44%</w:t>
            </w:r>
          </w:p>
        </w:tc>
        <w:tc>
          <w:tcPr>
            <w:tcW w:w="114" w:type="dxa"/>
            <w:tcBorders/>
            <w:shd w:fill="FFFFFF" w:val="clear"/>
            <w:vAlign w:val="center"/>
          </w:tcPr>
          <w:p>
            <w:pPr>
              <w:pStyle w:val="TableContents"/>
              <w:bidi w:val="0"/>
              <w:spacing w:before="0" w:after="283"/>
              <w:jc w:val="left"/>
              <w:rPr/>
            </w:pPr>
            <w:r>
              <w:rPr/>
              <w:t>)</w:t>
            </w:r>
          </w:p>
        </w:tc>
      </w:tr>
      <w:tr>
        <w:trPr/>
        <w:tc>
          <w:tcPr>
            <w:tcW w:w="5099" w:type="dxa"/>
            <w:tcBorders/>
            <w:shd w:fill="EEEEEE" w:val="clear"/>
            <w:vAlign w:val="center"/>
          </w:tcPr>
          <w:p>
            <w:pPr>
              <w:pStyle w:val="TableContents"/>
              <w:bidi w:val="0"/>
              <w:spacing w:before="0" w:after="283"/>
              <w:jc w:val="left"/>
              <w:rPr/>
            </w:pPr>
            <w:r>
              <w:rPr/>
              <w:t>Net (loss) income attributable to iPower Inc.</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p>
        </w:tc>
        <w:tc>
          <w:tcPr>
            <w:tcW w:w="1555" w:type="dxa"/>
            <w:tcBorders/>
            <w:shd w:fill="EEEEEE" w:val="clear"/>
            <w:vAlign w:val="center"/>
          </w:tcPr>
          <w:p>
            <w:pPr>
              <w:pStyle w:val="TableContents"/>
              <w:bidi w:val="0"/>
              <w:spacing w:before="0" w:after="283"/>
              <w:jc w:val="right"/>
              <w:rPr/>
            </w:pPr>
            <w:r>
              <w:rPr/>
              <w:t>(1,530,534</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p>
        </w:tc>
        <w:tc>
          <w:tcPr>
            <w:tcW w:w="1555" w:type="dxa"/>
            <w:tcBorders/>
            <w:shd w:fill="EEEEEE" w:val="clear"/>
            <w:vAlign w:val="center"/>
          </w:tcPr>
          <w:p>
            <w:pPr>
              <w:pStyle w:val="TableContents"/>
              <w:bidi w:val="0"/>
              <w:spacing w:before="0" w:after="283"/>
              <w:jc w:val="right"/>
              <w:rPr/>
            </w:pPr>
            <w:r>
              <w:rPr/>
              <w:t>1,181,757</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58" w:type="dxa"/>
            <w:tcBorders/>
            <w:shd w:fill="EEEEEE" w:val="clear"/>
            <w:vAlign w:val="center"/>
          </w:tcPr>
          <w:p>
            <w:pPr>
              <w:pStyle w:val="TableContents"/>
              <w:bidi w:val="0"/>
              <w:spacing w:before="0" w:after="283"/>
              <w:jc w:val="right"/>
              <w:rPr/>
            </w:pPr>
            <w:r>
              <w:rPr/>
              <w:t>(229.51%</w:t>
            </w:r>
          </w:p>
        </w:tc>
        <w:tc>
          <w:tcPr>
            <w:tcW w:w="114" w:type="dxa"/>
            <w:tcBorders/>
            <w:shd w:fill="EEEEEE" w:val="clear"/>
            <w:vAlign w:val="center"/>
          </w:tcPr>
          <w:p>
            <w:pPr>
              <w:pStyle w:val="TableContents"/>
              <w:bidi w:val="0"/>
              <w:spacing w:before="0" w:after="283"/>
              <w:jc w:val="left"/>
              <w:rPr/>
            </w:pPr>
            <w:r>
              <w:rPr/>
              <w:t>)</w:t>
            </w:r>
          </w:p>
        </w:tc>
      </w:tr>
      <w:tr>
        <w:trPr/>
        <w:tc>
          <w:tcPr>
            <w:tcW w:w="5099" w:type="dxa"/>
            <w:tcBorders/>
            <w:shd w:fill="FFFFFF" w:val="clear"/>
            <w:vAlign w:val="center"/>
          </w:tcPr>
          <w:p>
            <w:pPr>
              <w:pStyle w:val="TableContents"/>
              <w:bidi w:val="0"/>
              <w:spacing w:before="0" w:after="283"/>
              <w:jc w:val="left"/>
              <w:rPr/>
            </w:pPr>
            <w:r>
              <w:rPr/>
              <w:t>Other comprehensive loss</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5" w:type="dxa"/>
            <w:tcBorders>
              <w:bottom w:val="single" w:sz="8" w:space="0" w:color="000000"/>
            </w:tcBorders>
            <w:shd w:fill="FFFFFF" w:val="clear"/>
            <w:tcMar>
              <w:bottom w:w="28" w:type="dxa"/>
            </w:tcMar>
            <w:vAlign w:val="center"/>
          </w:tcPr>
          <w:p>
            <w:pPr>
              <w:pStyle w:val="TableContents"/>
              <w:bidi w:val="0"/>
              <w:spacing w:before="0" w:after="283"/>
              <w:jc w:val="right"/>
              <w:rPr/>
            </w:pPr>
            <w:r>
              <w:rPr/>
              <w:t>17,604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55" w:type="dxa"/>
            <w:tcBorders>
              <w:bottom w:val="single" w:sz="8" w:space="0" w:color="000000"/>
            </w:tcBorders>
            <w:shd w:fill="FFFFFF" w:val="clear"/>
            <w:tcMar>
              <w:bottom w:w="28" w:type="dxa"/>
            </w:tcMar>
            <w:vAlign w:val="center"/>
          </w:tcPr>
          <w:p>
            <w:pPr>
              <w:pStyle w:val="TableContents"/>
              <w:bidi w:val="0"/>
              <w:spacing w:before="0" w:after="283"/>
              <w:jc w:val="right"/>
              <w:rPr/>
            </w:pPr>
            <w:r>
              <w:rPr/>
              <w:t>(3,226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(645.69%</w:t>
            </w:r>
          </w:p>
        </w:tc>
        <w:tc>
          <w:tcPr>
            <w:tcW w:w="114" w:type="dxa"/>
            <w:tcBorders/>
            <w:shd w:fill="FFFFFF" w:val="clear"/>
            <w:vAlign w:val="center"/>
          </w:tcPr>
          <w:p>
            <w:pPr>
              <w:pStyle w:val="TableContents"/>
              <w:bidi w:val="0"/>
              <w:spacing w:before="0" w:after="283"/>
              <w:jc w:val="left"/>
              <w:rPr/>
            </w:pPr>
            <w:r>
              <w:rPr/>
              <w:t>)</w:t>
            </w:r>
          </w:p>
        </w:tc>
      </w:tr>
      <w:tr>
        <w:trPr/>
        <w:tc>
          <w:tcPr>
            <w:tcW w:w="5099" w:type="dxa"/>
            <w:tcBorders/>
            <w:shd w:fill="EEEEEE" w:val="clear"/>
            <w:vAlign w:val="center"/>
          </w:tcPr>
          <w:p>
            <w:pPr>
              <w:pStyle w:val="TableContents"/>
              <w:bidi w:val="0"/>
              <w:spacing w:before="0" w:after="283"/>
              <w:jc w:val="left"/>
              <w:rPr/>
            </w:pPr>
            <w:r>
              <w:rPr/>
              <w:t>Comprehensive (loss) income attributable to iPower Inc.</w:t>
            </w:r>
          </w:p>
        </w:tc>
        <w:tc>
          <w:tcPr>
            <w:tcW w:w="60" w:type="dxa"/>
            <w:tcBorders/>
            <w:shd w:fill="EEEEEE" w:val="clear"/>
            <w:vAlign w:val="center"/>
          </w:tcPr>
          <w:p>
            <w:pPr>
              <w:pStyle w:val="TableContents"/>
              <w:bidi w:val="0"/>
              <w:spacing w:before="0" w:after="283"/>
              <w:jc w:val="left"/>
              <w:rPr/>
            </w:pPr>
            <w:r>
              <w:rPr/>
              <w:t> </w:t>
            </w:r>
          </w:p>
        </w:tc>
        <w:tc>
          <w:tcPr>
            <w:tcW w:w="197"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555" w:type="dxa"/>
            <w:tcBorders>
              <w:bottom w:val="double" w:sz="6" w:space="0" w:color="000000"/>
            </w:tcBorders>
            <w:shd w:fill="EEEEEE" w:val="clear"/>
            <w:tcMar>
              <w:bottom w:w="28" w:type="dxa"/>
            </w:tcMar>
            <w:vAlign w:val="center"/>
          </w:tcPr>
          <w:p>
            <w:pPr>
              <w:pStyle w:val="TableContents"/>
              <w:bidi w:val="0"/>
              <w:spacing w:before="0" w:after="283"/>
              <w:jc w:val="right"/>
              <w:rPr/>
            </w:pPr>
            <w:r>
              <w:rPr/>
              <w:t>(1,512,930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97"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555" w:type="dxa"/>
            <w:tcBorders>
              <w:bottom w:val="double" w:sz="6" w:space="0" w:color="000000"/>
            </w:tcBorders>
            <w:shd w:fill="EEEEEE" w:val="clear"/>
            <w:tcMar>
              <w:bottom w:w="28" w:type="dxa"/>
            </w:tcMar>
            <w:vAlign w:val="center"/>
          </w:tcPr>
          <w:p>
            <w:pPr>
              <w:pStyle w:val="TableContents"/>
              <w:bidi w:val="0"/>
              <w:spacing w:before="0" w:after="283"/>
              <w:jc w:val="right"/>
              <w:rPr/>
            </w:pPr>
            <w:r>
              <w:rPr/>
              <w:t>1,178,531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58" w:type="dxa"/>
            <w:tcBorders/>
            <w:shd w:fill="EEEEEE" w:val="clear"/>
            <w:vAlign w:val="center"/>
          </w:tcPr>
          <w:p>
            <w:pPr>
              <w:pStyle w:val="TableContents"/>
              <w:bidi w:val="0"/>
              <w:spacing w:before="0" w:after="283"/>
              <w:jc w:val="right"/>
              <w:rPr/>
            </w:pPr>
            <w:r>
              <w:rPr/>
              <w:t>(228.37%</w:t>
            </w:r>
          </w:p>
        </w:tc>
        <w:tc>
          <w:tcPr>
            <w:tcW w:w="114" w:type="dxa"/>
            <w:tcBorders/>
            <w:shd w:fill="EEEEEE" w:val="clear"/>
            <w:vAlign w:val="center"/>
          </w:tcPr>
          <w:p>
            <w:pPr>
              <w:pStyle w:val="TableContents"/>
              <w:bidi w:val="0"/>
              <w:spacing w:before="0" w:after="283"/>
              <w:jc w:val="left"/>
              <w:rPr/>
            </w:pPr>
            <w:r>
              <w:rPr/>
              <w:t>)</w:t>
            </w:r>
          </w:p>
        </w:tc>
      </w:tr>
      <w:tr>
        <w:trPr/>
        <w:tc>
          <w:tcPr>
            <w:tcW w:w="50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5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5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099" w:type="dxa"/>
            <w:tcBorders/>
            <w:shd w:fill="EEEEEE" w:val="clear"/>
            <w:vAlign w:val="center"/>
          </w:tcPr>
          <w:p>
            <w:pPr>
              <w:pStyle w:val="TableContents"/>
              <w:bidi w:val="0"/>
              <w:spacing w:before="0" w:after="283"/>
              <w:jc w:val="left"/>
              <w:rPr/>
            </w:pPr>
            <w:r>
              <w:rPr/>
              <w:t>Gross profit % of revenues</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p>
        </w:tc>
        <w:tc>
          <w:tcPr>
            <w:tcW w:w="1555" w:type="dxa"/>
            <w:tcBorders/>
            <w:shd w:fill="EEEEEE" w:val="clear"/>
            <w:vAlign w:val="center"/>
          </w:tcPr>
          <w:p>
            <w:pPr>
              <w:pStyle w:val="TableContents"/>
              <w:bidi w:val="0"/>
              <w:spacing w:before="0" w:after="283"/>
              <w:jc w:val="right"/>
              <w:rPr/>
            </w:pPr>
            <w:r>
              <w:rPr/>
              <w:t>38.52%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p>
        </w:tc>
        <w:tc>
          <w:tcPr>
            <w:tcW w:w="1555" w:type="dxa"/>
            <w:tcBorders/>
            <w:shd w:fill="EEEEEE" w:val="clear"/>
            <w:vAlign w:val="center"/>
          </w:tcPr>
          <w:p>
            <w:pPr>
              <w:pStyle w:val="TableContents"/>
              <w:bidi w:val="0"/>
              <w:spacing w:before="0" w:after="283"/>
              <w:jc w:val="right"/>
              <w:rPr/>
            </w:pPr>
            <w:r>
              <w:rPr/>
              <w:t>40.38%</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58"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p>
        </w:tc>
      </w:tr>
      <w:tr>
        <w:trPr/>
        <w:tc>
          <w:tcPr>
            <w:tcW w:w="5099" w:type="dxa"/>
            <w:tcBorders/>
            <w:shd w:fill="FFFFFF" w:val="clear"/>
            <w:vAlign w:val="center"/>
          </w:tcPr>
          <w:p>
            <w:pPr>
              <w:pStyle w:val="TableContents"/>
              <w:bidi w:val="0"/>
              <w:spacing w:before="0" w:after="283"/>
              <w:jc w:val="left"/>
              <w:rPr/>
            </w:pPr>
            <w:r>
              <w:rPr/>
              <w:t>Operating (loss) income % of revenues</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555" w:type="dxa"/>
            <w:tcBorders/>
            <w:shd w:fill="FFFFFF" w:val="clear"/>
            <w:vAlign w:val="center"/>
          </w:tcPr>
          <w:p>
            <w:pPr>
              <w:pStyle w:val="TableContents"/>
              <w:bidi w:val="0"/>
              <w:spacing w:before="0" w:after="283"/>
              <w:jc w:val="right"/>
              <w:rPr/>
            </w:pPr>
            <w:r>
              <w:rPr/>
              <w:t>(8.95%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555" w:type="dxa"/>
            <w:tcBorders/>
            <w:shd w:fill="FFFFFF" w:val="clear"/>
            <w:vAlign w:val="center"/>
          </w:tcPr>
          <w:p>
            <w:pPr>
              <w:pStyle w:val="TableContents"/>
              <w:bidi w:val="0"/>
              <w:spacing w:before="0" w:after="283"/>
              <w:jc w:val="right"/>
              <w:rPr/>
            </w:pPr>
            <w:r>
              <w:rPr/>
              <w:t>6.04%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8"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099" w:type="dxa"/>
            <w:tcBorders/>
            <w:shd w:fill="EEEEEE" w:val="clear"/>
            <w:vAlign w:val="center"/>
          </w:tcPr>
          <w:p>
            <w:pPr>
              <w:pStyle w:val="TableContents"/>
              <w:bidi w:val="0"/>
              <w:spacing w:before="0" w:after="283"/>
              <w:jc w:val="left"/>
              <w:rPr/>
            </w:pPr>
            <w:r>
              <w:rPr/>
              <w:t>Net (loss) income % of revenues</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p>
        </w:tc>
        <w:tc>
          <w:tcPr>
            <w:tcW w:w="1555" w:type="dxa"/>
            <w:tcBorders/>
            <w:shd w:fill="EEEEEE" w:val="clear"/>
            <w:vAlign w:val="center"/>
          </w:tcPr>
          <w:p>
            <w:pPr>
              <w:pStyle w:val="TableContents"/>
              <w:bidi w:val="0"/>
              <w:spacing w:before="0" w:after="283"/>
              <w:jc w:val="right"/>
              <w:rPr/>
            </w:pPr>
            <w:r>
              <w:rPr/>
              <w:t>(7.58%</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97" w:type="dxa"/>
            <w:tcBorders/>
            <w:shd w:fill="EEEEEE" w:val="clear"/>
            <w:vAlign w:val="center"/>
          </w:tcPr>
          <w:p>
            <w:pPr>
              <w:pStyle w:val="TableContents"/>
              <w:bidi w:val="0"/>
              <w:spacing w:before="0" w:after="283"/>
              <w:jc w:val="left"/>
              <w:rPr/>
            </w:pPr>
            <w:r>
              <w:rPr/>
              <w:t> </w:t>
            </w:r>
          </w:p>
        </w:tc>
        <w:tc>
          <w:tcPr>
            <w:tcW w:w="1555" w:type="dxa"/>
            <w:tcBorders/>
            <w:shd w:fill="EEEEEE" w:val="clear"/>
            <w:vAlign w:val="center"/>
          </w:tcPr>
          <w:p>
            <w:pPr>
              <w:pStyle w:val="TableContents"/>
              <w:bidi w:val="0"/>
              <w:spacing w:before="0" w:after="283"/>
              <w:jc w:val="right"/>
              <w:rPr/>
            </w:pPr>
            <w:r>
              <w:rPr/>
              <w:t>5.16%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058"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three months ended March 31, 2023 decreased 11.32% to $20,225,619 as compared to $22,808,214 for the three months ended March 31, 2022. While pricing remained stable, the decreased revenue mainly resulted from a decrease in sales of the third-party brands we carry.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goods sold for the three months ended March 31, 2023 decreased 8.56% to $12,433,898 as compared to $13,598,563 for the three months ended March 31, 2022. The decrease was due to a decrease in sales, which resulted in decreased accompanying costs. See discussions on gross profit below.</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$7,791,721 for the three months ended March 31, 2023 as compared to $9,209,651 for the three months ended March 31, 2022. The gross profit ratio decreased to 38.52% for the three months ended March 31, 2023 from 40.38% for the three months ended March 31, 2022. The decrease in the gross profit ratio was mainly driven by the increase in cost of goods sold as a result of higher than normal freight charges as well as channel and product category mix.</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three months ended March 31, 2023 increased 22.60% to $9,602,919 as compared to $7,832,662 for the three months ended March 31, 2022. The increase was mainly due to the combination of an increase in selling and fulfillment expenses of $1.4 million as a result of increased costs related to advertising, merchant fees, rental expenses, and delivery fees, and an increase in general and administrative expenses of $0.4 million, which included payroll expenses, stock-based compensation expense, insurance expenses and other operating expenses.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Income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from operations was ($1,811,198) for the three months ended March 31, 2023 as compared to $1,376,989 for the three months ended March 31, 2022. The decrease in income was resulted from the increase in operating expenses and the decrease in gross profit, as discussed above.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for the three months ended March 31, 2023 was ($312,155) as compared to ($159,447) for the three months ended March 31, 2022. The increase in other expenses was mainly due to an increase in interest, including amortization of debt discount on the revolving loan and other non-operating expenses during the period ended March 31, 2023.</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Net (Loss) Income Attributable to iPower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iPower Inc. for the three months ended March 31, 2023 was ($1,530,534) as compared to net income of $1,181,757 for the three months ended March 31, 2022, representing a decrease of ($2,712,291 ). The decrease was primarily due to the decrease in gross profit and increase in operating expenses as discussed above.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Comprehensive (Loss) Income Attributable to iPower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attributable to iPower Inc. for the three months ended March 31, 2023 was ($1,512,930) as compared to comprehensive income of $1,178,531 for the three months ended March 31, 2022, representing a decrease of ($2,691,461). The decrease was due to the reasons discussed above, along with the other comprehensive income of $17,604 as a result of foreign currency translation adjustments resulting from the translation of RMB, the functional currency of our VIE in the PRC, to USD, the reporting currency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 the nine months ended March 31, 2023 and 2022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certain unaudited condensed consolidated statement of operations information and presentation of that data as a percentage of change from period to period.</w:t>
      </w:r>
    </w:p>
    <w:p>
      <w:pPr>
        <w:pStyle w:val="TextBody"/>
        <w:bidi w:val="0"/>
        <w:spacing w:before="0" w:after="0"/>
        <w:ind w:left="0" w:right="0" w:firstLine="80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34"/>
        <w:gridCol w:w="60"/>
        <w:gridCol w:w="176"/>
        <w:gridCol w:w="1491"/>
        <w:gridCol w:w="95"/>
        <w:gridCol w:w="60"/>
        <w:gridCol w:w="187"/>
        <w:gridCol w:w="1479"/>
        <w:gridCol w:w="95"/>
        <w:gridCol w:w="60"/>
        <w:gridCol w:w="60"/>
        <w:gridCol w:w="994"/>
        <w:gridCol w:w="114"/>
      </w:tblGrid>
      <w:tr>
        <w:trPr/>
        <w:tc>
          <w:tcPr>
            <w:tcW w:w="5334"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667"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2023</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66"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Nine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 2022</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Variance</w:t>
            </w:r>
          </w:p>
        </w:tc>
        <w:tc>
          <w:tcPr>
            <w:tcW w:w="114" w:type="dxa"/>
            <w:tcBorders/>
            <w:vAlign w:val="center"/>
          </w:tcPr>
          <w:p>
            <w:pPr>
              <w:pStyle w:val="TableContents"/>
              <w:bidi w:val="0"/>
              <w:spacing w:before="0" w:after="283"/>
              <w:jc w:val="left"/>
              <w:rPr/>
            </w:pPr>
            <w:r>
              <w:rPr/>
              <w:t> </w:t>
            </w:r>
          </w:p>
        </w:tc>
      </w:tr>
      <w:tr>
        <w:trPr/>
        <w:tc>
          <w:tcPr>
            <w:tcW w:w="5334" w:type="dxa"/>
            <w:tcBorders/>
            <w:shd w:fill="EEEEEE" w:val="clear"/>
            <w:vAlign w:val="center"/>
          </w:tcPr>
          <w:p>
            <w:pPr>
              <w:pStyle w:val="TableContents"/>
              <w:bidi w:val="0"/>
              <w:spacing w:before="0" w:after="283"/>
              <w:jc w:val="left"/>
              <w:rPr/>
            </w:pPr>
            <w:r>
              <w:rPr/>
              <w:t>Revenues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w:t>
            </w:r>
          </w:p>
        </w:tc>
        <w:tc>
          <w:tcPr>
            <w:tcW w:w="1491" w:type="dxa"/>
            <w:tcBorders/>
            <w:shd w:fill="EEEEEE" w:val="clear"/>
            <w:vAlign w:val="center"/>
          </w:tcPr>
          <w:p>
            <w:pPr>
              <w:pStyle w:val="TableContents"/>
              <w:bidi w:val="0"/>
              <w:spacing w:before="0" w:after="283"/>
              <w:jc w:val="right"/>
              <w:rPr/>
            </w:pPr>
            <w:r>
              <w:rPr/>
              <w:t>65,502,882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7" w:type="dxa"/>
            <w:tcBorders/>
            <w:shd w:fill="EEEEEE" w:val="clear"/>
            <w:vAlign w:val="center"/>
          </w:tcPr>
          <w:p>
            <w:pPr>
              <w:pStyle w:val="TableContents"/>
              <w:bidi w:val="0"/>
              <w:spacing w:before="0" w:after="283"/>
              <w:jc w:val="left"/>
              <w:rPr/>
            </w:pPr>
            <w:r>
              <w:rPr/>
              <w:t>$</w:t>
            </w:r>
          </w:p>
        </w:tc>
        <w:tc>
          <w:tcPr>
            <w:tcW w:w="1479" w:type="dxa"/>
            <w:tcBorders/>
            <w:shd w:fill="EEEEEE" w:val="clear"/>
            <w:vAlign w:val="center"/>
          </w:tcPr>
          <w:p>
            <w:pPr>
              <w:pStyle w:val="TableContents"/>
              <w:bidi w:val="0"/>
              <w:spacing w:before="0" w:after="283"/>
              <w:jc w:val="right"/>
              <w:rPr/>
            </w:pPr>
            <w:r>
              <w:rPr/>
              <w:t>57,300,642</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94" w:type="dxa"/>
            <w:tcBorders/>
            <w:shd w:fill="EEEEEE" w:val="clear"/>
            <w:vAlign w:val="center"/>
          </w:tcPr>
          <w:p>
            <w:pPr>
              <w:pStyle w:val="TableContents"/>
              <w:bidi w:val="0"/>
              <w:spacing w:before="0" w:after="283"/>
              <w:jc w:val="right"/>
              <w:rPr/>
            </w:pPr>
            <w:r>
              <w:rPr/>
              <w:t>14.31%</w:t>
            </w:r>
          </w:p>
        </w:tc>
        <w:tc>
          <w:tcPr>
            <w:tcW w:w="114" w:type="dxa"/>
            <w:tcBorders/>
            <w:shd w:fill="EEEEEE" w:val="clear"/>
            <w:vAlign w:val="center"/>
          </w:tcPr>
          <w:p>
            <w:pPr>
              <w:pStyle w:val="TableContents"/>
              <w:bidi w:val="0"/>
              <w:spacing w:before="0" w:after="283"/>
              <w:jc w:val="left"/>
              <w:rPr/>
            </w:pPr>
            <w:r>
              <w:rPr/>
              <w:t> </w:t>
            </w:r>
          </w:p>
        </w:tc>
      </w:tr>
      <w:tr>
        <w:trPr/>
        <w:tc>
          <w:tcPr>
            <w:tcW w:w="5334" w:type="dxa"/>
            <w:tcBorders/>
            <w:shd w:fill="FFFFFF" w:val="clear"/>
            <w:vAlign w:val="center"/>
          </w:tcPr>
          <w:p>
            <w:pPr>
              <w:pStyle w:val="TableContents"/>
              <w:bidi w:val="0"/>
              <w:spacing w:before="0" w:after="283"/>
              <w:jc w:val="left"/>
              <w:rPr/>
            </w:pPr>
            <w:r>
              <w:rPr/>
              <w:t>Cost of goods sold</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1" w:type="dxa"/>
            <w:tcBorders>
              <w:bottom w:val="single" w:sz="8" w:space="0" w:color="000000"/>
            </w:tcBorders>
            <w:shd w:fill="FFFFFF" w:val="clear"/>
            <w:tcMar>
              <w:bottom w:w="28" w:type="dxa"/>
            </w:tcMar>
            <w:vAlign w:val="center"/>
          </w:tcPr>
          <w:p>
            <w:pPr>
              <w:pStyle w:val="TableContents"/>
              <w:bidi w:val="0"/>
              <w:spacing w:before="0" w:after="283"/>
              <w:jc w:val="right"/>
              <w:rPr/>
            </w:pPr>
            <w:r>
              <w:rPr/>
              <w:t>39,755,919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9" w:type="dxa"/>
            <w:tcBorders>
              <w:bottom w:val="single" w:sz="8" w:space="0" w:color="000000"/>
            </w:tcBorders>
            <w:shd w:fill="FFFFFF" w:val="clear"/>
            <w:tcMar>
              <w:bottom w:w="28" w:type="dxa"/>
            </w:tcMar>
            <w:vAlign w:val="center"/>
          </w:tcPr>
          <w:p>
            <w:pPr>
              <w:pStyle w:val="TableContents"/>
              <w:bidi w:val="0"/>
              <w:spacing w:before="0" w:after="283"/>
              <w:jc w:val="right"/>
              <w:rPr/>
            </w:pPr>
            <w:r>
              <w:rPr/>
              <w:t>33,219,677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19.68%</w:t>
            </w:r>
          </w:p>
        </w:tc>
        <w:tc>
          <w:tcPr>
            <w:tcW w:w="114" w:type="dxa"/>
            <w:tcBorders/>
            <w:shd w:fill="FFFFFF" w:val="clear"/>
            <w:vAlign w:val="center"/>
          </w:tcPr>
          <w:p>
            <w:pPr>
              <w:pStyle w:val="TableContents"/>
              <w:bidi w:val="0"/>
              <w:spacing w:before="0" w:after="283"/>
              <w:jc w:val="left"/>
              <w:rPr/>
            </w:pPr>
            <w:r>
              <w:rPr/>
              <w:t> </w:t>
            </w:r>
          </w:p>
        </w:tc>
      </w:tr>
      <w:tr>
        <w:trPr/>
        <w:tc>
          <w:tcPr>
            <w:tcW w:w="5334" w:type="dxa"/>
            <w:tcBorders/>
            <w:shd w:fill="EEEEEE" w:val="clear"/>
            <w:vAlign w:val="center"/>
          </w:tcPr>
          <w:p>
            <w:pPr>
              <w:pStyle w:val="TableContents"/>
              <w:bidi w:val="0"/>
              <w:spacing w:before="0" w:after="283"/>
              <w:jc w:val="left"/>
              <w:rPr/>
            </w:pPr>
            <w:r>
              <w:rPr/>
              <w:t>Gross profit</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491" w:type="dxa"/>
            <w:tcBorders/>
            <w:shd w:fill="EEEEEE" w:val="clear"/>
            <w:vAlign w:val="center"/>
          </w:tcPr>
          <w:p>
            <w:pPr>
              <w:pStyle w:val="TableContents"/>
              <w:bidi w:val="0"/>
              <w:spacing w:before="0" w:after="283"/>
              <w:jc w:val="right"/>
              <w:rPr/>
            </w:pPr>
            <w:r>
              <w:rPr/>
              <w:t>25,746,963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7" w:type="dxa"/>
            <w:tcBorders/>
            <w:shd w:fill="EEEEEE" w:val="clear"/>
            <w:vAlign w:val="center"/>
          </w:tcPr>
          <w:p>
            <w:pPr>
              <w:pStyle w:val="TableContents"/>
              <w:bidi w:val="0"/>
              <w:spacing w:before="0" w:after="283"/>
              <w:jc w:val="left"/>
              <w:rPr/>
            </w:pPr>
            <w:r>
              <w:rPr/>
              <w:t> </w:t>
            </w:r>
          </w:p>
        </w:tc>
        <w:tc>
          <w:tcPr>
            <w:tcW w:w="1479" w:type="dxa"/>
            <w:tcBorders/>
            <w:shd w:fill="EEEEEE" w:val="clear"/>
            <w:vAlign w:val="center"/>
          </w:tcPr>
          <w:p>
            <w:pPr>
              <w:pStyle w:val="TableContents"/>
              <w:bidi w:val="0"/>
              <w:spacing w:before="0" w:after="283"/>
              <w:jc w:val="right"/>
              <w:rPr/>
            </w:pPr>
            <w:r>
              <w:rPr/>
              <w:t>24,080,965</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94" w:type="dxa"/>
            <w:tcBorders/>
            <w:shd w:fill="EEEEEE" w:val="clear"/>
            <w:vAlign w:val="center"/>
          </w:tcPr>
          <w:p>
            <w:pPr>
              <w:pStyle w:val="TableContents"/>
              <w:bidi w:val="0"/>
              <w:spacing w:before="0" w:after="283"/>
              <w:jc w:val="right"/>
              <w:rPr/>
            </w:pPr>
            <w:r>
              <w:rPr/>
              <w:t>6.92%</w:t>
            </w:r>
          </w:p>
        </w:tc>
        <w:tc>
          <w:tcPr>
            <w:tcW w:w="114" w:type="dxa"/>
            <w:tcBorders/>
            <w:shd w:fill="EEEEEE" w:val="clear"/>
            <w:vAlign w:val="center"/>
          </w:tcPr>
          <w:p>
            <w:pPr>
              <w:pStyle w:val="TableContents"/>
              <w:bidi w:val="0"/>
              <w:spacing w:before="0" w:after="283"/>
              <w:jc w:val="left"/>
              <w:rPr/>
            </w:pPr>
            <w:r>
              <w:rPr/>
              <w:t> </w:t>
            </w:r>
          </w:p>
        </w:tc>
      </w:tr>
      <w:tr>
        <w:trPr/>
        <w:tc>
          <w:tcPr>
            <w:tcW w:w="5334"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1" w:type="dxa"/>
            <w:tcBorders>
              <w:bottom w:val="single" w:sz="8" w:space="0" w:color="000000"/>
            </w:tcBorders>
            <w:shd w:fill="FFFFFF" w:val="clear"/>
            <w:tcMar>
              <w:bottom w:w="28" w:type="dxa"/>
            </w:tcMar>
            <w:vAlign w:val="center"/>
          </w:tcPr>
          <w:p>
            <w:pPr>
              <w:pStyle w:val="TableContents"/>
              <w:bidi w:val="0"/>
              <w:spacing w:before="0" w:after="283"/>
              <w:jc w:val="right"/>
              <w:rPr/>
            </w:pPr>
            <w:r>
              <w:rPr/>
              <w:t>36,234,033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9" w:type="dxa"/>
            <w:tcBorders>
              <w:bottom w:val="single" w:sz="8" w:space="0" w:color="000000"/>
            </w:tcBorders>
            <w:shd w:fill="FFFFFF" w:val="clear"/>
            <w:tcMar>
              <w:bottom w:w="28" w:type="dxa"/>
            </w:tcMar>
            <w:vAlign w:val="center"/>
          </w:tcPr>
          <w:p>
            <w:pPr>
              <w:pStyle w:val="TableContents"/>
              <w:bidi w:val="0"/>
              <w:spacing w:before="0" w:after="283"/>
              <w:jc w:val="right"/>
              <w:rPr/>
            </w:pPr>
            <w:r>
              <w:rPr/>
              <w:t>20,278,376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78.68%</w:t>
            </w:r>
          </w:p>
        </w:tc>
        <w:tc>
          <w:tcPr>
            <w:tcW w:w="114" w:type="dxa"/>
            <w:tcBorders/>
            <w:shd w:fill="FFFFFF" w:val="clear"/>
            <w:vAlign w:val="center"/>
          </w:tcPr>
          <w:p>
            <w:pPr>
              <w:pStyle w:val="TableContents"/>
              <w:bidi w:val="0"/>
              <w:spacing w:before="0" w:after="283"/>
              <w:jc w:val="left"/>
              <w:rPr/>
            </w:pPr>
            <w:r>
              <w:rPr/>
              <w:t> </w:t>
            </w:r>
          </w:p>
        </w:tc>
      </w:tr>
      <w:tr>
        <w:trPr/>
        <w:tc>
          <w:tcPr>
            <w:tcW w:w="5334" w:type="dxa"/>
            <w:tcBorders/>
            <w:shd w:fill="EEEEEE" w:val="clear"/>
            <w:vAlign w:val="center"/>
          </w:tcPr>
          <w:p>
            <w:pPr>
              <w:pStyle w:val="TableContents"/>
              <w:bidi w:val="0"/>
              <w:spacing w:before="0" w:after="283"/>
              <w:jc w:val="left"/>
              <w:rPr/>
            </w:pPr>
            <w:r>
              <w:rPr/>
              <w:t>Operating (loss) income</w:t>
            </w:r>
          </w:p>
        </w:tc>
        <w:tc>
          <w:tcPr>
            <w:tcW w:w="60" w:type="dxa"/>
            <w:tcBorders/>
            <w:shd w:fill="EEEEEE" w:val="clear"/>
            <w:vAlign w:val="center"/>
          </w:tcPr>
          <w:p>
            <w:pPr>
              <w:pStyle w:val="TableContents"/>
              <w:bidi w:val="0"/>
              <w:spacing w:before="0" w:after="283"/>
              <w:jc w:val="left"/>
              <w:rPr/>
            </w:pPr>
            <w:r>
              <w:rPr/>
              <w:t> </w:t>
            </w:r>
          </w:p>
        </w:tc>
        <w:tc>
          <w:tcPr>
            <w:tcW w:w="176"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491" w:type="dxa"/>
            <w:tcBorders>
              <w:bottom w:val="single" w:sz="8" w:space="0" w:color="000000"/>
            </w:tcBorders>
            <w:shd w:fill="EEEEEE" w:val="clear"/>
            <w:tcMar>
              <w:bottom w:w="28" w:type="dxa"/>
            </w:tcMar>
            <w:vAlign w:val="center"/>
          </w:tcPr>
          <w:p>
            <w:pPr>
              <w:pStyle w:val="TableContents"/>
              <w:bidi w:val="0"/>
              <w:spacing w:before="0" w:after="283"/>
              <w:jc w:val="right"/>
              <w:rPr/>
            </w:pPr>
            <w:r>
              <w:rPr/>
              <w:t>(10,487,070</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87" w:type="dxa"/>
            <w:tcBorders>
              <w:bottom w:val="single" w:sz="8" w:space="0" w:color="000000"/>
            </w:tcBorders>
            <w:shd w:fill="EEEEEE" w:val="clear"/>
            <w:tcMar>
              <w:bottom w:w="28" w:type="dxa"/>
            </w:tcMar>
            <w:vAlign w:val="center"/>
          </w:tcPr>
          <w:p>
            <w:pPr>
              <w:pStyle w:val="TableContents"/>
              <w:bidi w:val="0"/>
              <w:spacing w:before="0" w:after="283"/>
              <w:jc w:val="left"/>
              <w:rPr/>
            </w:pPr>
            <w:r>
              <w:rPr/>
              <w:t> </w:t>
            </w:r>
          </w:p>
        </w:tc>
        <w:tc>
          <w:tcPr>
            <w:tcW w:w="1479" w:type="dxa"/>
            <w:tcBorders>
              <w:bottom w:val="single" w:sz="8" w:space="0" w:color="000000"/>
            </w:tcBorders>
            <w:shd w:fill="EEEEEE" w:val="clear"/>
            <w:tcMar>
              <w:bottom w:w="28" w:type="dxa"/>
            </w:tcMar>
            <w:vAlign w:val="center"/>
          </w:tcPr>
          <w:p>
            <w:pPr>
              <w:pStyle w:val="TableContents"/>
              <w:bidi w:val="0"/>
              <w:spacing w:before="0" w:after="283"/>
              <w:jc w:val="right"/>
              <w:rPr/>
            </w:pPr>
            <w:r>
              <w:rPr/>
              <w:t>3,802,589</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94" w:type="dxa"/>
            <w:tcBorders/>
            <w:shd w:fill="EEEEEE" w:val="clear"/>
            <w:vAlign w:val="center"/>
          </w:tcPr>
          <w:p>
            <w:pPr>
              <w:pStyle w:val="TableContents"/>
              <w:bidi w:val="0"/>
              <w:spacing w:before="0" w:after="283"/>
              <w:jc w:val="right"/>
              <w:rPr/>
            </w:pPr>
            <w:r>
              <w:rPr/>
              <w:t>(375.79%</w:t>
            </w:r>
          </w:p>
        </w:tc>
        <w:tc>
          <w:tcPr>
            <w:tcW w:w="114" w:type="dxa"/>
            <w:tcBorders/>
            <w:shd w:fill="EEEEEE" w:val="clear"/>
            <w:vAlign w:val="center"/>
          </w:tcPr>
          <w:p>
            <w:pPr>
              <w:pStyle w:val="TableContents"/>
              <w:bidi w:val="0"/>
              <w:spacing w:before="0" w:after="283"/>
              <w:jc w:val="left"/>
              <w:rPr/>
            </w:pPr>
            <w:r>
              <w:rPr/>
              <w:t>)</w:t>
            </w:r>
          </w:p>
        </w:tc>
      </w:tr>
      <w:tr>
        <w:trPr/>
        <w:tc>
          <w:tcPr>
            <w:tcW w:w="5334" w:type="dxa"/>
            <w:tcBorders/>
            <w:shd w:fill="FFFFFF" w:val="clear"/>
            <w:vAlign w:val="center"/>
          </w:tcPr>
          <w:p>
            <w:pPr>
              <w:pStyle w:val="TableContents"/>
              <w:bidi w:val="0"/>
              <w:spacing w:before="0" w:after="283"/>
              <w:jc w:val="left"/>
              <w:rPr/>
            </w:pPr>
            <w:r>
              <w:rPr/>
              <w:t>Other (expenses)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1" w:type="dxa"/>
            <w:tcBorders>
              <w:bottom w:val="single" w:sz="8" w:space="0" w:color="000000"/>
            </w:tcBorders>
            <w:shd w:fill="FFFFFF" w:val="clear"/>
            <w:tcMar>
              <w:bottom w:w="28" w:type="dxa"/>
            </w:tcMar>
            <w:vAlign w:val="center"/>
          </w:tcPr>
          <w:p>
            <w:pPr>
              <w:pStyle w:val="TableContents"/>
              <w:bidi w:val="0"/>
              <w:spacing w:before="0" w:after="283"/>
              <w:jc w:val="right"/>
              <w:rPr/>
            </w:pPr>
            <w:r>
              <w:rPr/>
              <w:t>(610,283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9" w:type="dxa"/>
            <w:tcBorders>
              <w:bottom w:val="single" w:sz="8" w:space="0" w:color="000000"/>
            </w:tcBorders>
            <w:shd w:fill="FFFFFF" w:val="clear"/>
            <w:tcMar>
              <w:bottom w:w="28" w:type="dxa"/>
            </w:tcMar>
            <w:vAlign w:val="center"/>
          </w:tcPr>
          <w:p>
            <w:pPr>
              <w:pStyle w:val="TableContents"/>
              <w:bidi w:val="0"/>
              <w:spacing w:before="0" w:after="283"/>
              <w:jc w:val="right"/>
              <w:rPr/>
            </w:pPr>
            <w:r>
              <w:rPr/>
              <w:t>(233,968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160.84%</w:t>
            </w:r>
          </w:p>
        </w:tc>
        <w:tc>
          <w:tcPr>
            <w:tcW w:w="114" w:type="dxa"/>
            <w:tcBorders/>
            <w:shd w:fill="FFFFFF" w:val="clear"/>
            <w:vAlign w:val="center"/>
          </w:tcPr>
          <w:p>
            <w:pPr>
              <w:pStyle w:val="TableContents"/>
              <w:bidi w:val="0"/>
              <w:spacing w:before="0" w:after="283"/>
              <w:jc w:val="left"/>
              <w:rPr/>
            </w:pPr>
            <w:r>
              <w:rPr/>
              <w:t> </w:t>
            </w:r>
          </w:p>
        </w:tc>
      </w:tr>
      <w:tr>
        <w:trPr/>
        <w:tc>
          <w:tcPr>
            <w:tcW w:w="5334" w:type="dxa"/>
            <w:tcBorders/>
            <w:shd w:fill="EEEEEE" w:val="clear"/>
            <w:vAlign w:val="center"/>
          </w:tcPr>
          <w:p>
            <w:pPr>
              <w:pStyle w:val="TableContents"/>
              <w:bidi w:val="0"/>
              <w:spacing w:before="0" w:after="283"/>
              <w:jc w:val="left"/>
              <w:rPr/>
            </w:pPr>
            <w:r>
              <w:rPr/>
              <w:t>(Loss) Income before income taxes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491" w:type="dxa"/>
            <w:tcBorders/>
            <w:shd w:fill="EEEEEE" w:val="clear"/>
            <w:vAlign w:val="center"/>
          </w:tcPr>
          <w:p>
            <w:pPr>
              <w:pStyle w:val="TableContents"/>
              <w:bidi w:val="0"/>
              <w:spacing w:before="0" w:after="283"/>
              <w:jc w:val="right"/>
              <w:rPr/>
            </w:pPr>
            <w:r>
              <w:rPr/>
              <w:t>(11,097,353</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87" w:type="dxa"/>
            <w:tcBorders/>
            <w:shd w:fill="EEEEEE" w:val="clear"/>
            <w:vAlign w:val="center"/>
          </w:tcPr>
          <w:p>
            <w:pPr>
              <w:pStyle w:val="TableContents"/>
              <w:bidi w:val="0"/>
              <w:spacing w:before="0" w:after="283"/>
              <w:jc w:val="left"/>
              <w:rPr/>
            </w:pPr>
            <w:r>
              <w:rPr/>
              <w:t> </w:t>
            </w:r>
          </w:p>
        </w:tc>
        <w:tc>
          <w:tcPr>
            <w:tcW w:w="1479" w:type="dxa"/>
            <w:tcBorders/>
            <w:shd w:fill="EEEEEE" w:val="clear"/>
            <w:vAlign w:val="center"/>
          </w:tcPr>
          <w:p>
            <w:pPr>
              <w:pStyle w:val="TableContents"/>
              <w:bidi w:val="0"/>
              <w:spacing w:before="0" w:after="283"/>
              <w:jc w:val="right"/>
              <w:rPr/>
            </w:pPr>
            <w:r>
              <w:rPr/>
              <w:t>3,568,621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94" w:type="dxa"/>
            <w:tcBorders/>
            <w:shd w:fill="EEEEEE" w:val="clear"/>
            <w:vAlign w:val="center"/>
          </w:tcPr>
          <w:p>
            <w:pPr>
              <w:pStyle w:val="TableContents"/>
              <w:bidi w:val="0"/>
              <w:spacing w:before="0" w:after="283"/>
              <w:jc w:val="right"/>
              <w:rPr/>
            </w:pPr>
            <w:r>
              <w:rPr/>
              <w:t>(410.97%</w:t>
            </w:r>
          </w:p>
        </w:tc>
        <w:tc>
          <w:tcPr>
            <w:tcW w:w="114" w:type="dxa"/>
            <w:tcBorders/>
            <w:shd w:fill="EEEEEE" w:val="clear"/>
            <w:vAlign w:val="center"/>
          </w:tcPr>
          <w:p>
            <w:pPr>
              <w:pStyle w:val="TableContents"/>
              <w:bidi w:val="0"/>
              <w:spacing w:before="0" w:after="283"/>
              <w:jc w:val="left"/>
              <w:rPr/>
            </w:pPr>
            <w:r>
              <w:rPr/>
              <w:t>)</w:t>
            </w:r>
          </w:p>
        </w:tc>
      </w:tr>
      <w:tr>
        <w:trPr/>
        <w:tc>
          <w:tcPr>
            <w:tcW w:w="5334" w:type="dxa"/>
            <w:tcBorders/>
            <w:shd w:fill="FFFFFF" w:val="clear"/>
            <w:vAlign w:val="center"/>
          </w:tcPr>
          <w:p>
            <w:pPr>
              <w:pStyle w:val="TableContents"/>
              <w:bidi w:val="0"/>
              <w:spacing w:before="0" w:after="283"/>
              <w:jc w:val="left"/>
              <w:rPr/>
            </w:pPr>
            <w:r>
              <w:rPr/>
              <w:t>Income tax (benefit) expense</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1" w:type="dxa"/>
            <w:tcBorders>
              <w:bottom w:val="single" w:sz="8" w:space="0" w:color="000000"/>
            </w:tcBorders>
            <w:shd w:fill="FFFFFF" w:val="clear"/>
            <w:tcMar>
              <w:bottom w:w="28" w:type="dxa"/>
            </w:tcMar>
            <w:vAlign w:val="center"/>
          </w:tcPr>
          <w:p>
            <w:pPr>
              <w:pStyle w:val="TableContents"/>
              <w:bidi w:val="0"/>
              <w:spacing w:before="0" w:after="283"/>
              <w:jc w:val="right"/>
              <w:rPr/>
            </w:pPr>
            <w:r>
              <w:rPr/>
              <w:t>(2,085,126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9" w:type="dxa"/>
            <w:tcBorders>
              <w:bottom w:val="single" w:sz="8" w:space="0" w:color="000000"/>
            </w:tcBorders>
            <w:shd w:fill="FFFFFF" w:val="clear"/>
            <w:tcMar>
              <w:bottom w:w="28" w:type="dxa"/>
            </w:tcMar>
            <w:vAlign w:val="center"/>
          </w:tcPr>
          <w:p>
            <w:pPr>
              <w:pStyle w:val="TableContents"/>
              <w:bidi w:val="0"/>
              <w:spacing w:before="0" w:after="283"/>
              <w:jc w:val="right"/>
              <w:rPr/>
            </w:pPr>
            <w:r>
              <w:rPr/>
              <w:t>705,545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(395.53%</w:t>
            </w:r>
          </w:p>
        </w:tc>
        <w:tc>
          <w:tcPr>
            <w:tcW w:w="114" w:type="dxa"/>
            <w:tcBorders/>
            <w:shd w:fill="FFFFFF" w:val="clear"/>
            <w:vAlign w:val="center"/>
          </w:tcPr>
          <w:p>
            <w:pPr>
              <w:pStyle w:val="TableContents"/>
              <w:bidi w:val="0"/>
              <w:spacing w:before="0" w:after="283"/>
              <w:jc w:val="left"/>
              <w:rPr/>
            </w:pPr>
            <w:r>
              <w:rPr/>
              <w:t>)</w:t>
            </w:r>
          </w:p>
        </w:tc>
      </w:tr>
      <w:tr>
        <w:trPr/>
        <w:tc>
          <w:tcPr>
            <w:tcW w:w="5334" w:type="dxa"/>
            <w:tcBorders/>
            <w:shd w:fill="EEEEEE" w:val="clear"/>
            <w:vAlign w:val="center"/>
          </w:tcPr>
          <w:p>
            <w:pPr>
              <w:pStyle w:val="TableContents"/>
              <w:bidi w:val="0"/>
              <w:spacing w:before="0" w:after="283"/>
              <w:jc w:val="left"/>
              <w:rPr/>
            </w:pPr>
            <w:r>
              <w:rPr/>
              <w:t>Net (loss) income</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491" w:type="dxa"/>
            <w:tcBorders/>
            <w:shd w:fill="EEEEEE" w:val="clear"/>
            <w:vAlign w:val="center"/>
          </w:tcPr>
          <w:p>
            <w:pPr>
              <w:pStyle w:val="TableContents"/>
              <w:bidi w:val="0"/>
              <w:spacing w:before="0" w:after="283"/>
              <w:jc w:val="right"/>
              <w:rPr/>
            </w:pPr>
            <w:r>
              <w:rPr/>
              <w:t>(9,012,227</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87" w:type="dxa"/>
            <w:tcBorders/>
            <w:shd w:fill="EEEEEE" w:val="clear"/>
            <w:vAlign w:val="center"/>
          </w:tcPr>
          <w:p>
            <w:pPr>
              <w:pStyle w:val="TableContents"/>
              <w:bidi w:val="0"/>
              <w:spacing w:before="0" w:after="283"/>
              <w:jc w:val="left"/>
              <w:rPr/>
            </w:pPr>
            <w:r>
              <w:rPr/>
              <w:t> </w:t>
            </w:r>
          </w:p>
        </w:tc>
        <w:tc>
          <w:tcPr>
            <w:tcW w:w="1479" w:type="dxa"/>
            <w:tcBorders/>
            <w:shd w:fill="EEEEEE" w:val="clear"/>
            <w:vAlign w:val="center"/>
          </w:tcPr>
          <w:p>
            <w:pPr>
              <w:pStyle w:val="TableContents"/>
              <w:bidi w:val="0"/>
              <w:spacing w:before="0" w:after="283"/>
              <w:jc w:val="right"/>
              <w:rPr/>
            </w:pPr>
            <w:r>
              <w:rPr/>
              <w:t>2,863,076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94" w:type="dxa"/>
            <w:tcBorders/>
            <w:shd w:fill="EEEEEE" w:val="clear"/>
            <w:vAlign w:val="center"/>
          </w:tcPr>
          <w:p>
            <w:pPr>
              <w:pStyle w:val="TableContents"/>
              <w:bidi w:val="0"/>
              <w:spacing w:before="0" w:after="283"/>
              <w:jc w:val="right"/>
              <w:rPr/>
            </w:pPr>
            <w:r>
              <w:rPr/>
              <w:t>(414.77%</w:t>
            </w:r>
          </w:p>
        </w:tc>
        <w:tc>
          <w:tcPr>
            <w:tcW w:w="114" w:type="dxa"/>
            <w:tcBorders/>
            <w:shd w:fill="EEEEEE" w:val="clear"/>
            <w:vAlign w:val="center"/>
          </w:tcPr>
          <w:p>
            <w:pPr>
              <w:pStyle w:val="TableContents"/>
              <w:bidi w:val="0"/>
              <w:spacing w:before="0" w:after="283"/>
              <w:jc w:val="left"/>
              <w:rPr/>
            </w:pPr>
            <w:r>
              <w:rPr/>
              <w:t>)</w:t>
            </w:r>
          </w:p>
        </w:tc>
      </w:tr>
      <w:tr>
        <w:trPr/>
        <w:tc>
          <w:tcPr>
            <w:tcW w:w="5334" w:type="dxa"/>
            <w:tcBorders/>
            <w:shd w:fill="FFFFFF" w:val="clear"/>
            <w:vAlign w:val="center"/>
          </w:tcPr>
          <w:p>
            <w:pPr>
              <w:pStyle w:val="TableContents"/>
              <w:bidi w:val="0"/>
              <w:spacing w:before="0" w:after="283"/>
              <w:jc w:val="left"/>
              <w:rPr/>
            </w:pPr>
            <w:r>
              <w:rPr/>
              <w:t>Non-controlling interest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1" w:type="dxa"/>
            <w:tcBorders>
              <w:bottom w:val="single" w:sz="8" w:space="0" w:color="000000"/>
            </w:tcBorders>
            <w:shd w:fill="FFFFFF" w:val="clear"/>
            <w:tcMar>
              <w:bottom w:w="28" w:type="dxa"/>
            </w:tcMar>
            <w:vAlign w:val="center"/>
          </w:tcPr>
          <w:p>
            <w:pPr>
              <w:pStyle w:val="TableContents"/>
              <w:bidi w:val="0"/>
              <w:spacing w:before="0" w:after="283"/>
              <w:jc w:val="right"/>
              <w:rPr/>
            </w:pPr>
            <w:r>
              <w:rPr/>
              <w:t>(8,878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9" w:type="dxa"/>
            <w:tcBorders>
              <w:bottom w:val="single" w:sz="8" w:space="0" w:color="000000"/>
            </w:tcBorders>
            <w:shd w:fill="FFFFFF" w:val="clear"/>
            <w:tcMar>
              <w:bottom w:w="28" w:type="dxa"/>
            </w:tcMar>
            <w:vAlign w:val="center"/>
          </w:tcPr>
          <w:p>
            <w:pPr>
              <w:pStyle w:val="TableContents"/>
              <w:bidi w:val="0"/>
              <w:spacing w:before="0" w:after="283"/>
              <w:jc w:val="right"/>
              <w:rPr/>
            </w:pPr>
            <w:r>
              <w:rPr/>
              <w:t>(4,070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118.13%</w:t>
            </w:r>
          </w:p>
        </w:tc>
        <w:tc>
          <w:tcPr>
            <w:tcW w:w="114" w:type="dxa"/>
            <w:tcBorders/>
            <w:shd w:fill="FFFFFF" w:val="clear"/>
            <w:vAlign w:val="center"/>
          </w:tcPr>
          <w:p>
            <w:pPr>
              <w:pStyle w:val="TableContents"/>
              <w:bidi w:val="0"/>
              <w:spacing w:before="0" w:after="283"/>
              <w:jc w:val="left"/>
              <w:rPr/>
            </w:pPr>
            <w:r>
              <w:rPr/>
              <w:t> </w:t>
            </w:r>
          </w:p>
        </w:tc>
      </w:tr>
      <w:tr>
        <w:trPr/>
        <w:tc>
          <w:tcPr>
            <w:tcW w:w="5334" w:type="dxa"/>
            <w:tcBorders/>
            <w:shd w:fill="EEEEEE" w:val="clear"/>
            <w:vAlign w:val="center"/>
          </w:tcPr>
          <w:p>
            <w:pPr>
              <w:pStyle w:val="TableContents"/>
              <w:bidi w:val="0"/>
              <w:spacing w:before="0" w:after="283"/>
              <w:jc w:val="left"/>
              <w:rPr/>
            </w:pPr>
            <w:r>
              <w:rPr/>
              <w:t>Net (loss) income attributable to iPower Inc.</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491" w:type="dxa"/>
            <w:tcBorders/>
            <w:shd w:fill="EEEEEE" w:val="clear"/>
            <w:vAlign w:val="center"/>
          </w:tcPr>
          <w:p>
            <w:pPr>
              <w:pStyle w:val="TableContents"/>
              <w:bidi w:val="0"/>
              <w:spacing w:before="0" w:after="283"/>
              <w:jc w:val="right"/>
              <w:rPr/>
            </w:pPr>
            <w:r>
              <w:rPr/>
              <w:t>(9,003,349</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87" w:type="dxa"/>
            <w:tcBorders/>
            <w:shd w:fill="EEEEEE" w:val="clear"/>
            <w:vAlign w:val="center"/>
          </w:tcPr>
          <w:p>
            <w:pPr>
              <w:pStyle w:val="TableContents"/>
              <w:bidi w:val="0"/>
              <w:spacing w:before="0" w:after="283"/>
              <w:jc w:val="left"/>
              <w:rPr/>
            </w:pPr>
            <w:r>
              <w:rPr/>
              <w:t> </w:t>
            </w:r>
          </w:p>
        </w:tc>
        <w:tc>
          <w:tcPr>
            <w:tcW w:w="1479" w:type="dxa"/>
            <w:tcBorders/>
            <w:shd w:fill="EEEEEE" w:val="clear"/>
            <w:vAlign w:val="center"/>
          </w:tcPr>
          <w:p>
            <w:pPr>
              <w:pStyle w:val="TableContents"/>
              <w:bidi w:val="0"/>
              <w:spacing w:before="0" w:after="283"/>
              <w:jc w:val="right"/>
              <w:rPr/>
            </w:pPr>
            <w:r>
              <w:rPr/>
              <w:t>2,867,146</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94" w:type="dxa"/>
            <w:tcBorders/>
            <w:shd w:fill="EEEEEE" w:val="clear"/>
            <w:vAlign w:val="center"/>
          </w:tcPr>
          <w:p>
            <w:pPr>
              <w:pStyle w:val="TableContents"/>
              <w:bidi w:val="0"/>
              <w:spacing w:before="0" w:after="283"/>
              <w:jc w:val="right"/>
              <w:rPr/>
            </w:pPr>
            <w:r>
              <w:rPr/>
              <w:t>(414.02%</w:t>
            </w:r>
          </w:p>
        </w:tc>
        <w:tc>
          <w:tcPr>
            <w:tcW w:w="114" w:type="dxa"/>
            <w:tcBorders/>
            <w:shd w:fill="EEEEEE" w:val="clear"/>
            <w:vAlign w:val="center"/>
          </w:tcPr>
          <w:p>
            <w:pPr>
              <w:pStyle w:val="TableContents"/>
              <w:bidi w:val="0"/>
              <w:spacing w:before="0" w:after="283"/>
              <w:jc w:val="left"/>
              <w:rPr/>
            </w:pPr>
            <w:r>
              <w:rPr/>
              <w:t>)</w:t>
            </w:r>
          </w:p>
        </w:tc>
      </w:tr>
      <w:tr>
        <w:trPr/>
        <w:tc>
          <w:tcPr>
            <w:tcW w:w="5334" w:type="dxa"/>
            <w:tcBorders/>
            <w:shd w:fill="FFFFFF" w:val="clear"/>
            <w:vAlign w:val="center"/>
          </w:tcPr>
          <w:p>
            <w:pPr>
              <w:pStyle w:val="TableContents"/>
              <w:bidi w:val="0"/>
              <w:spacing w:before="0" w:after="283"/>
              <w:jc w:val="left"/>
              <w:rPr/>
            </w:pPr>
            <w:r>
              <w:rPr/>
              <w:t>Other comprehensive loss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91" w:type="dxa"/>
            <w:tcBorders>
              <w:bottom w:val="single" w:sz="8" w:space="0" w:color="000000"/>
            </w:tcBorders>
            <w:shd w:fill="FFFFFF" w:val="clear"/>
            <w:tcMar>
              <w:bottom w:w="28" w:type="dxa"/>
            </w:tcMar>
            <w:vAlign w:val="center"/>
          </w:tcPr>
          <w:p>
            <w:pPr>
              <w:pStyle w:val="TableContents"/>
              <w:bidi w:val="0"/>
              <w:spacing w:before="0" w:after="283"/>
              <w:jc w:val="right"/>
              <w:rPr/>
            </w:pPr>
            <w:r>
              <w:rPr/>
              <w:t>(46,722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479" w:type="dxa"/>
            <w:tcBorders>
              <w:bottom w:val="single" w:sz="8" w:space="0" w:color="000000"/>
            </w:tcBorders>
            <w:shd w:fill="FFFFFF" w:val="clear"/>
            <w:tcMar>
              <w:bottom w:w="28" w:type="dxa"/>
            </w:tcMar>
            <w:vAlign w:val="center"/>
          </w:tcPr>
          <w:p>
            <w:pPr>
              <w:pStyle w:val="TableContents"/>
              <w:bidi w:val="0"/>
              <w:spacing w:before="0" w:after="283"/>
              <w:jc w:val="right"/>
              <w:rPr/>
            </w:pPr>
            <w:r>
              <w:rPr/>
              <w:t>(3,226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1348.30%</w:t>
            </w:r>
          </w:p>
        </w:tc>
        <w:tc>
          <w:tcPr>
            <w:tcW w:w="114" w:type="dxa"/>
            <w:tcBorders/>
            <w:shd w:fill="FFFFFF" w:val="clear"/>
            <w:vAlign w:val="center"/>
          </w:tcPr>
          <w:p>
            <w:pPr>
              <w:pStyle w:val="TableContents"/>
              <w:bidi w:val="0"/>
              <w:spacing w:before="0" w:after="283"/>
              <w:jc w:val="left"/>
              <w:rPr/>
            </w:pPr>
            <w:r>
              <w:rPr/>
              <w:t> </w:t>
            </w:r>
          </w:p>
        </w:tc>
      </w:tr>
      <w:tr>
        <w:trPr/>
        <w:tc>
          <w:tcPr>
            <w:tcW w:w="5334" w:type="dxa"/>
            <w:tcBorders/>
            <w:shd w:fill="EEEEEE" w:val="clear"/>
            <w:vAlign w:val="center"/>
          </w:tcPr>
          <w:p>
            <w:pPr>
              <w:pStyle w:val="TableContents"/>
              <w:bidi w:val="0"/>
              <w:spacing w:before="0" w:after="283"/>
              <w:jc w:val="left"/>
              <w:rPr/>
            </w:pPr>
            <w:r>
              <w:rPr/>
              <w:t>Comprehensive (loss) income attributable to iPower Inc.</w:t>
            </w:r>
          </w:p>
        </w:tc>
        <w:tc>
          <w:tcPr>
            <w:tcW w:w="60" w:type="dxa"/>
            <w:tcBorders/>
            <w:shd w:fill="EEEEEE" w:val="clear"/>
            <w:vAlign w:val="center"/>
          </w:tcPr>
          <w:p>
            <w:pPr>
              <w:pStyle w:val="TableContents"/>
              <w:bidi w:val="0"/>
              <w:spacing w:before="0" w:after="283"/>
              <w:jc w:val="left"/>
              <w:rPr/>
            </w:pPr>
            <w:r>
              <w:rPr/>
              <w:t> </w:t>
            </w:r>
          </w:p>
        </w:tc>
        <w:tc>
          <w:tcPr>
            <w:tcW w:w="176"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491" w:type="dxa"/>
            <w:tcBorders>
              <w:bottom w:val="double" w:sz="6" w:space="0" w:color="000000"/>
            </w:tcBorders>
            <w:shd w:fill="EEEEEE" w:val="clear"/>
            <w:tcMar>
              <w:bottom w:w="28" w:type="dxa"/>
            </w:tcMar>
            <w:vAlign w:val="center"/>
          </w:tcPr>
          <w:p>
            <w:pPr>
              <w:pStyle w:val="TableContents"/>
              <w:bidi w:val="0"/>
              <w:spacing w:before="0" w:after="283"/>
              <w:jc w:val="right"/>
              <w:rPr/>
            </w:pPr>
            <w:r>
              <w:rPr/>
              <w:t>(9,050,071</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87"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1479" w:type="dxa"/>
            <w:tcBorders>
              <w:bottom w:val="double" w:sz="6" w:space="0" w:color="000000"/>
            </w:tcBorders>
            <w:shd w:fill="EEEEEE" w:val="clear"/>
            <w:tcMar>
              <w:bottom w:w="28" w:type="dxa"/>
            </w:tcMar>
            <w:vAlign w:val="center"/>
          </w:tcPr>
          <w:p>
            <w:pPr>
              <w:pStyle w:val="TableContents"/>
              <w:bidi w:val="0"/>
              <w:spacing w:before="0" w:after="283"/>
              <w:jc w:val="right"/>
              <w:rPr/>
            </w:pPr>
            <w:r>
              <w:rPr/>
              <w:t>2,863,920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94" w:type="dxa"/>
            <w:tcBorders/>
            <w:shd w:fill="EEEEEE" w:val="clear"/>
            <w:vAlign w:val="center"/>
          </w:tcPr>
          <w:p>
            <w:pPr>
              <w:pStyle w:val="TableContents"/>
              <w:bidi w:val="0"/>
              <w:spacing w:before="0" w:after="283"/>
              <w:jc w:val="right"/>
              <w:rPr/>
            </w:pPr>
            <w:r>
              <w:rPr/>
              <w:t>(416.00%</w:t>
            </w:r>
          </w:p>
        </w:tc>
        <w:tc>
          <w:tcPr>
            <w:tcW w:w="114" w:type="dxa"/>
            <w:tcBorders/>
            <w:shd w:fill="EEEEEE" w:val="clear"/>
            <w:vAlign w:val="center"/>
          </w:tcPr>
          <w:p>
            <w:pPr>
              <w:pStyle w:val="TableContents"/>
              <w:bidi w:val="0"/>
              <w:spacing w:before="0" w:after="283"/>
              <w:jc w:val="left"/>
              <w:rPr/>
            </w:pPr>
            <w:r>
              <w:rPr/>
              <w:t>)</w:t>
            </w:r>
          </w:p>
        </w:tc>
      </w:tr>
      <w:tr>
        <w:trPr/>
        <w:tc>
          <w:tcPr>
            <w:tcW w:w="53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334" w:type="dxa"/>
            <w:tcBorders/>
            <w:shd w:fill="EEEEEE" w:val="clear"/>
            <w:vAlign w:val="center"/>
          </w:tcPr>
          <w:p>
            <w:pPr>
              <w:pStyle w:val="TableContents"/>
              <w:bidi w:val="0"/>
              <w:spacing w:before="0" w:after="283"/>
              <w:jc w:val="left"/>
              <w:rPr/>
            </w:pPr>
            <w:r>
              <w:rPr/>
              <w:t>Gross profit % of revenues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491" w:type="dxa"/>
            <w:tcBorders/>
            <w:shd w:fill="EEEEEE" w:val="clear"/>
            <w:vAlign w:val="center"/>
          </w:tcPr>
          <w:p>
            <w:pPr>
              <w:pStyle w:val="TableContents"/>
              <w:bidi w:val="0"/>
              <w:spacing w:before="0" w:after="283"/>
              <w:jc w:val="right"/>
              <w:rPr/>
            </w:pPr>
            <w:r>
              <w:rPr/>
              <w:t>39.31%</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187" w:type="dxa"/>
            <w:tcBorders/>
            <w:shd w:fill="EEEEEE" w:val="clear"/>
            <w:vAlign w:val="center"/>
          </w:tcPr>
          <w:p>
            <w:pPr>
              <w:pStyle w:val="TableContents"/>
              <w:bidi w:val="0"/>
              <w:spacing w:before="0" w:after="283"/>
              <w:jc w:val="left"/>
              <w:rPr/>
            </w:pPr>
            <w:r>
              <w:rPr/>
              <w:t> </w:t>
            </w:r>
          </w:p>
        </w:tc>
        <w:tc>
          <w:tcPr>
            <w:tcW w:w="1479" w:type="dxa"/>
            <w:tcBorders/>
            <w:shd w:fill="EEEEEE" w:val="clear"/>
            <w:vAlign w:val="center"/>
          </w:tcPr>
          <w:p>
            <w:pPr>
              <w:pStyle w:val="TableContents"/>
              <w:bidi w:val="0"/>
              <w:spacing w:before="0" w:after="283"/>
              <w:jc w:val="right"/>
              <w:rPr/>
            </w:pPr>
            <w:r>
              <w:rPr/>
              <w:t>42.03%</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94"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p>
        </w:tc>
      </w:tr>
      <w:tr>
        <w:trPr/>
        <w:tc>
          <w:tcPr>
            <w:tcW w:w="5334" w:type="dxa"/>
            <w:tcBorders/>
            <w:shd w:fill="FFFFFF" w:val="clear"/>
            <w:vAlign w:val="center"/>
          </w:tcPr>
          <w:p>
            <w:pPr>
              <w:pStyle w:val="TableContents"/>
              <w:bidi w:val="0"/>
              <w:spacing w:before="0" w:after="283"/>
              <w:jc w:val="left"/>
              <w:rPr/>
            </w:pPr>
            <w:r>
              <w:rPr/>
              <w:t>Operating (loss) income % of revenues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1491" w:type="dxa"/>
            <w:tcBorders/>
            <w:shd w:fill="FFFFFF" w:val="clear"/>
            <w:vAlign w:val="center"/>
          </w:tcPr>
          <w:p>
            <w:pPr>
              <w:pStyle w:val="TableContents"/>
              <w:bidi w:val="0"/>
              <w:spacing w:before="0" w:after="283"/>
              <w:jc w:val="right"/>
              <w:rPr/>
            </w:pPr>
            <w:r>
              <w:rPr/>
              <w:t>(16.01%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7" w:type="dxa"/>
            <w:tcBorders/>
            <w:shd w:fill="FFFFFF" w:val="clear"/>
            <w:vAlign w:val="center"/>
          </w:tcPr>
          <w:p>
            <w:pPr>
              <w:pStyle w:val="TableContents"/>
              <w:bidi w:val="0"/>
              <w:spacing w:before="0" w:after="283"/>
              <w:jc w:val="left"/>
              <w:rPr/>
            </w:pPr>
            <w:r>
              <w:rPr/>
              <w:t> </w:t>
            </w:r>
          </w:p>
        </w:tc>
        <w:tc>
          <w:tcPr>
            <w:tcW w:w="1479" w:type="dxa"/>
            <w:tcBorders/>
            <w:shd w:fill="FFFFFF" w:val="clear"/>
            <w:vAlign w:val="center"/>
          </w:tcPr>
          <w:p>
            <w:pPr>
              <w:pStyle w:val="TableContents"/>
              <w:bidi w:val="0"/>
              <w:spacing w:before="0" w:after="283"/>
              <w:jc w:val="right"/>
              <w:rPr/>
            </w:pPr>
            <w:r>
              <w:rPr/>
              <w:t>6.64%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94"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jc w:val="left"/>
              <w:rPr/>
            </w:pPr>
            <w:r>
              <w:rPr/>
              <w:t> </w:t>
            </w:r>
          </w:p>
        </w:tc>
      </w:tr>
      <w:tr>
        <w:trPr/>
        <w:tc>
          <w:tcPr>
            <w:tcW w:w="5334" w:type="dxa"/>
            <w:tcBorders/>
            <w:shd w:fill="EEEEEE" w:val="clear"/>
            <w:vAlign w:val="center"/>
          </w:tcPr>
          <w:p>
            <w:pPr>
              <w:pStyle w:val="TableContents"/>
              <w:bidi w:val="0"/>
              <w:spacing w:before="0" w:after="283"/>
              <w:jc w:val="left"/>
              <w:rPr/>
            </w:pPr>
            <w:r>
              <w:rPr/>
              <w:t>Net (loss) income % of revenues</w:t>
            </w:r>
          </w:p>
        </w:tc>
        <w:tc>
          <w:tcPr>
            <w:tcW w:w="60" w:type="dxa"/>
            <w:tcBorders/>
            <w:shd w:fill="EEEEEE" w:val="clear"/>
            <w:vAlign w:val="center"/>
          </w:tcPr>
          <w:p>
            <w:pPr>
              <w:pStyle w:val="TableContents"/>
              <w:bidi w:val="0"/>
              <w:spacing w:before="0" w:after="283"/>
              <w:jc w:val="left"/>
              <w:rPr/>
            </w:pPr>
            <w:r>
              <w:rPr/>
              <w:t> </w:t>
            </w:r>
          </w:p>
        </w:tc>
        <w:tc>
          <w:tcPr>
            <w:tcW w:w="176" w:type="dxa"/>
            <w:tcBorders/>
            <w:shd w:fill="EEEEEE" w:val="clear"/>
            <w:vAlign w:val="center"/>
          </w:tcPr>
          <w:p>
            <w:pPr>
              <w:pStyle w:val="TableContents"/>
              <w:bidi w:val="0"/>
              <w:spacing w:before="0" w:after="283"/>
              <w:jc w:val="left"/>
              <w:rPr/>
            </w:pPr>
            <w:r>
              <w:rPr/>
              <w:t> </w:t>
            </w:r>
          </w:p>
        </w:tc>
        <w:tc>
          <w:tcPr>
            <w:tcW w:w="1491" w:type="dxa"/>
            <w:tcBorders/>
            <w:shd w:fill="EEEEEE" w:val="clear"/>
            <w:vAlign w:val="center"/>
          </w:tcPr>
          <w:p>
            <w:pPr>
              <w:pStyle w:val="TableContents"/>
              <w:bidi w:val="0"/>
              <w:spacing w:before="0" w:after="283"/>
              <w:jc w:val="right"/>
              <w:rPr/>
            </w:pPr>
            <w:r>
              <w:rPr/>
              <w:t>(13.76%</w:t>
            </w:r>
          </w:p>
        </w:tc>
        <w:tc>
          <w:tcPr>
            <w:tcW w:w="95" w:type="dxa"/>
            <w:tcBorders/>
            <w:shd w:fill="EEEEEE" w:val="clear"/>
            <w:vAlign w:val="center"/>
          </w:tcPr>
          <w:p>
            <w:pPr>
              <w:pStyle w:val="TableContents"/>
              <w:bidi w:val="0"/>
              <w:spacing w:before="0" w:after="283"/>
              <w:jc w:val="left"/>
              <w:rPr/>
            </w:pPr>
            <w:r>
              <w:rPr/>
              <w:t>)</w:t>
            </w:r>
          </w:p>
        </w:tc>
        <w:tc>
          <w:tcPr>
            <w:tcW w:w="60" w:type="dxa"/>
            <w:tcBorders/>
            <w:shd w:fill="EEEEEE" w:val="clear"/>
            <w:vAlign w:val="center"/>
          </w:tcPr>
          <w:p>
            <w:pPr>
              <w:pStyle w:val="TableContents"/>
              <w:bidi w:val="0"/>
              <w:spacing w:before="0" w:after="283"/>
              <w:jc w:val="left"/>
              <w:rPr/>
            </w:pPr>
            <w:r>
              <w:rPr/>
              <w:t> </w:t>
            </w:r>
          </w:p>
        </w:tc>
        <w:tc>
          <w:tcPr>
            <w:tcW w:w="187" w:type="dxa"/>
            <w:tcBorders/>
            <w:shd w:fill="EEEEEE" w:val="clear"/>
            <w:vAlign w:val="center"/>
          </w:tcPr>
          <w:p>
            <w:pPr>
              <w:pStyle w:val="TableContents"/>
              <w:bidi w:val="0"/>
              <w:spacing w:before="0" w:after="283"/>
              <w:jc w:val="left"/>
              <w:rPr/>
            </w:pPr>
            <w:r>
              <w:rPr/>
              <w:t> </w:t>
            </w:r>
          </w:p>
        </w:tc>
        <w:tc>
          <w:tcPr>
            <w:tcW w:w="1479" w:type="dxa"/>
            <w:tcBorders/>
            <w:shd w:fill="EEEEEE" w:val="clear"/>
            <w:vAlign w:val="center"/>
          </w:tcPr>
          <w:p>
            <w:pPr>
              <w:pStyle w:val="TableContents"/>
              <w:bidi w:val="0"/>
              <w:spacing w:before="0" w:after="283"/>
              <w:jc w:val="right"/>
              <w:rPr/>
            </w:pPr>
            <w:r>
              <w:rPr/>
              <w:t>5.00%</w:t>
            </w:r>
          </w:p>
        </w:tc>
        <w:tc>
          <w:tcPr>
            <w:tcW w:w="95"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60" w:type="dxa"/>
            <w:tcBorders/>
            <w:shd w:fill="EEEEEE" w:val="clear"/>
            <w:vAlign w:val="center"/>
          </w:tcPr>
          <w:p>
            <w:pPr>
              <w:pStyle w:val="TableContents"/>
              <w:bidi w:val="0"/>
              <w:spacing w:before="0" w:after="283"/>
              <w:jc w:val="left"/>
              <w:rPr/>
            </w:pPr>
            <w:r>
              <w:rPr/>
              <w:t> </w:t>
            </w:r>
          </w:p>
        </w:tc>
        <w:tc>
          <w:tcPr>
            <w:tcW w:w="994" w:type="dxa"/>
            <w:tcBorders/>
            <w:shd w:fill="EEEEEE" w:val="clear"/>
            <w:vAlign w:val="center"/>
          </w:tcPr>
          <w:p>
            <w:pPr>
              <w:pStyle w:val="TableContents"/>
              <w:bidi w:val="0"/>
              <w:spacing w:before="0" w:after="283"/>
              <w:jc w:val="right"/>
              <w:rPr/>
            </w:pPr>
            <w:r>
              <w:rPr/>
              <w:t> </w:t>
            </w:r>
          </w:p>
        </w:tc>
        <w:tc>
          <w:tcPr>
            <w:tcW w:w="114"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for the nine months ended March 31, 2023 increased 14.31% to $65,502,882 as compared to $57,300,642 for the nine months ended March 31, 2022. While pricing remained stable, the increased revenue mainly resulted from an increase in sales volume and expansion of sales to other regions, such as Canada, Europe, and Asia. In addition to our organic growth and diversified product mix, which we achieved as a result of improved products and more effective online marketing and merchandising efforts. However, while the revenues for the current nine months ended March 31, 2023 improved over the same period last year, we cannot assure that this trend will continue.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Costs of Goods Sold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Costs of goods sold for the nine months ended March 31, 2023 increased 19.68% to $39,755,919 as compared to $33,219,677 for the nine months ended March 31, 2022. The increase was due to an increase in sales, as discussed above. In addition, we experienced an increase in costs of goods sold as a percentage of revenue as a result of the increased freight charges during the nine months ended March 31, 2023. See discussions on gross profit below. We have seen decreasing freight charges since September 2022 but can give no assurance that this trend will continue.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Gross Profit</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was $25,746,963 for the nine months ended March 31, 2023 as compared to $24,080,965 for the nine months ended March 31, 2022. The gross profit ratio decreased to 39.31% for the nine months ended March 31, 2023 from 42.03% for the nine months ended March 31, 2022. The decrease in gross profit ratio was mainly driven by an increase in freight charges during the nine months ended March 31, 2023 as well as channel and product category mix.</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expenses for the nine months ended March 31, 2023 increased 78.68% to $36,234,033 as compared to $20,278,376 for the nine months ended March 31, 2022. The increase was mainly due to the combination of an increase in selling and fulfillment expenses of $11.9 million as a result of increased advertising, merchant fees, delivery fees, rental expenses, storage costs and fulfillment workforce, general and administrative expenses of $1.04 million, which included payroll expenses, stock-based compensation expense, insurance expenses and other operating expenses including expenses associated with being a publicly traded company, and $3.06 million of impairment loss on goodwill triggered by a decrease in the Company’s share price of its common stock and the net loss incurred during the quarter ended September 30, 2022.</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(Loss) Income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Income from operations was ($10,487,070) for the nine months ended March 31, 2023 as compared to $3,802,589 for the nine months ended March 31, 2022. The decrease was due to the increase in operating expenses was greater than the increase in gross profit as discussed above.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expenses for the nine months ended March 31, 2023 was ($610,283) as compared to ($233,968) for the nine months ended March 31, 2022. The increase in other expenses was mainly due to a combined result of an increase in other non-operating income of $ 113,652 , and an increase in interest, including amortization of debt discount on the revolving loan of $ 573,641 during the period ended March 31, 2023.</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Net (Loss) Income Attributable to iPower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iPower Inc. for the nine months ended March 31, 2023 was ($9,003,349) as compared to net income of $2,867,146 for the nine months ended March 31, 2022, representing a decrease of ($11,870,495). The decrease was primarily due to a decrease in gross profit and an increase in operating expenses as discussed above.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Comprehensive (Loss) Income Attributable to iPower Inc.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attributable to iPower Inc. for the nine months ended March 31, 2023 was ($9,050,071) as compared to comprehensive income of $2,863,920 for the nine months ended March 31, 2022, representing a decrease of ($11,913,991). The decrease was due to the reasons discussed above, along with other comprehensive loss of $ (46,722) as a result of foreign currency translation adjustments resulting from the translation of RMB, the functional currency of our VIE in the PRC, to USD, the reporting currency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Sources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nine months ended March 31, 2023 we primarily funded our operations with cash and cash equivalents generated from operations, as well as through borrowing under our credit facility from JPMorgan Chase Bank ("JPM”). We had cash and cash equivalents of $1,419,495 as of March 31, 2023, representing a $0.4 million decrease from $ 1,821,947 of cash as of June 30, 2022. The cash decrease was primarily the result of the decrease in net cash provided by financing activities resulting from our payments to pay down the note payable and the JPM revolving line.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our current operating plan, and despite the current uncertainty resulting from the ongoing COVID-19 pandemic, we believe that our existing cash and cash equivalents and cash flows from operations will be sufficient to finance our operations during the next 12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cash requirements consist primarily of day-to-day operating expenses and obligations with respect to warehouse leases. We lease all of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12 months we believe that our cash flows from operations should improve as supply chains begin to return to normal and new suppliers that we bring online transition to credit terms more favorable to us. In addition, we plan to increase the size of our in-house product catalog, which will have a net beneficial impact to our margin profile and ability to generate cash. In addition, we have approximately $10.0 million in unused credit under our revolving line of credit with JPM as of March 31, 2023. Given our current working capital position and available funding from our revolving credit line, we believe we will be able to manage through the current challenges by managing payment terms with our customers and vendors.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Working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and June 30, 2022, our working capital was $18.8 million and $32.3 million, respectively. The historical seasonality in our business during the year can cause cash and cash equivalents, inventory and accounts payable to fluctuate, resulting in changes in our working capital. We anticipate that past historical trends will remain in place through the balance of the fiscal year with working capital remaining near this current level for the foreseeable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(used in) operating activities for the nine months ended March 31, 2023 and 2022 was $8,446,447 and ($14,760,269), respectively. The increase in cash provided by operating activities mainly resulted from decreased accounts receivable, inventories, prepayments and other current assets and increased accounts payable.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158" w:right="158"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March 31, 2023 and 2022, net cash (used in) provided by investing activities was ($144,885) and $177,408, respectively. The increase in cash used in investing activities was because the Company made additional purchase of equipment during the nine months ended March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161" w:right="161"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provided by financing activities was ($8,663,091) and $10,598,447, respectively, for the nine months ended March 31, 2023 and 2022. The main reason the Company experienced a decrease in net cash provided by financing activities was primarily due to our payment of $11.9 million for: 1] $1.5 million to pay off investment payable; 2] $1.8 million to pay down note payable; and 3] $8.6 million to pay down the outstanding balance of the asset-based revolving loan facility with JPM.</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724" w:right="72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4" w:right="72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prepare our consolidated financial statements in accordance with accounting principles generally accepted in the United States, or GAAP, and pursuant to the rules and regulations of the Securities Exchange Commission (“SEC”). The preparation of consolidated financial statements in conformity with GAAP requires management to make estimates and assumptions that affect the amounts reported in the consolidated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consolidated financial statements, we believe that the following accounting policies are critical to the process of making significant judgments and estimates in the preparation of our audited consolidated financial statements.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Revenue reco</w:t>
      </w:r>
      <w:r>
        <w:rPr>
          <w:rFonts w:ascii="Times New Roman;Times;Serif" w:hAnsi="Times New Roman;Times;Serif"/>
          <w:b w:val="false"/>
          <w:i w:val="false"/>
          <w:caps w:val="false"/>
          <w:smallCaps w:val="false"/>
          <w:sz w:val="20"/>
        </w:rPr>
        <w:t>g</w:t>
      </w:r>
      <w:r>
        <w:rPr>
          <w:rFonts w:ascii="Times New Roman;Times;Serif" w:hAnsi="Times New Roman;Times;Serif"/>
          <w:b w:val="false"/>
          <w:i w:val="false"/>
          <w:caps w:val="false"/>
          <w:smallCaps w:val="false"/>
          <w:sz w:val="20"/>
          <w:u w:val="single"/>
        </w:rPr>
        <w:t>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received prior to the shipment of goods to customers are recorded as customer deposits.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pStyle w:val="TextBody"/>
        <w:bidi w:val="0"/>
        <w:spacing w:before="0" w:after="0"/>
        <w:ind w:left="160" w:right="16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Inventory,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finished goods ready for sale and is stated at the lower of cost or market. The Company values its inventory using the weighted average costing method. The Company’s policy is to include as a part of inventory and costs of goods sold any freight incurred to ship the product from its vendors to warehouses. Outbound freight costs related to shipping costs to customers are considered period costs and reflected in selling, fulfillment, general and administrative expenses. The Company regularly reviews inventory and considers forecasts of future demand, market conditions and product obsolescence.</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Variable interest entities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15, 2022, the Company acquired 100% of the ordinary shares of Anivia Limited (“Anivia”) and its subsidiaries, including DHS. Pursuant to the terms of the Agreements, the Company does not have direct ownership in DHS but is actively involved in DHS’s operations as the sole manager to direct the activities and significantly impact DHS’s economic performance. DHS’s operational funding has been provided by the Company following the February 15, 2022 acquisition. During the term of the Agreements, the Company bears all of the risk of loss and has the right to receive all of the benefits from DHS. As such, based on the determination that the Company is the primary beneficiary of DHS, in accordance with ASC 810-10-25-38A through 25-38J, DHS is considered a VIE of the Company and the financial statements of DHS have been consolidated into the Company’s financial statements following the date such control existed, February 15, 2022. See Note 4 and Note 5 for details on acquisition.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represents the excess of the purchase price over the fair value of assets acquired and liabilities assumed. The Company accounts for goodwill under </w:t>
      </w:r>
      <w:r>
        <w:rPr>
          <w:rFonts w:ascii="Times New Roman;Times;Serif" w:hAnsi="Times New Roman;Times;Serif"/>
          <w:b w:val="false"/>
          <w:i/>
          <w:caps w:val="false"/>
          <w:smallCaps w:val="false"/>
          <w:sz w:val="20"/>
        </w:rPr>
        <w:t>ASC Topic 350, Intangibles-Goodwill and Other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Goodwill is not amortized but is reviewed for potential impairment on an annual basis, or if events or circumstances indicate a potential impairment, at the reporting unit level. The Company’s review for impairment includes an assessment of qualitative factors to determine whether it is more likely than not that the fair value of a reporting unit is less than its carrying value, including goodwill. If it is determined that it is more likely than not that the fair value of a reporting unit is less than its carrying value, including goodwill, a quantitative goodwill impairment test is performed, which compares the fair value of the reporting unit with its carrying amounts, including goodwill. If the fair value of the reporting unit exceeds its carrying amount, goodwill of the reporting unit is considered not impaired. However, if the carrying amount of the reporting unit exceeds its fair value, an </w:t>
      </w:r>
      <w:r>
        <w:rPr>
          <w:rFonts w:ascii="Times New Roman;Times;Serif" w:hAnsi="Times New Roman;Times;Serif"/>
          <w:b w:val="false"/>
          <w:i w:val="false"/>
          <w:caps w:val="false"/>
          <w:smallCaps w:val="false"/>
          <w:sz w:val="20"/>
          <w:shd w:fill="FFFFFF" w:val="clear"/>
        </w:rPr>
        <w:t xml:space="preserve">impairment loss </w:t>
      </w:r>
      <w:r>
        <w:rPr>
          <w:rFonts w:ascii="Times New Roman;Times;Serif" w:hAnsi="Times New Roman;Times;Serif"/>
          <w:b w:val="false"/>
          <w:i w:val="false"/>
          <w:caps w:val="false"/>
          <w:smallCaps w:val="false"/>
          <w:sz w:val="20"/>
        </w:rPr>
        <w:t xml:space="preserve">shall be recognized in an amount equal </w:t>
      </w:r>
      <w:r>
        <w:rPr>
          <w:rFonts w:ascii="Times New Roman;Times;Serif" w:hAnsi="Times New Roman;Times;Serif"/>
          <w:b w:val="false"/>
          <w:i w:val="false"/>
          <w:caps w:val="false"/>
          <w:smallCaps w:val="false"/>
          <w:sz w:val="20"/>
          <w:shd w:fill="FFFFFF" w:val="clear"/>
        </w:rPr>
        <w:t xml:space="preserve">to that </w:t>
      </w:r>
      <w:r>
        <w:rPr>
          <w:rFonts w:ascii="Times New Roman;Times;Serif" w:hAnsi="Times New Roman;Times;Serif"/>
          <w:b w:val="false"/>
          <w:i w:val="false"/>
          <w:caps w:val="false"/>
          <w:smallCaps w:val="false"/>
          <w:sz w:val="20"/>
        </w:rPr>
        <w:t xml:space="preserve">excess, limited to </w:t>
      </w:r>
      <w:r>
        <w:rPr>
          <w:rFonts w:ascii="Times New Roman;Times;Serif" w:hAnsi="Times New Roman;Times;Serif"/>
          <w:b w:val="false"/>
          <w:i w:val="false"/>
          <w:caps w:val="false"/>
          <w:smallCaps w:val="false"/>
          <w:sz w:val="20"/>
          <w:shd w:fill="FFFFFF" w:val="clear"/>
        </w:rPr>
        <w:t xml:space="preserve">the </w:t>
      </w:r>
      <w:r>
        <w:rPr>
          <w:rFonts w:ascii="Times New Roman;Times;Serif" w:hAnsi="Times New Roman;Times;Serif"/>
          <w:b w:val="false"/>
          <w:i w:val="false"/>
          <w:caps w:val="false"/>
          <w:smallCaps w:val="false"/>
          <w:sz w:val="20"/>
        </w:rPr>
        <w:t xml:space="preserve">total </w:t>
      </w:r>
      <w:r>
        <w:rPr>
          <w:rFonts w:ascii="Times New Roman;Times;Serif" w:hAnsi="Times New Roman;Times;Serif"/>
          <w:b w:val="false"/>
          <w:i w:val="false"/>
          <w:caps w:val="false"/>
          <w:smallCaps w:val="false"/>
          <w:sz w:val="20"/>
          <w:shd w:fill="FFFFFF" w:val="clear"/>
        </w:rPr>
        <w:t xml:space="preserve">amount of goodwill </w:t>
      </w:r>
      <w:r>
        <w:rPr>
          <w:rFonts w:ascii="Times New Roman;Times;Serif" w:hAnsi="Times New Roman;Times;Serif"/>
          <w:b w:val="false"/>
          <w:i w:val="false"/>
          <w:caps w:val="false"/>
          <w:smallCaps w:val="false"/>
          <w:sz w:val="20"/>
        </w:rPr>
        <w:t>allocated to that reporting unit. The Company engaged an independent third-party valuation firm in August of 2022 to conduct an evaluation of goodwill impairment for the Company as a whole at the consolidated reporting unit level as of June 30, 2022, which evaluation was conducted prior to the Company’s filing of its Annual Report on Form 10-K. Due to the decrease in the Company’s share price subsequent to the filing of the Form 10-K and the net loss incurred during the quarter ended September 30, 2022, the Company engaged the same valuation firm to review goodwill for impairment. Based on this review, the Company concluded an impairment loss of $3,060,034 as of September 30, 2022 was required. The impairment amount was determined based on the discounted cash flows with the revised projections reflecting the increase in freight and storage costs in the current interim quarter. The Company also considered the Market Capital Method, which is an alternative market approach, suggested the Company’s goodwill is partially impaired.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March 31, 2023, the Company performed a qualitative goodwill impairment analysis following the steps laid out in ASC 350-20-35-3C and noted no goodwill impairment. As of March 31, 2023, the remaining goodwill balance amounted to $ 3,034,110.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Finite life intangible assets at June 30, 2022 included a covenant not to compete, supplier relationship, and software recognized as part of the acquisition of Anivia Limited. Intangible assets are recorded at the estimated fair value of these items at the date of acquisition, February 15, 2022. Intangible assets are amortized on a straight-line basis over their estimated useful life as followings:</w:t>
      </w:r>
    </w:p>
    <w:p>
      <w:pPr>
        <w:pStyle w:val="TextBody"/>
        <w:bidi w:val="0"/>
        <w:spacing w:before="0" w:after="0"/>
        <w:ind w:left="0" w:right="0" w:firstLine="72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2165"/>
        <w:gridCol w:w="935"/>
      </w:tblGrid>
      <w:tr>
        <w:trPr/>
        <w:tc>
          <w:tcPr>
            <w:tcW w:w="2165" w:type="dxa"/>
            <w:tcBorders/>
            <w:vAlign w:val="center"/>
          </w:tcPr>
          <w:p>
            <w:pPr>
              <w:pStyle w:val="TableContents"/>
              <w:bidi w:val="0"/>
              <w:spacing w:before="0" w:after="283"/>
              <w:jc w:val="left"/>
              <w:rPr/>
            </w:pPr>
            <w:r>
              <w:rPr/>
              <w:t> </w:t>
            </w:r>
          </w:p>
        </w:tc>
        <w:tc>
          <w:tcPr>
            <w:tcW w:w="93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Useful Life</w:t>
            </w:r>
          </w:p>
        </w:tc>
      </w:tr>
      <w:tr>
        <w:trPr/>
        <w:tc>
          <w:tcPr>
            <w:tcW w:w="216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Covenant Not to Compete</w:t>
            </w:r>
          </w:p>
        </w:tc>
        <w:tc>
          <w:tcPr>
            <w:tcW w:w="93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 years</w:t>
            </w:r>
          </w:p>
        </w:tc>
      </w:tr>
      <w:tr>
        <w:trPr/>
        <w:tc>
          <w:tcPr>
            <w:tcW w:w="216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Supplier relationships</w:t>
            </w:r>
          </w:p>
        </w:tc>
        <w:tc>
          <w:tcPr>
            <w:tcW w:w="93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 years</w:t>
            </w:r>
          </w:p>
        </w:tc>
      </w:tr>
      <w:tr>
        <w:trPr/>
        <w:tc>
          <w:tcPr>
            <w:tcW w:w="2165" w:type="dxa"/>
            <w:tcBorders/>
            <w:shd w:fill="EEEEEE"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Software</w:t>
            </w:r>
          </w:p>
        </w:tc>
        <w:tc>
          <w:tcPr>
            <w:tcW w:w="935" w:type="dxa"/>
            <w:tcBorders/>
            <w:shd w:fill="EEEEEE"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 years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the recoverability of long-lived assets, including intangible assets, when events or changes in circumstances occur that indicate the carrying value of the asset may not be recoverable. The assessment of possible impairment is based on the ability to recover the carrying value of the asset from the expected future pretax cash flows (undiscounted and without interest charges) of the related operations. If these cash flows are less than the carrying value of such asset, an impairment loss is recognized for the difference between estimated fair value and carrying value. The measurement of impairment requires management to make estimates of these cash flows related to long-lived assets, as well as other fair value determinations. As of March 31, 2023, there were no indicators of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 In addition to the requisite service period, the Company also evaluates the performance condition and market condition under ASC 718-10-20. For an award that contains both a performance and a market condition, and where both conditions must be satisfied in order for the award to vest, the market condition is incorporated into the fair value of the award, and that fair value is recognized over the employee’s requisite service period or nonemployee’s vesting period if it is probable that the performance condition will be met. If the performance condition is ultimately not met, compensation cost related to the award should not be recognized (or should be reversed) because the vesting condition in the award has not been satisfied.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recognize forfeitures of such equity-based compensation as they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Deferred income tax assets are recognized only to the extent that management determines that it is more-likely-than-not that the deferred income tax assets will be realized. Valuation allowances are recorded, when necessary, to reduce deferred tax assets to the amount expected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implementation of certain provisions of ASC 740, Income Taxes (“ASC 740”), which clarifies the accounting and disclosure for uncertainty in tax position, as defined, ASC 740 seeks to reduce the diversity in practice associated with certain aspects of the recognition and measurement related to accounting for income taxes. The Company has adopted the provisions of ASC 740 since inception, April 11, 2018, and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believes that our income tax filing positions and deductions will be sustained 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2022, FASB issued ASU 2022-03, Fair Value Measurement (Topic 82): Fair Value Measurement of Equity Securities Subject to Contractual Sale Restrictions. The amendments in this ASU clarify the guidance in ASC 820 on the fair value measurement of an equity security that is subject to a contractual sale restriction and require specific disclosures related to such an equity security. This standard is effective for fiscal years beginning after December 15, 2024. The Company does not expect the adoption of this standard to have a material impact on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2021, the FASB issued ASU 2021-08, Business Combinations (Topic 805), Accounting for Contract Assets and Contract Liabilities from Contracts with Customers. This ASU clarifies that an acquirer of a business should recognize and measure contract assets and contract liabilities in a business combination in accordance with ASU 2014-09, Revenue from Contracts with Customers (Topic 606) as if the entity had originated the contracts. The guidance is effective for fiscal years beginning after December 15, 2023, with early application permitted. The Company does not expect the adoption of this standard to have a material impact on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2020 and January 2021, the FASB issued ASU No. 2020-04, Reference Rate Reform (Topic 848): Facilitation of the Effects of Reference Rate Reform on Financial Reporting and ASU No. 2021-01, Reference Rate Reform (Topic 848): Scope, respectively (collectively, "Topic 848”). Topic 848 provides optional expedients and exceptions for applying GAAP to contracts, hedging relationships and other transactions that reference the London Interbank Offered Rate (“LIBOR”) or another reference rate expected to be discontinued because of reference rate reform. The expedients and exceptions provided by Topic 848 are effective for all entities as of March 12, 2020 through December 31, 2022. The Company does not expect the adoption of this standard to have a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is effective for the Company on July 1, 2024, including interim periods within those fiscal years. Adoption is either a modified retrospective method or a fully retrospective method of transition. The Company does not expect the adoption of this standard to have a material impact on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January 2020, the FASB issued ASU 2020-01, “Investments - Equity Securities (Topic 321), Investments - Equity Method and Joint Ventures (Topic 323), and Derivatives and Hedging (Topic 815) - Clarifying the Interactions between Topic 321, Topic 323, and Topic 815.” This ASU among other things clarifies that a company should consider observable transactions that require a company to either apply or discontinue the equity method of accounting under Topic 323, Investments—Equity Method and Joint Ventures, for the purposes of applying the measurement alternative in accordance with Topic 321 immediately before applying or upon discontinuing the equity method. The new ASU clarifies that, when determining the accounting for certain forward contracts and purchased options a company should not consider, whether upon settlement or exercise, if the underlying securities would be accounted for under the equity method or fair value option. ASU 2020-01 is effective. For public business entities for fiscal years, and interim periods within those fiscal years, beginning after December 15, 2021. An entity should apply ASU 2020-01 prospectively at the beginning of the interim period that includes the adoption date. The Company adopted ASU 2020-01 on July 1, 2022. The adoption of ASU 2020-01 did not have material impact on the Company's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2021; however, early adoption is permitted. The Company adopted ASU 2019-12 on July 1, 2022. The adoption of this standard did not have material impact on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January 2017, the FASB issued ASU 2017-04, “Intangibles - Goodwill and Other (Topic 350): Simplifying the Test for Goodwill Impairment,” which eliminates step two from the goodwill impairment test. Under ASU 2017-04, an entity should recognize an impairment charge for the amount by which the carrying amount of a reporting unit exceeds its fair value up to the amount of goodwill allocated to that reporting unit. ASU 2017-04 became effective for accelerated filing companies for annual periods or any interim goodwill impairment tests in fiscal years beginning after December 15, 2019. All other entities, including not-for-profit entities, that are adopting the amendments in this Update should do so for their annual or any interim goodwill impairment tests in fiscal years beginning after December 15, 2022. </w:t>
      </w:r>
      <w:r>
        <w:rPr>
          <w:rFonts w:ascii="Times New Roman;Times;Serif" w:hAnsi="Times New Roman;Times;Serif"/>
          <w:b w:val="false"/>
          <w:i w:val="false"/>
          <w:caps w:val="false"/>
          <w:smallCaps w:val="false"/>
          <w:sz w:val="20"/>
          <w:shd w:fill="FFFFFF" w:val="clear"/>
        </w:rPr>
        <w:t>Early adoption is permitted for interim or annual goodwill impairment tests performed on testing dates after </w:t>
      </w:r>
      <w:r>
        <w:rPr>
          <w:rFonts w:ascii="Times New Roman;Times;Serif" w:hAnsi="Times New Roman;Times;Serif"/>
          <w:b w:val="false"/>
          <w:i w:val="false"/>
          <w:caps w:val="false"/>
          <w:smallCaps w:val="false"/>
          <w:sz w:val="20"/>
        </w:rPr>
        <w:t xml:space="preserve">January 1, 2017. </w:t>
      </w:r>
      <w:r>
        <w:rPr>
          <w:rFonts w:ascii="Times New Roman;Times;Serif" w:hAnsi="Times New Roman;Times;Serif"/>
          <w:b w:val="false"/>
          <w:i w:val="false"/>
          <w:caps w:val="false"/>
          <w:smallCaps w:val="false"/>
          <w:sz w:val="20"/>
          <w:shd w:fill="FFFFFF" w:val="clear"/>
        </w:rPr>
        <w:t>The Company</w:t>
      </w:r>
      <w:r>
        <w:rPr>
          <w:rFonts w:ascii="Times New Roman;Times;Serif" w:hAnsi="Times New Roman;Times;Serif"/>
          <w:b w:val="false"/>
          <w:i w:val="false"/>
          <w:caps w:val="false"/>
          <w:smallCaps w:val="false"/>
          <w:sz w:val="20"/>
        </w:rPr>
        <w:t xml:space="preserve"> has adopted ASU 2017-04. See disclosures above on Goodwill for further details.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believe other recently issued but not yet effective accounting standards, if currently adopted, would have a material effect on the consolidated financial position, statements of operations and cash flows.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74" w:name="q309"/>
      <w:bookmarkEnd w:id="974"/>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“smaller reporting company,” we are not required to provide the information required by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75" w:name="q310"/>
      <w:bookmarkEnd w:id="975"/>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Evaluation of Disclosure Controls and Procedures</w:t>
      </w:r>
    </w:p>
    <w:p>
      <w:pPr>
        <w:pStyle w:val="TextBody"/>
        <w:bidi w:val="0"/>
        <w:spacing w:before="0" w:after="0"/>
        <w:ind w:left="157" w:right="157" w:firstLine="72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for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2023, our management carried out an evaluation, under the supervision and with the participation of our Chief Executive Officer and Chief Financial Officer, of the effectiveness of the design and operation of our disclosure controls and procedures. Based on the foregoing, our management concluded that our internal controls over financial reporting were not effective because, among other things, (i) we did not maintain a sufficient complement of personnel with an appropriate degree of technical knowledge commensurate with the Company’s accounting and reporting requirements and complex transactions, (ii) we lack effective communication procedures in our controlled subsidiaries, and (iii) our controls related to the financial statements closing process were not adequately designed or appropriately implemented to identify material misstatements in our financial reporting on a timely basis. 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Changes in Internal Controls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changes in our internal controls over financial reporting that occurred during the quarter ended March 31, 2023 that have materially affected, or are reasonably likely to materially affect, our internal controls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UHY LLP, our independent registered public accounting firm, is not required to and has not provided an assessment concerning the design or effectiveness of our internal controls over financial reporting.</w:t>
      </w:r>
    </w:p>
    <w:p>
      <w:pPr>
        <w:pStyle w:val="TextBody"/>
        <w:bidi w:val="0"/>
        <w:spacing w:before="0" w:after="0"/>
        <w:ind w:left="0" w:right="0" w:firstLine="520"/>
        <w:jc w:val="left"/>
        <w:rPr>
          <w:caps w:val="false"/>
          <w:smallCaps w:val="false"/>
        </w:rPr>
      </w:pPr>
      <w:r>
        <w:rPr>
          <w:caps w:val="false"/>
          <w:smallCaps w:val="false"/>
        </w:rPr>
        <w:t> </w:t>
      </w:r>
    </w:p>
    <w:p>
      <w:pPr>
        <w:pStyle w:val="TextBody"/>
        <w:bidi w:val="0"/>
        <w:spacing w:before="0" w:after="0"/>
        <w:ind w:left="0" w:right="0" w:firstLine="520"/>
        <w:jc w:val="left"/>
        <w:rPr>
          <w:caps w:val="false"/>
          <w:smallCaps w:val="false"/>
        </w:rPr>
      </w:pPr>
      <w:r>
        <w:rPr>
          <w:caps w:val="false"/>
          <w:smallCaps w:val="false"/>
        </w:rPr>
        <w:t> </w:t>
      </w:r>
    </w:p>
    <w:p>
      <w:pPr>
        <w:pStyle w:val="TextBody"/>
        <w:bidi w:val="0"/>
        <w:spacing w:before="0" w:after="0"/>
        <w:ind w:left="0" w:right="0" w:firstLine="5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76" w:name="q311"/>
      <w:bookmarkEnd w:id="976"/>
      <w:r>
        <w:rPr>
          <w:rFonts w:ascii="Times New Roman;Times;Serif" w:hAnsi="Times New Roman;Times;Serif"/>
          <w:b/>
          <w:i w:val="false"/>
          <w:caps w:val="false"/>
          <w:smallCaps w:val="false"/>
          <w:sz w:val="20"/>
        </w:rPr>
        <w:t>PART II —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77" w:name="q312"/>
      <w:bookmarkEnd w:id="977"/>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former placement agent, Boustead Securities LLC ("Boustead”), has brought a legal action against us following our communication to Boustead to unilaterally terminate an engagement agreement under which we and Boustead had originally intended for Boustead to be engaged to act as an exclusive underwriter in our initial public offering. To date, we have been unable to reach a settlement with Boustead. On April 30, 2021, Boustead filed a statement of claim with FINRA demanding to arbitrate the dispute, and is seeking, among other things, monetary damages against the Company and D.A. Davidson &amp; Co. The matter is presently scheduled to be heard before a FINRA arbitration panel during the week beginning on May 22, 2023. We believe that we have meritorious defenses to any claims that Boustead may assert, and we do not believe that such claims will have a material adverse effect on our business, financial condition or operating results. However, we have agreed to indemnify D.A. Davidson &amp; Co. and the other underwriters who participated in our initial public offering against any liability or expense they may incur or be subject to arising out of the Boustead dispute. In addition, Chenlong Tan, our Chairman, President and Chief Executive Officer and a beneficial owner of more than 5% of our common stock, has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for such reimbursement to come from sales of shares then owned by Mr. Tan. For further information, see “Risk Factors – Risks Related to Our Business and Products – </w:t>
      </w:r>
      <w:r>
        <w:rPr>
          <w:rFonts w:ascii="Times New Roman;Times;Serif" w:hAnsi="Times New Roman;Times;Serif"/>
          <w:b w:val="false"/>
          <w:i/>
          <w:caps w:val="false"/>
          <w:smallCaps w:val="false"/>
          <w:sz w:val="20"/>
        </w:rPr>
        <w:t>Prior to our initial public offering in 2021, we unilaterally terminated an engagement agreement with Boustead Securities LLC and may be subject to litigation or arbitration in the event we are not able to come to agreement on amounts Boustead deems itself to be owed under such agreement.</w:t>
      </w:r>
      <w:r>
        <w:rPr>
          <w:rFonts w:ascii="Times New Roman;Times;Serif" w:hAnsi="Times New Roman;Times;Serif"/>
          <w:b w:val="false"/>
          <w:i w:val="false"/>
          <w:caps w:val="false"/>
          <w:smallCaps w:val="false"/>
          <w:sz w:val="20"/>
        </w:rPr>
        <w:t>” and “Certain Relationships and Related Transactions” in our Annual Report on Form 10-K filed with the SEC on September 28, 2022.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above, we are not presently party to any pending or other threatened legal proceedings or claims that we believe will have a material adverse effect on our business, financial condition or operating results, although from time to time, we may become involved in legal proceedings in the ordinary course of business.</w:t>
      </w:r>
    </w:p>
    <w:p>
      <w:pPr>
        <w:pStyle w:val="TextBody"/>
        <w:bidi w:val="0"/>
        <w:spacing w:before="0" w:after="0"/>
        <w:ind w:left="0" w:right="0" w:firstLine="80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78" w:name="q314"/>
      <w:bookmarkEnd w:id="978"/>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Unstable market and economic conditions and potential disruptions in the credit markets may adversely affect our business, including the availability and cost of short-term funds for liquidity requirements and our ability to meet long-term commitments, which could adversely affect our results of operations, cash flows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internally generated funds are not available from operations, we may be required to rely on the banking and credit markets to meet our financial commitments and short-term liquidity needs. Our access to funds under our revolving credit facility or pursuant to arrangements with other financial institutions is dependent on the financial institution’s ability to meet funding commitments. Financial institutions may not be able to meet their funding commitments if they experience shortages of capital and liquidity or if they experience high volumes of borrowing requests from other borrowers within a short period of time.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global credit and financial markets have recently experienced extreme volatility and disruptions, including severely diminished liquidity and credit availability, declines in consumer confidence, declines in economic growth, inflationary pressure and interest rate changes and uncertainty about economic stability. More recently, the closures of Silicon Valley Bank, Signature Bank and First Republic Bank and their placement into receivership with the Federal Deposit Insurance Corporation (FDIC) created bank-specific and broader financial institution liquidity risk and concerns. Although the Department of the Treasury, the Federal Reserve and the FDIC jointly released a statement that depositors at Silicon Valley Bank and Signature Bank would have access to their funds, even those in excess of the standard FDIC insurance limits, under a systemic risk exception, future adverse developments with respect to specific financial institutions or the broader financial services industry may lead to market-wide liquidity shortages, impair the ability of companies to access near-term working capital needs, and create additional market and economic uncertainty. There can be no assurance that future credit and financial market instability and a deterioration in confidence in economic conditions will not occur. Our general business strategy may be adversely affected by any such economic downturn, liquidity shortages, volatile business environment or continued unpredictable and unstable market conditions. If the equity and credit markets deteriorate, or if adverse developments are experienced by financial institutions, it may cause short-term liquidity risk and also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clinical development plans. In addition, there is a risk that one or more of our current service providers, financial institutions, manufacturers and other partners may be adversely affected by the foregoing risks, which could directly affect our ability to attain our operating goals on schedule and on budget.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meet the continued listing requirements of Nasdaq Stock Market (“Nasdaq”) could result in a de-listing of our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maintain the continued listing requirements of Nasdaq, including maintaining the minimum closing bid price requirement of $1.00 per share, Nasdaq will take steps to de-list our common stock. As a result of several factors, including but not limited to recent market sentiment concerning our industry, the ongoing COVID-19 epidemic and its effects on the global marketplace, recent volatility in the financial markets generally due to the expectation of a tightening in monetary policy by the U.S. Federal Reserve and other geopolitical events, the per share price of our common stock has declined below the minimum bid price threshold required for continued listing. Were we to be delisted from Nasdaq, such a de-listing would likely have a negative effect on the price of our common stock and would impair your ability to sell or purchase our common stock when you wish to do so, as well as adversely affect our ability to issue additional securities and obtain additional financing in the future.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9, 2022, we received a deficiency notice from Nasdaq (the “Deficiency Notice”) informing us that our common stock had failed to comply with the $1.00 minimum bid price required for continued listing under Nasdaq Listing Rule 5550(a)(1) (“Rule 5550(a)(1)”) based upon the closing bid price of our common stock for the 30 consecutive business days prior to the date of the Deficiency Notice. In accordance with Nasdaq Listing Rule 5810(c)(3)(A), we have been given 180 calendar days from September 9, 2022, or until May 8, 2023, to regain compliance with Rule 5550(a)(1). Thus, if at any time before May 8, 2023 the bid price of our common stock closes at $1.00 per share or more for a minimum of 10 consecutive business days, Nasdaq will provide us with written confirmation that we have regained compliance.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8, 2023, as we had not yet regained compliance with Rule 5550(a)(1). As a result, prior to May 8, 2023, we had submitted to Nasdaq our plan to regain compliance, including our method for rectifying our present deficiency regarding the minimum bid price requirement. To qualify, we are required to meet the continued listing requirement for market value of publicly held shares and all other Nasdaq initial listing standards, except for the minimum bid price requirement. On May 9, 2023, Nasdaq granted the Company’s request for an Additional Grace Period, or through November 6, 2023, to regain compliance.</w:t>
      </w:r>
    </w:p>
    <w:p>
      <w:pPr>
        <w:pStyle w:val="TextBody"/>
        <w:shd w:fill="FFFFFF" w:val="clear"/>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Nonetheless, following the additional 180-day extension period, in the event of a de-listing or threatened de-listing, we would take actions to restore our compliance with Nasdaq Rules, but we can provide no assurances that the listing of our common stock would be restored, that our common stock will remain above the Nasdaq minimum bid price requirement or that we otherwise will remain in compliance with the Nasdaq Rules.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79" w:name="q315"/>
      <w:bookmarkEnd w:id="979"/>
      <w:r>
        <w:rPr>
          <w:rFonts w:ascii="Times New Roman;Times;Serif" w:hAnsi="Times New Roman;Times;Serif"/>
          <w:b/>
          <w:i w:val="false"/>
          <w:caps w:val="false"/>
          <w:smallCaps w:val="false"/>
          <w:sz w:val="20"/>
        </w:rPr>
        <w:t>ITEM 2. RECENT SALES OF UNREGISTERED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80" w:name="q316"/>
      <w:bookmarkEnd w:id="980"/>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81" w:name="q317"/>
      <w:bookmarkEnd w:id="981"/>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82" w:name="q318"/>
      <w:bookmarkEnd w:id="982"/>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983" w:name="q319"/>
      <w:bookmarkEnd w:id="983"/>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exhibits are filed or furnished with this report: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4"/>
        <w:gridCol w:w="60"/>
        <w:gridCol w:w="9271"/>
      </w:tblGrid>
      <w:tr>
        <w:trPr/>
        <w:tc>
          <w:tcPr>
            <w:tcW w:w="874"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Exhibit No.</w:t>
            </w:r>
          </w:p>
        </w:tc>
        <w:tc>
          <w:tcPr>
            <w:tcW w:w="60" w:type="dxa"/>
            <w:tcBorders/>
            <w:vAlign w:val="center"/>
          </w:tcPr>
          <w:p>
            <w:pPr>
              <w:pStyle w:val="TableContents"/>
              <w:bidi w:val="0"/>
              <w:spacing w:before="0" w:after="283"/>
              <w:jc w:val="left"/>
              <w:rPr/>
            </w:pPr>
            <w:r>
              <w:rPr/>
              <w:t> </w:t>
            </w:r>
          </w:p>
        </w:tc>
        <w:tc>
          <w:tcPr>
            <w:tcW w:w="9271" w:type="dxa"/>
            <w:tcBorders/>
            <w:vAlign w:val="center"/>
          </w:tcPr>
          <w:p>
            <w:pPr>
              <w:pStyle w:val="TableContents"/>
              <w:bidi w:val="0"/>
              <w:spacing w:before="0" w:after="283"/>
              <w:jc w:val="both"/>
              <w:rPr>
                <w:rFonts w:ascii="Times New Roman;Times;Serif" w:hAnsi="Times New Roman;Times;Serif"/>
                <w:b/>
                <w:sz w:val="20"/>
                <w:u w:val="single"/>
              </w:rPr>
            </w:pPr>
            <w:r>
              <w:rPr>
                <w:rFonts w:ascii="Times New Roman;Times;Serif" w:hAnsi="Times New Roman;Times;Serif"/>
                <w:b/>
                <w:sz w:val="20"/>
                <w:u w:val="single"/>
              </w:rPr>
              <w:t>Description of Exhibit</w:t>
            </w:r>
          </w:p>
        </w:tc>
      </w:tr>
      <w:tr>
        <w:trPr/>
        <w:tc>
          <w:tcPr>
            <w:tcW w:w="87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71" w:type="dxa"/>
            <w:tcBorders/>
            <w:vAlign w:val="center"/>
          </w:tcPr>
          <w:p>
            <w:pPr>
              <w:pStyle w:val="TableContents"/>
              <w:bidi w:val="0"/>
              <w:spacing w:before="0" w:after="283"/>
              <w:jc w:val="both"/>
              <w:rPr/>
            </w:pPr>
            <w:r>
              <w:rPr/>
              <w:t> </w:t>
            </w:r>
          </w:p>
        </w:tc>
      </w:tr>
      <w:tr>
        <w:trPr/>
        <w:tc>
          <w:tcPr>
            <w:tcW w:w="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31.1</w:t>
            </w:r>
          </w:p>
        </w:tc>
        <w:tc>
          <w:tcPr>
            <w:tcW w:w="60" w:type="dxa"/>
            <w:tcBorders/>
            <w:vAlign w:val="center"/>
          </w:tcPr>
          <w:p>
            <w:pPr>
              <w:pStyle w:val="TableContents"/>
              <w:bidi w:val="0"/>
              <w:spacing w:before="0" w:after="283"/>
              <w:jc w:val="left"/>
              <w:rPr/>
            </w:pPr>
            <w:r>
              <w:rPr/>
              <w:t> </w:t>
            </w:r>
          </w:p>
        </w:tc>
        <w:tc>
          <w:tcPr>
            <w:tcW w:w="9271" w:type="dxa"/>
            <w:tcBorders/>
            <w:vAlign w:val="center"/>
          </w:tcPr>
          <w:p>
            <w:pPr>
              <w:pStyle w:val="TableContents"/>
              <w:bidi w:val="0"/>
              <w:spacing w:before="0" w:after="283"/>
              <w:jc w:val="both"/>
              <w:rPr/>
            </w:pPr>
            <w:hyperlink w:anchor="ipower_ex3101.htm">
              <w:r>
                <w:rPr>
                  <w:rStyle w:val="InternetLink"/>
                  <w:rFonts w:ascii="Times New Roman;Times;Serif" w:hAnsi="Times New Roman;Times;Serif"/>
                  <w:sz w:val="20"/>
                </w:rPr>
                <w:t>Certification of Chief Executive Officer pursuant to Section 302 of the Sarbanes-Oxley Act of 2002</w:t>
              </w:r>
            </w:hyperlink>
            <w:r>
              <w:rPr>
                <w:rFonts w:ascii="Times New Roman;Times;Serif" w:hAnsi="Times New Roman;Times;Serif"/>
                <w:sz w:val="20"/>
              </w:rPr>
              <w:t xml:space="preserve"> *</w:t>
            </w:r>
          </w:p>
        </w:tc>
      </w:tr>
      <w:tr>
        <w:trPr/>
        <w:tc>
          <w:tcPr>
            <w:tcW w:w="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283"/>
              <w:jc w:val="left"/>
              <w:rPr/>
            </w:pPr>
            <w:r>
              <w:rPr/>
              <w:t> </w:t>
            </w:r>
          </w:p>
        </w:tc>
        <w:tc>
          <w:tcPr>
            <w:tcW w:w="9271" w:type="dxa"/>
            <w:tcBorders/>
            <w:vAlign w:val="center"/>
          </w:tcPr>
          <w:p>
            <w:pPr>
              <w:pStyle w:val="TableContents"/>
              <w:bidi w:val="0"/>
              <w:spacing w:before="0" w:after="283"/>
              <w:jc w:val="both"/>
              <w:rPr/>
            </w:pPr>
            <w:hyperlink w:anchor="ipower_ex3102.htm">
              <w:r>
                <w:rPr>
                  <w:rStyle w:val="InternetLink"/>
                  <w:rFonts w:ascii="Times New Roman;Times;Serif" w:hAnsi="Times New Roman;Times;Serif"/>
                  <w:sz w:val="20"/>
                </w:rPr>
                <w:t>Certification of Chief Financial Officer pursuant to Section 302 of the Sarbanes-Oxley Act of 2002</w:t>
              </w:r>
            </w:hyperlink>
            <w:r>
              <w:rPr>
                <w:rFonts w:ascii="Times New Roman;Times;Serif" w:hAnsi="Times New Roman;Times;Serif"/>
                <w:sz w:val="20"/>
              </w:rPr>
              <w:t xml:space="preserve"> *</w:t>
            </w:r>
          </w:p>
        </w:tc>
      </w:tr>
      <w:tr>
        <w:trPr/>
        <w:tc>
          <w:tcPr>
            <w:tcW w:w="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283"/>
              <w:jc w:val="left"/>
              <w:rPr/>
            </w:pPr>
            <w:r>
              <w:rPr/>
              <w:t> </w:t>
            </w:r>
          </w:p>
        </w:tc>
        <w:tc>
          <w:tcPr>
            <w:tcW w:w="9271" w:type="dxa"/>
            <w:tcBorders/>
            <w:vAlign w:val="center"/>
          </w:tcPr>
          <w:p>
            <w:pPr>
              <w:pStyle w:val="TableContents"/>
              <w:bidi w:val="0"/>
              <w:spacing w:before="0" w:after="283"/>
              <w:jc w:val="both"/>
              <w:rPr/>
            </w:pPr>
            <w:hyperlink w:anchor="ipower_ex3201.htm">
              <w:r>
                <w:rPr>
                  <w:rStyle w:val="InternetLink"/>
                  <w:rFonts w:ascii="Times New Roman;Times;Serif" w:hAnsi="Times New Roman;Times;Serif"/>
                  <w:sz w:val="20"/>
                </w:rPr>
                <w:t>Certification of Chief Executive Officer Pursuant to 18 U.S.C. Section 1350, As Adopted Pursuant to Section 906 of the Sarbanes-Oxley Act of 2002</w:t>
              </w:r>
            </w:hyperlink>
            <w:r>
              <w:rPr>
                <w:rFonts w:ascii="Times New Roman;Times;Serif" w:hAnsi="Times New Roman;Times;Serif"/>
                <w:sz w:val="20"/>
              </w:rPr>
              <w:t xml:space="preserve"> **</w:t>
            </w:r>
          </w:p>
        </w:tc>
      </w:tr>
      <w:tr>
        <w:trPr/>
        <w:tc>
          <w:tcPr>
            <w:tcW w:w="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32.2</w:t>
            </w:r>
          </w:p>
        </w:tc>
        <w:tc>
          <w:tcPr>
            <w:tcW w:w="60" w:type="dxa"/>
            <w:tcBorders/>
            <w:vAlign w:val="center"/>
          </w:tcPr>
          <w:p>
            <w:pPr>
              <w:pStyle w:val="TableContents"/>
              <w:bidi w:val="0"/>
              <w:spacing w:before="0" w:after="283"/>
              <w:jc w:val="left"/>
              <w:rPr/>
            </w:pPr>
            <w:r>
              <w:rPr/>
              <w:t> </w:t>
            </w:r>
          </w:p>
        </w:tc>
        <w:tc>
          <w:tcPr>
            <w:tcW w:w="9271" w:type="dxa"/>
            <w:tcBorders/>
            <w:vAlign w:val="center"/>
          </w:tcPr>
          <w:p>
            <w:pPr>
              <w:pStyle w:val="TableContents"/>
              <w:bidi w:val="0"/>
              <w:spacing w:before="0" w:after="283"/>
              <w:jc w:val="both"/>
              <w:rPr/>
            </w:pPr>
            <w:hyperlink w:anchor="ipower_ex3202.htm">
              <w:r>
                <w:rPr>
                  <w:rStyle w:val="InternetLink"/>
                  <w:rFonts w:ascii="Times New Roman;Times;Serif" w:hAnsi="Times New Roman;Times;Serif"/>
                  <w:sz w:val="20"/>
                </w:rPr>
                <w:t>Certification of Chief Financial Officer Pursuant to 18 U.S.C. Section 1350, As Adopted Pursuant to Section 906 of the Sarbanes-Oxley Act of 2002</w:t>
              </w:r>
            </w:hyperlink>
            <w:r>
              <w:rPr>
                <w:rFonts w:ascii="Times New Roman;Times;Serif" w:hAnsi="Times New Roman;Times;Serif"/>
                <w:sz w:val="20"/>
              </w:rPr>
              <w:t xml:space="preserve"> **</w:t>
            </w:r>
          </w:p>
        </w:tc>
      </w:tr>
      <w:tr>
        <w:trPr/>
        <w:tc>
          <w:tcPr>
            <w:tcW w:w="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283"/>
              <w:jc w:val="left"/>
              <w:rPr/>
            </w:pPr>
            <w:r>
              <w:rPr/>
              <w:t> </w:t>
            </w:r>
          </w:p>
        </w:tc>
        <w:tc>
          <w:tcPr>
            <w:tcW w:w="92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XBRL tags are embedded within the Inline XBRL document</w:t>
            </w:r>
          </w:p>
        </w:tc>
      </w:tr>
      <w:tr>
        <w:trPr/>
        <w:tc>
          <w:tcPr>
            <w:tcW w:w="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283"/>
              <w:jc w:val="left"/>
              <w:rPr/>
            </w:pPr>
            <w:r>
              <w:rPr/>
              <w:t> </w:t>
            </w:r>
          </w:p>
        </w:tc>
        <w:tc>
          <w:tcPr>
            <w:tcW w:w="92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Schema Document</w:t>
            </w:r>
          </w:p>
        </w:tc>
      </w:tr>
      <w:tr>
        <w:trPr/>
        <w:tc>
          <w:tcPr>
            <w:tcW w:w="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283"/>
              <w:jc w:val="left"/>
              <w:rPr/>
            </w:pPr>
            <w:r>
              <w:rPr/>
              <w:t> </w:t>
            </w:r>
          </w:p>
        </w:tc>
        <w:tc>
          <w:tcPr>
            <w:tcW w:w="92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Calculation Linkbase Document</w:t>
            </w:r>
          </w:p>
        </w:tc>
      </w:tr>
      <w:tr>
        <w:trPr/>
        <w:tc>
          <w:tcPr>
            <w:tcW w:w="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283"/>
              <w:jc w:val="left"/>
              <w:rPr/>
            </w:pPr>
            <w:r>
              <w:rPr/>
              <w:t> </w:t>
            </w:r>
          </w:p>
        </w:tc>
        <w:tc>
          <w:tcPr>
            <w:tcW w:w="92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Definition Linkbase Data</w:t>
            </w:r>
          </w:p>
        </w:tc>
      </w:tr>
      <w:tr>
        <w:trPr/>
        <w:tc>
          <w:tcPr>
            <w:tcW w:w="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283"/>
              <w:jc w:val="left"/>
              <w:rPr/>
            </w:pPr>
            <w:r>
              <w:rPr/>
              <w:t> </w:t>
            </w:r>
          </w:p>
        </w:tc>
        <w:tc>
          <w:tcPr>
            <w:tcW w:w="92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Label Linkbase Document</w:t>
            </w:r>
          </w:p>
        </w:tc>
      </w:tr>
      <w:tr>
        <w:trPr/>
        <w:tc>
          <w:tcPr>
            <w:tcW w:w="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283"/>
              <w:jc w:val="left"/>
              <w:rPr/>
            </w:pPr>
            <w:r>
              <w:rPr/>
              <w:t> </w:t>
            </w:r>
          </w:p>
        </w:tc>
        <w:tc>
          <w:tcPr>
            <w:tcW w:w="92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Presentation Linkbase Document</w:t>
            </w:r>
          </w:p>
        </w:tc>
      </w:tr>
      <w:tr>
        <w:trPr/>
        <w:tc>
          <w:tcPr>
            <w:tcW w:w="87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27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Furnished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49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84" w:name="q320"/>
      <w:bookmarkEnd w:id="984"/>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requirements of the Exchange Act, the registrant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450" w:type="dxa"/>
        <w:jc w:val="left"/>
        <w:tblInd w:w="0" w:type="dxa"/>
        <w:tblLayout w:type="fixed"/>
        <w:tblCellMar>
          <w:top w:w="0" w:type="dxa"/>
          <w:left w:w="0" w:type="dxa"/>
          <w:bottom w:w="0" w:type="dxa"/>
          <w:right w:w="0" w:type="dxa"/>
        </w:tblCellMar>
      </w:tblPr>
      <w:tblGrid>
        <w:gridCol w:w="1175"/>
        <w:gridCol w:w="320"/>
        <w:gridCol w:w="1955"/>
      </w:tblGrid>
      <w:tr>
        <w:trPr/>
        <w:tc>
          <w:tcPr>
            <w:tcW w:w="1175" w:type="dxa"/>
            <w:tcBorders/>
            <w:vAlign w:val="center"/>
          </w:tcPr>
          <w:p>
            <w:pPr>
              <w:pStyle w:val="TableContents"/>
              <w:bidi w:val="0"/>
              <w:spacing w:before="0" w:after="283"/>
              <w:jc w:val="left"/>
              <w:rPr/>
            </w:pPr>
            <w:r>
              <w:rPr/>
              <w:t> </w:t>
            </w:r>
          </w:p>
        </w:tc>
        <w:tc>
          <w:tcPr>
            <w:tcW w:w="22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iPower Inc.</w:t>
            </w:r>
          </w:p>
        </w:tc>
      </w:tr>
      <w:tr>
        <w:trPr/>
        <w:tc>
          <w:tcPr>
            <w:tcW w:w="11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15, 2023</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 Chenlong Tan </w:t>
            </w:r>
          </w:p>
        </w:tc>
      </w:tr>
      <w:tr>
        <w:trPr/>
        <w:tc>
          <w:tcPr>
            <w:tcW w:w="11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Chenlong Tan </w:t>
            </w:r>
          </w:p>
        </w:tc>
      </w:tr>
      <w:tr>
        <w:trPr/>
        <w:tc>
          <w:tcPr>
            <w:tcW w:w="11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3390" w:type="dxa"/>
        <w:jc w:val="left"/>
        <w:tblInd w:w="0" w:type="dxa"/>
        <w:tblLayout w:type="fixed"/>
        <w:tblCellMar>
          <w:top w:w="0" w:type="dxa"/>
          <w:left w:w="0" w:type="dxa"/>
          <w:bottom w:w="0" w:type="dxa"/>
          <w:right w:w="0" w:type="dxa"/>
        </w:tblCellMar>
      </w:tblPr>
      <w:tblGrid>
        <w:gridCol w:w="1175"/>
        <w:gridCol w:w="320"/>
        <w:gridCol w:w="1895"/>
      </w:tblGrid>
      <w:tr>
        <w:trPr/>
        <w:tc>
          <w:tcPr>
            <w:tcW w:w="1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15, 2023</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 Kevin Vassily</w:t>
            </w:r>
          </w:p>
        </w:tc>
      </w:tr>
      <w:tr>
        <w:trPr/>
        <w:tc>
          <w:tcPr>
            <w:tcW w:w="11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Kevin Vassily</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50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85" w:name="ipower_ex3101.htm"/>
      <w:bookmarkStart w:id="986" w:name="ksipower_ex3101"/>
      <w:bookmarkEnd w:id="985"/>
      <w:bookmarkEnd w:id="986"/>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Chenlong Tan, certify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Pursuant to Rule 15d-2 under the Securities Exchange Act of 1934 for the period ended March 31, 2023 of iPower Inc. (the “registrant”);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1700"/>
        <w:gridCol w:w="2360"/>
      </w:tblGrid>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May 15, 2023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Chenlong Tan</w:t>
            </w:r>
          </w:p>
        </w:tc>
      </w:tr>
      <w:tr>
        <w:trPr/>
        <w:tc>
          <w:tcPr>
            <w:tcW w:w="17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Chenlong Tan</w:t>
            </w:r>
          </w:p>
        </w:tc>
      </w:tr>
      <w:tr>
        <w:trPr/>
        <w:tc>
          <w:tcPr>
            <w:tcW w:w="1700"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87" w:name="ipower_ex3102.htm"/>
      <w:bookmarkStart w:id="988" w:name="ksipower_ex3102"/>
      <w:bookmarkEnd w:id="987"/>
      <w:bookmarkEnd w:id="988"/>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Kevin Vassily, certify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Pursuant to Rule 15d-2 under the Securities Exchange Act of 1934 for the period ended March 31, 2023 of iPower Inc. (the “registrant”);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57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008"/>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tbl>
      <w:tblPr>
        <w:tblW w:w="5350" w:type="dxa"/>
        <w:jc w:val="left"/>
        <w:tblInd w:w="0" w:type="dxa"/>
        <w:tblLayout w:type="fixed"/>
        <w:tblCellMar>
          <w:top w:w="0" w:type="dxa"/>
          <w:left w:w="0" w:type="dxa"/>
          <w:bottom w:w="0" w:type="dxa"/>
          <w:right w:w="0" w:type="dxa"/>
        </w:tblCellMar>
      </w:tblPr>
      <w:tblGrid>
        <w:gridCol w:w="1700"/>
        <w:gridCol w:w="3650"/>
      </w:tblGrid>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May 15, 2023 </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Vassily</w:t>
            </w:r>
          </w:p>
        </w:tc>
      </w:tr>
      <w:tr>
        <w:trPr/>
        <w:tc>
          <w:tcPr>
            <w:tcW w:w="170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Vassily</w:t>
            </w:r>
          </w:p>
        </w:tc>
      </w:tr>
      <w:tr>
        <w:trPr/>
        <w:tc>
          <w:tcPr>
            <w:tcW w:w="1700"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920"/>
        <w:jc w:val="right"/>
        <w:rPr>
          <w:rFonts w:ascii="Times New Roman;Times;Serif" w:hAnsi="Times New Roman;Times;Serif"/>
          <w:b/>
          <w:i w:val="false"/>
          <w:caps w:val="false"/>
          <w:smallCaps w:val="false"/>
          <w:sz w:val="20"/>
        </w:rPr>
      </w:pPr>
      <w:bookmarkStart w:id="989" w:name="ipower_ex3201.htm"/>
      <w:bookmarkStart w:id="990" w:name="ksipower_ex3201"/>
      <w:bookmarkEnd w:id="989"/>
      <w:bookmarkEnd w:id="990"/>
      <w:r>
        <w:rPr>
          <w:rFonts w:ascii="Times New Roman;Times;Serif" w:hAnsi="Times New Roman;Times;Serif"/>
          <w:b/>
          <w:i w:val="false"/>
          <w:caps w:val="false"/>
          <w:smallCaps w:val="false"/>
          <w:sz w:val="20"/>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iPower Inc. (the “Company”) on Form 10-Q pursuant to Rule 15d-2 Under the Securities Exchange Act of 1934 for the period ended March 31, 2023, as filed with the Securities and Exchange Commission on the date hereof (the “Report”), I, Chenlong Tan, Chief Executive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2023</w:t>
      </w:r>
    </w:p>
    <w:p>
      <w:pPr>
        <w:pStyle w:val="TextBody"/>
        <w:bidi w:val="0"/>
        <w:spacing w:before="0" w:after="0"/>
        <w:ind w:left="0" w:right="0" w:hanging="0"/>
        <w:jc w:val="left"/>
        <w:rPr>
          <w:caps w:val="false"/>
          <w:smallCaps w:val="false"/>
        </w:rPr>
      </w:pPr>
      <w:r>
        <w:rPr>
          <w:caps w:val="false"/>
          <w:smallCaps w:val="false"/>
        </w:rPr>
        <w:t> </w:t>
      </w:r>
    </w:p>
    <w:tbl>
      <w:tblPr>
        <w:tblW w:w="2435" w:type="dxa"/>
        <w:jc w:val="left"/>
        <w:tblInd w:w="0" w:type="dxa"/>
        <w:tblLayout w:type="fixed"/>
        <w:tblCellMar>
          <w:top w:w="0" w:type="dxa"/>
          <w:left w:w="0" w:type="dxa"/>
          <w:bottom w:w="0" w:type="dxa"/>
          <w:right w:w="0" w:type="dxa"/>
        </w:tblCellMar>
      </w:tblPr>
      <w:tblGrid>
        <w:gridCol w:w="75"/>
        <w:gridCol w:w="2360"/>
      </w:tblGrid>
      <w:tr>
        <w:trPr/>
        <w:tc>
          <w:tcPr>
            <w:tcW w:w="75" w:type="dxa"/>
            <w:tcBorders/>
            <w:vAlign w:val="center"/>
          </w:tcPr>
          <w:p>
            <w:pPr>
              <w:pStyle w:val="TableContents"/>
              <w:bidi w:val="0"/>
              <w:spacing w:before="0" w:after="283"/>
              <w:jc w:val="left"/>
              <w:rPr/>
            </w:pPr>
            <w:r>
              <w:rPr/>
              <w:t> </w:t>
            </w:r>
          </w:p>
        </w:tc>
        <w:tc>
          <w:tcPr>
            <w:tcW w:w="236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Chenlong Tan</w:t>
            </w:r>
          </w:p>
        </w:tc>
      </w:tr>
      <w:tr>
        <w:trPr/>
        <w:tc>
          <w:tcPr>
            <w:tcW w:w="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Chenlong Tan</w:t>
            </w:r>
          </w:p>
        </w:tc>
      </w:tr>
      <w:tr>
        <w:trPr/>
        <w:tc>
          <w:tcPr>
            <w:tcW w:w="75" w:type="dxa"/>
            <w:tcBorders/>
            <w:vAlign w:val="center"/>
          </w:tcPr>
          <w:p>
            <w:pPr>
              <w:pStyle w:val="TableContents"/>
              <w:bidi w:val="0"/>
              <w:spacing w:before="0" w:after="283"/>
              <w:jc w:val="left"/>
              <w:rPr/>
            </w:pPr>
            <w:r>
              <w:rPr/>
              <w:t> </w:t>
            </w:r>
          </w:p>
        </w:tc>
        <w:tc>
          <w:tcPr>
            <w:tcW w:w="236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991" w:name="ipower_ex3202.htm"/>
      <w:bookmarkStart w:id="992" w:name="ksipower_ex3202"/>
      <w:bookmarkEnd w:id="991"/>
      <w:bookmarkEnd w:id="992"/>
      <w:r>
        <w:rPr>
          <w:rFonts w:ascii="Times New Roman;Times;Serif" w:hAnsi="Times New Roman;Times;Serif"/>
          <w:b/>
          <w:i w:val="false"/>
          <w:caps w:val="false"/>
          <w:smallCaps w:val="false"/>
          <w:sz w:val="20"/>
        </w:rPr>
        <w:t>Exhibit 32.2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iPower Inc. (the “Company”) on Form 10-Q pursuant to Rule 15d-2 Under the Securities Exchange Act of 1934 for the period ended March 31, 2023, as filed with the Securities and Exchange Commission on the date hereof (the “Report”), I, Kevin Vassily, Chief Financial Officer of the Company, certify, pursuant to 18 U.S.C. Section 1350, as adopted pursuant to Section 906 of the Sarbanes-Oxley Act of 2002,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15, 2023</w:t>
      </w:r>
    </w:p>
    <w:p>
      <w:pPr>
        <w:pStyle w:val="TextBody"/>
        <w:bidi w:val="0"/>
        <w:spacing w:before="0" w:after="0"/>
        <w:ind w:left="0" w:right="0" w:hanging="0"/>
        <w:jc w:val="left"/>
        <w:rPr>
          <w:caps w:val="false"/>
          <w:smallCaps w:val="false"/>
        </w:rPr>
      </w:pPr>
      <w:r>
        <w:rPr>
          <w:caps w:val="false"/>
          <w:smallCaps w:val="false"/>
        </w:rPr>
        <w:t> </w:t>
      </w:r>
    </w:p>
    <w:tbl>
      <w:tblPr>
        <w:tblW w:w="3725" w:type="dxa"/>
        <w:jc w:val="left"/>
        <w:tblInd w:w="0" w:type="dxa"/>
        <w:tblLayout w:type="fixed"/>
        <w:tblCellMar>
          <w:top w:w="0" w:type="dxa"/>
          <w:left w:w="0" w:type="dxa"/>
          <w:bottom w:w="0" w:type="dxa"/>
          <w:right w:w="0" w:type="dxa"/>
        </w:tblCellMar>
      </w:tblPr>
      <w:tblGrid>
        <w:gridCol w:w="75"/>
        <w:gridCol w:w="3650"/>
      </w:tblGrid>
      <w:tr>
        <w:trPr/>
        <w:tc>
          <w:tcPr>
            <w:tcW w:w="75" w:type="dxa"/>
            <w:tcBorders/>
            <w:vAlign w:val="center"/>
          </w:tcPr>
          <w:p>
            <w:pPr>
              <w:pStyle w:val="TableContents"/>
              <w:bidi w:val="0"/>
              <w:spacing w:before="0" w:after="283"/>
              <w:jc w:val="left"/>
              <w:rPr/>
            </w:pPr>
            <w:r>
              <w:rPr/>
              <w:t> </w:t>
            </w:r>
          </w:p>
        </w:tc>
        <w:tc>
          <w:tcPr>
            <w:tcW w:w="36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Kevin Vassily</w:t>
            </w:r>
          </w:p>
        </w:tc>
      </w:tr>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Kevin Vassily</w:t>
            </w:r>
          </w:p>
        </w:tc>
      </w:tr>
      <w:tr>
        <w:trPr/>
        <w:tc>
          <w:tcPr>
            <w:tcW w:w="75" w:type="dxa"/>
            <w:tcBorders/>
            <w:vAlign w:val="center"/>
          </w:tcPr>
          <w:p>
            <w:pPr>
              <w:pStyle w:val="TableContents"/>
              <w:bidi w:val="0"/>
              <w:spacing w:before="0" w:after="283"/>
              <w:jc w:val="left"/>
              <w:rPr/>
            </w:pPr>
            <w:r>
              <w:rPr/>
              <w:t> </w:t>
            </w:r>
          </w:p>
        </w:tc>
        <w:tc>
          <w:tcPr>
            <w:tcW w:w="365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bidi w:val="0"/>
        <w:spacing w:before="0" w:after="0"/>
        <w:ind w:left="0" w:right="0" w:hanging="0"/>
        <w:jc w:val="both"/>
        <w:rPr>
          <w:caps w:val="false"/>
          <w:smallCaps w:val="false"/>
        </w:rPr>
      </w:pPr>
      <w:r>
        <w:rPr>
          <w:caps w:val="false"/>
          <w:smallCaps w:val="false"/>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 w:name="Wingding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26661</Words>
  <Characters>145543</Characters>
  <CharactersWithSpaces>174781</CharactersWithSpaces>
  <Paragraphs>7138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