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(Mark One)</w:t>
      </w:r>
    </w:p>
    <w:p>
      <w:pPr>
        <w:spacing w:after="0" w:line="120" w:lineRule="exact"/>
        <w:rPr>
          <w:sz w:val="24"/>
          <w:szCs w:val="24"/>
          <w:color w:val="auto"/>
        </w:rPr>
      </w:pPr>
    </w:p>
    <w:p>
      <w:pPr>
        <w:ind w:left="3800" w:right="2280" w:hanging="3725"/>
        <w:spacing w:after="0" w:line="438" w:lineRule="auto"/>
        <w:tabs>
          <w:tab w:leader="none" w:pos="2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December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160" w:right="2260" w:hanging="3085"/>
        <w:spacing w:after="0" w:line="438" w:lineRule="auto"/>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27"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82-5144171</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5"/>
              </w:rPr>
              <w:t>8798 9</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Street</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Rancho Cucamonga, CA 91730</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(626) 863-7344</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2"/>
        </w:trPr>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Pr>
          <w:p>
            <w:pPr>
              <w:spacing w:after="0"/>
              <w:rPr>
                <w:sz w:val="19"/>
                <w:szCs w:val="19"/>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6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February 13, 2025 was 31,449,098.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12"/>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40" w:type="dxa"/>
            <w:vAlign w:val="bottom"/>
            <w:gridSpan w:val="1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0" w:type="dxa"/>
            <w:vAlign w:val="bottom"/>
            <w:gridSpan w:val="14"/>
          </w:tcPr>
          <w:p>
            <w:pPr>
              <w:jc w:val="center"/>
              <w:ind w:right="2700"/>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Financial Statements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rPr>
                <w:sz w:val="17"/>
                <w:szCs w:val="17"/>
                <w:color w:val="auto"/>
              </w:rPr>
            </w:pP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December 31, 2024 and June 30, 2024</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EEEEEE"/>
          </w:tcPr>
          <w:p>
            <w:pPr>
              <w:spacing w:after="0"/>
              <w:rPr>
                <w:sz w:val="15"/>
                <w:szCs w:val="15"/>
                <w:color w:val="auto"/>
              </w:rPr>
            </w:pP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(Loss) for the three and six months</w:t>
            </w:r>
          </w:p>
        </w:tc>
        <w:tc>
          <w:tcPr>
            <w:tcW w:w="90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tcBorders>
              <w:top w:val="single" w:sz="8" w:color="EEEEEE"/>
            </w:tcBorders>
            <w:shd w:val="clear" w:color="auto" w:fill="EEEEEE"/>
          </w:tcPr>
          <w:p>
            <w:pPr>
              <w:spacing w:after="0"/>
              <w:rPr>
                <w:sz w:val="18"/>
                <w:szCs w:val="18"/>
                <w:color w:val="auto"/>
              </w:rPr>
            </w:pPr>
          </w:p>
        </w:tc>
        <w:tc>
          <w:tcPr>
            <w:tcW w:w="9080" w:type="dxa"/>
            <w:vAlign w:val="bottom"/>
            <w:tcBorders>
              <w:top w:val="single" w:sz="8" w:color="0000EE"/>
            </w:tcBorders>
            <w:gridSpan w:val="22"/>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2024 and 2023</w:t>
            </w:r>
          </w:p>
        </w:tc>
        <w:tc>
          <w:tcPr>
            <w:tcW w:w="1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EEEEEE"/>
            </w:tcBorders>
            <w:shd w:val="clear" w:color="auto" w:fill="EEEEEE"/>
          </w:tcPr>
          <w:p>
            <w:pPr>
              <w:spacing w:after="0"/>
              <w:rPr>
                <w:sz w:val="15"/>
                <w:szCs w:val="15"/>
                <w:color w:val="auto"/>
              </w:rPr>
            </w:pPr>
          </w:p>
        </w:tc>
        <w:tc>
          <w:tcPr>
            <w:tcW w:w="8580" w:type="dxa"/>
            <w:vAlign w:val="bottom"/>
            <w:tcBorders>
              <w:bottom w:val="single" w:sz="8" w:color="0000EE"/>
            </w:tcBorders>
            <w:gridSpan w:val="2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Equity for the three and six months ended</w:t>
            </w:r>
          </w:p>
        </w:tc>
        <w:tc>
          <w:tcPr>
            <w:tcW w:w="620" w:type="dxa"/>
            <w:vAlign w:val="bottom"/>
            <w:tcBorders>
              <w:bottom w:val="single" w:sz="8" w:color="EEEEEE"/>
            </w:tcBorders>
            <w:gridSpan w:val="2"/>
            <w:shd w:val="clear" w:color="auto" w:fill="EEEEEE"/>
          </w:tcPr>
          <w:p>
            <w:pPr>
              <w:spacing w:after="0"/>
              <w:rPr>
                <w:sz w:val="15"/>
                <w:szCs w:val="15"/>
                <w:color w:val="auto"/>
              </w:rPr>
            </w:pPr>
          </w:p>
        </w:tc>
        <w:tc>
          <w:tcPr>
            <w:tcW w:w="900" w:type="dxa"/>
            <w:vAlign w:val="bottom"/>
            <w:tcBorders>
              <w:bottom w:val="single" w:sz="8" w:color="EEEEEE"/>
            </w:tcBorders>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EEEEEE"/>
          </w:tcPr>
          <w:p>
            <w:pPr>
              <w:spacing w:after="0"/>
              <w:rPr>
                <w:sz w:val="18"/>
                <w:szCs w:val="18"/>
                <w:color w:val="auto"/>
              </w:rPr>
            </w:pPr>
          </w:p>
        </w:tc>
        <w:tc>
          <w:tcPr>
            <w:tcW w:w="9200" w:type="dxa"/>
            <w:vAlign w:val="bottom"/>
            <w:gridSpan w:val="23"/>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December 31, 2024 and 2023</w:t>
            </w:r>
          </w:p>
        </w:tc>
        <w:tc>
          <w:tcPr>
            <w:tcW w:w="900" w:type="dxa"/>
            <w:vAlign w:val="bottom"/>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rPr>
                <w:sz w:val="17"/>
                <w:szCs w:val="17"/>
                <w:color w:val="auto"/>
              </w:rPr>
            </w:pP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December 31, 2024 and 2023</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rPr>
                <w:sz w:val="17"/>
                <w:szCs w:val="17"/>
                <w:color w:val="auto"/>
              </w:rPr>
            </w:pP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5840" w:type="dxa"/>
            <w:vAlign w:val="bottom"/>
            <w:gridSpan w:val="13"/>
            <w:shd w:val="clear" w:color="auto" w:fill="EEEEEE"/>
          </w:tcPr>
          <w:p>
            <w:pPr>
              <w:jc w:val="center"/>
              <w:ind w:right="3440"/>
              <w:spacing w:after="0" w:line="176" w:lineRule="exact"/>
              <w:rPr>
                <w:sz w:val="20"/>
                <w:szCs w:val="20"/>
                <w:color w:val="auto"/>
              </w:rPr>
            </w:pPr>
            <w:r>
              <w:rPr>
                <w:rFonts w:ascii="Times New Roman" w:cs="Times New Roman" w:eastAsia="Times New Roman" w:hAnsi="Times New Roman"/>
                <w:sz w:val="18"/>
                <w:szCs w:val="18"/>
                <w:color w:val="0000EE"/>
                <w:w w:val="98"/>
              </w:rPr>
              <w:t>PART II. Other Information</w:t>
            </w:r>
          </w:p>
        </w:tc>
        <w:tc>
          <w:tcPr>
            <w:tcW w:w="9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 of Equity Securities and Use of Proceeds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7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56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EEEEEE"/>
          </w:tcPr>
          <w:p>
            <w:pPr>
              <w:spacing w:after="0"/>
              <w:rPr>
                <w:sz w:val="15"/>
                <w:szCs w:val="15"/>
                <w:color w:val="auto"/>
              </w:rPr>
            </w:pPr>
          </w:p>
        </w:tc>
        <w:tc>
          <w:tcPr>
            <w:tcW w:w="920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56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2024 and June 30, 2024</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color w:val="auto"/>
              </w:rPr>
              <w:t>December 31,</w:t>
            </w:r>
          </w:p>
        </w:tc>
        <w:tc>
          <w:tcPr>
            <w:tcW w:w="30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June 30,</w:t>
            </w:r>
          </w:p>
        </w:tc>
      </w:tr>
      <w:tr>
        <w:trPr>
          <w:trHeight w:val="216"/>
        </w:trPr>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2024</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600" w:type="dxa"/>
            <w:vAlign w:val="bottom"/>
            <w:tcBorders>
              <w:bottom w:val="single" w:sz="8" w:color="auto"/>
            </w:tcBorders>
            <w:shd w:val="clear" w:color="auto" w:fill="EEEEEE"/>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6920" w:type="dxa"/>
            <w:vAlign w:val="bottom"/>
            <w:tcBorders>
              <w:bottom w:val="single" w:sz="8" w:color="EEEEEE"/>
            </w:tcBorders>
            <w:gridSpan w:val="2"/>
            <w:shd w:val="clear" w:color="auto" w:fill="EEEEEE"/>
          </w:tcPr>
          <w:p>
            <w:pPr>
              <w:spacing w:after="0"/>
              <w:rPr>
                <w:sz w:val="15"/>
                <w:szCs w:val="15"/>
                <w:color w:val="auto"/>
              </w:rPr>
            </w:pPr>
          </w:p>
        </w:tc>
        <w:tc>
          <w:tcPr>
            <w:tcW w:w="14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360" w:type="dxa"/>
            <w:vAlign w:val="bottom"/>
            <w:tcBorders>
              <w:bottom w:val="single" w:sz="8" w:color="EEEEEE"/>
            </w:tcBorders>
            <w:shd w:val="clear" w:color="auto" w:fill="EEEEEE"/>
          </w:tcPr>
          <w:p>
            <w:pPr>
              <w:spacing w:after="0"/>
              <w:rPr>
                <w:sz w:val="15"/>
                <w:szCs w:val="15"/>
                <w:color w:val="auto"/>
              </w:rPr>
            </w:pPr>
          </w:p>
        </w:tc>
        <w:tc>
          <w:tcPr>
            <w:tcW w:w="32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1280" w:type="dxa"/>
            <w:vAlign w:val="bottom"/>
            <w:tcBorders>
              <w:bottom w:val="single" w:sz="8" w:color="EEEEEE"/>
            </w:tcBorders>
            <w:shd w:val="clear" w:color="auto" w:fill="EEEEEE"/>
          </w:tcPr>
          <w:p>
            <w:pPr>
              <w:spacing w:after="0"/>
              <w:rPr>
                <w:sz w:val="15"/>
                <w:szCs w:val="15"/>
                <w:color w:val="auto"/>
              </w:rPr>
            </w:pPr>
          </w:p>
        </w:tc>
        <w:tc>
          <w:tcPr>
            <w:tcW w:w="20" w:type="dxa"/>
            <w:vAlign w:val="bottom"/>
            <w:tcBorders>
              <w:bottom w:val="single" w:sz="8" w:color="EEEEEE"/>
            </w:tcBorders>
            <w:shd w:val="clear" w:color="auto" w:fill="EEEEEE"/>
          </w:tcPr>
          <w:p>
            <w:pPr>
              <w:spacing w:after="0"/>
              <w:rPr>
                <w:sz w:val="15"/>
                <w:szCs w:val="15"/>
                <w:color w:val="auto"/>
              </w:rPr>
            </w:pPr>
          </w:p>
        </w:tc>
        <w:tc>
          <w:tcPr>
            <w:tcW w:w="80" w:type="dxa"/>
            <w:vAlign w:val="bottom"/>
            <w:tcBorders>
              <w:bottom w:val="single" w:sz="8" w:color="EEEEEE"/>
            </w:tcBorders>
            <w:shd w:val="clear" w:color="auto" w:fill="EEEEEE"/>
          </w:tcPr>
          <w:p>
            <w:pPr>
              <w:spacing w:after="0"/>
              <w:rPr>
                <w:sz w:val="15"/>
                <w:szCs w:val="15"/>
                <w:color w:val="auto"/>
              </w:rPr>
            </w:pPr>
          </w:p>
        </w:tc>
      </w:tr>
      <w:tr>
        <w:trPr>
          <w:trHeight w:val="203"/>
        </w:trPr>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Cash and cash equivalent</w:t>
            </w:r>
          </w:p>
        </w:tc>
        <w:tc>
          <w:tcPr>
            <w:tcW w:w="3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2,877,457</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7,377,837</w:t>
            </w:r>
          </w:p>
        </w:tc>
        <w:tc>
          <w:tcPr>
            <w:tcW w:w="80" w:type="dxa"/>
            <w:vAlign w:val="bottom"/>
            <w:shd w:val="clear" w:color="auto" w:fill="EEEEEE"/>
          </w:tcPr>
          <w:p>
            <w:pPr>
              <w:spacing w:after="0"/>
              <w:rPr>
                <w:sz w:val="17"/>
                <w:szCs w:val="17"/>
                <w:color w:val="auto"/>
              </w:rPr>
            </w:pPr>
          </w:p>
        </w:tc>
      </w:tr>
      <w:tr>
        <w:trPr>
          <w:trHeight w:val="20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13,926,432</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14,740,093</w:t>
            </w: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9,183,631</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10,546,273</w:t>
            </w:r>
          </w:p>
        </w:tc>
        <w:tc>
          <w:tcPr>
            <w:tcW w:w="80" w:type="dxa"/>
            <w:vAlign w:val="bottom"/>
            <w:shd w:val="clear" w:color="auto" w:fill="EEEEEE"/>
          </w:tcPr>
          <w:p>
            <w:pPr>
              <w:spacing w:after="0"/>
              <w:rPr>
                <w:sz w:val="17"/>
                <w:szCs w:val="17"/>
                <w:color w:val="auto"/>
              </w:rPr>
            </w:pPr>
          </w:p>
        </w:tc>
      </w:tr>
      <w:tr>
        <w:trPr>
          <w:trHeight w:val="21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2,292,744</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2,346,534</w:t>
            </w:r>
          </w:p>
        </w:tc>
        <w:tc>
          <w:tcPr>
            <w:tcW w:w="80" w:type="dxa"/>
            <w:vAlign w:val="bottom"/>
          </w:tcPr>
          <w:p>
            <w:pPr>
              <w:spacing w:after="0"/>
              <w:rPr>
                <w:sz w:val="18"/>
                <w:szCs w:val="18"/>
                <w:color w:val="auto"/>
              </w:rPr>
            </w:pPr>
          </w:p>
        </w:tc>
      </w:tr>
      <w:tr>
        <w:trPr>
          <w:trHeight w:val="199"/>
        </w:trPr>
        <w:tc>
          <w:tcPr>
            <w:tcW w:w="752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28,280,264</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35,010,737</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Right of use - non-current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4,757,429</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6,124,163</w:t>
            </w: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303,059</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370,887</w:t>
            </w:r>
          </w:p>
        </w:tc>
        <w:tc>
          <w:tcPr>
            <w:tcW w:w="80" w:type="dxa"/>
            <w:vAlign w:val="bottom"/>
            <w:shd w:val="clear" w:color="auto" w:fill="EEEEEE"/>
          </w:tcPr>
          <w:p>
            <w:pPr>
              <w:spacing w:after="0"/>
              <w:rPr>
                <w:sz w:val="17"/>
                <w:szCs w:val="17"/>
                <w:color w:val="auto"/>
              </w:rPr>
            </w:pPr>
          </w:p>
        </w:tc>
      </w:tr>
      <w:tr>
        <w:trPr>
          <w:trHeight w:val="202"/>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Deferred tax assets, net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3,001,517</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2,445,605</w:t>
            </w: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3,034,110</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3,034,110</w:t>
            </w:r>
          </w:p>
        </w:tc>
      </w:tr>
      <w:tr>
        <w:trPr>
          <w:trHeight w:val="20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3,306,014</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3,630,700</w:t>
            </w:r>
          </w:p>
        </w:tc>
        <w:tc>
          <w:tcPr>
            <w:tcW w:w="80" w:type="dxa"/>
            <w:vAlign w:val="bottom"/>
          </w:tcPr>
          <w:p>
            <w:pPr>
              <w:spacing w:after="0"/>
              <w:rPr>
                <w:sz w:val="17"/>
                <w:szCs w:val="17"/>
                <w:color w:val="auto"/>
              </w:rPr>
            </w:pPr>
          </w:p>
        </w:tc>
      </w:tr>
      <w:tr>
        <w:trPr>
          <w:trHeight w:val="216"/>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1,187,179</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679,655</w:t>
            </w:r>
          </w:p>
        </w:tc>
        <w:tc>
          <w:tcPr>
            <w:tcW w:w="80" w:type="dxa"/>
            <w:vAlign w:val="bottom"/>
            <w:shd w:val="clear" w:color="auto" w:fill="EEEEEE"/>
          </w:tcPr>
          <w:p>
            <w:pPr>
              <w:spacing w:after="0"/>
              <w:rPr>
                <w:sz w:val="18"/>
                <w:szCs w:val="18"/>
                <w:color w:val="auto"/>
              </w:rPr>
            </w:pPr>
          </w:p>
        </w:tc>
      </w:tr>
      <w:tr>
        <w:trPr>
          <w:trHeight w:val="196"/>
        </w:trPr>
        <w:tc>
          <w:tcPr>
            <w:tcW w:w="752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non-current assets</w:t>
            </w:r>
          </w:p>
        </w:tc>
        <w:tc>
          <w:tcPr>
            <w:tcW w:w="14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15,589,308</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16,285,120</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67"/>
        </w:trPr>
        <w:tc>
          <w:tcPr>
            <w:tcW w:w="752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43,869,572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51,295,857</w:t>
            </w:r>
          </w:p>
        </w:tc>
        <w:tc>
          <w:tcPr>
            <w:tcW w:w="80" w:type="dxa"/>
            <w:vAlign w:val="bottom"/>
          </w:tcPr>
          <w:p>
            <w:pPr>
              <w:spacing w:after="0"/>
              <w:rPr>
                <w:sz w:val="23"/>
                <w:szCs w:val="23"/>
                <w:color w:val="auto"/>
              </w:rPr>
            </w:pPr>
          </w:p>
        </w:tc>
      </w:tr>
      <w:tr>
        <w:trPr>
          <w:trHeight w:val="186"/>
        </w:trPr>
        <w:tc>
          <w:tcPr>
            <w:tcW w:w="600" w:type="dxa"/>
            <w:vAlign w:val="bottom"/>
            <w:tcBorders>
              <w:top w:val="single" w:sz="8" w:color="EEEEEE"/>
            </w:tcBorders>
            <w:shd w:val="clear" w:color="auto" w:fill="EEEEEE"/>
          </w:tcPr>
          <w:p>
            <w:pPr>
              <w:spacing w:after="0"/>
              <w:rPr>
                <w:sz w:val="16"/>
                <w:szCs w:val="16"/>
                <w:color w:val="auto"/>
              </w:rPr>
            </w:pPr>
          </w:p>
        </w:tc>
        <w:tc>
          <w:tcPr>
            <w:tcW w:w="1360" w:type="dxa"/>
            <w:vAlign w:val="bottom"/>
            <w:tcBorders>
              <w:top w:val="single" w:sz="8" w:color="EEEEEE"/>
            </w:tcBorders>
            <w:shd w:val="clear" w:color="auto" w:fill="EEEEEE"/>
          </w:tcPr>
          <w:p>
            <w:pPr>
              <w:spacing w:after="0"/>
              <w:rPr>
                <w:sz w:val="16"/>
                <w:szCs w:val="16"/>
                <w:color w:val="auto"/>
              </w:rPr>
            </w:pPr>
          </w:p>
        </w:tc>
        <w:tc>
          <w:tcPr>
            <w:tcW w:w="556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136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300" w:type="dxa"/>
            <w:vAlign w:val="bottom"/>
            <w:tcBorders>
              <w:top w:val="single" w:sz="8" w:color="auto"/>
            </w:tcBorders>
            <w:shd w:val="clear" w:color="auto" w:fill="EEEEEE"/>
          </w:tcPr>
          <w:p>
            <w:pPr>
              <w:spacing w:after="0"/>
              <w:rPr>
                <w:sz w:val="16"/>
                <w:szCs w:val="16"/>
                <w:color w:val="auto"/>
              </w:rPr>
            </w:pPr>
          </w:p>
        </w:tc>
        <w:tc>
          <w:tcPr>
            <w:tcW w:w="1280" w:type="dxa"/>
            <w:vAlign w:val="bottom"/>
            <w:tcBorders>
              <w:top w:val="single" w:sz="8" w:color="auto"/>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80" w:type="dxa"/>
            <w:vAlign w:val="bottom"/>
            <w:tcBorders>
              <w:top w:val="single" w:sz="8" w:color="EEEEEE"/>
            </w:tcBorders>
            <w:shd w:val="clear" w:color="auto" w:fill="EEEEEE"/>
          </w:tcPr>
          <w:p>
            <w:pPr>
              <w:spacing w:after="0"/>
              <w:rPr>
                <w:sz w:val="16"/>
                <w:szCs w:val="16"/>
                <w:color w:val="auto"/>
              </w:rPr>
            </w:pPr>
          </w:p>
        </w:tc>
      </w:tr>
      <w:tr>
        <w:trPr>
          <w:trHeight w:val="162"/>
        </w:trPr>
        <w:tc>
          <w:tcPr>
            <w:tcW w:w="75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LIABILITIES AND EQUITY</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7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Accounts payable, net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8,853,320</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11,227,116</w:t>
            </w: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3,491,596</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3,885,487</w:t>
            </w:r>
          </w:p>
        </w:tc>
        <w:tc>
          <w:tcPr>
            <w:tcW w:w="80" w:type="dxa"/>
            <w:vAlign w:val="bottom"/>
            <w:shd w:val="clear" w:color="auto" w:fill="EEEEEE"/>
          </w:tcPr>
          <w:p>
            <w:pPr>
              <w:spacing w:after="0"/>
              <w:rPr>
                <w:sz w:val="17"/>
                <w:szCs w:val="17"/>
                <w:color w:val="auto"/>
              </w:rPr>
            </w:pPr>
          </w:p>
        </w:tc>
      </w:tr>
      <w:tr>
        <w:trPr>
          <w:trHeight w:val="20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Lease liability - current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1,540,624</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2,039,301</w:t>
            </w: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Short-term loan payable</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491,214</w:t>
            </w:r>
          </w:p>
        </w:tc>
        <w:tc>
          <w:tcPr>
            <w:tcW w:w="80" w:type="dxa"/>
            <w:vAlign w:val="bottom"/>
            <w:shd w:val="clear" w:color="auto" w:fill="EEEEEE"/>
          </w:tcPr>
          <w:p>
            <w:pPr>
              <w:spacing w:after="0"/>
              <w:rPr>
                <w:sz w:val="17"/>
                <w:szCs w:val="17"/>
                <w:color w:val="auto"/>
              </w:rPr>
            </w:pPr>
          </w:p>
        </w:tc>
      </w:tr>
      <w:tr>
        <w:trPr>
          <w:trHeight w:val="20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Short-term loan payable - related party</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350,000</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Revolving loan payable, net</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5,500,739</w:t>
            </w:r>
          </w:p>
        </w:tc>
        <w:tc>
          <w:tcPr>
            <w:tcW w:w="80" w:type="dxa"/>
            <w:vAlign w:val="bottom"/>
            <w:shd w:val="clear" w:color="auto" w:fill="EEEEEE"/>
          </w:tcPr>
          <w:p>
            <w:pPr>
              <w:spacing w:after="0"/>
              <w:rPr>
                <w:sz w:val="17"/>
                <w:szCs w:val="17"/>
                <w:color w:val="auto"/>
              </w:rPr>
            </w:pPr>
          </w:p>
        </w:tc>
      </w:tr>
      <w:tr>
        <w:trPr>
          <w:trHeight w:val="21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274,947</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276,158</w:t>
            </w:r>
          </w:p>
        </w:tc>
        <w:tc>
          <w:tcPr>
            <w:tcW w:w="80" w:type="dxa"/>
            <w:vAlign w:val="bottom"/>
          </w:tcPr>
          <w:p>
            <w:pPr>
              <w:spacing w:after="0"/>
              <w:rPr>
                <w:sz w:val="18"/>
                <w:szCs w:val="18"/>
                <w:color w:val="auto"/>
              </w:rPr>
            </w:pPr>
          </w:p>
        </w:tc>
      </w:tr>
      <w:tr>
        <w:trPr>
          <w:trHeight w:val="199"/>
        </w:trPr>
        <w:tc>
          <w:tcPr>
            <w:tcW w:w="752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14,510,487</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23,770,015</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Long-term revolving loan payable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4,042,400</w:t>
            </w:r>
          </w:p>
        </w:tc>
        <w:tc>
          <w:tcPr>
            <w:tcW w:w="30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Lease liability - non-current</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3,612,756</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4,509,809</w:t>
            </w:r>
          </w:p>
        </w:tc>
        <w:tc>
          <w:tcPr>
            <w:tcW w:w="80" w:type="dxa"/>
            <w:vAlign w:val="bottom"/>
            <w:shd w:val="clear" w:color="auto" w:fill="EEEEEE"/>
          </w:tcPr>
          <w:p>
            <w:pPr>
              <w:spacing w:after="0"/>
              <w:rPr>
                <w:sz w:val="17"/>
                <w:szCs w:val="17"/>
                <w:color w:val="auto"/>
              </w:rPr>
            </w:pPr>
          </w:p>
        </w:tc>
      </w:tr>
      <w:tr>
        <w:trPr>
          <w:trHeight w:val="216"/>
        </w:trPr>
        <w:tc>
          <w:tcPr>
            <w:tcW w:w="600" w:type="dxa"/>
            <w:vAlign w:val="bottom"/>
            <w:tcBorders>
              <w:bottom w:val="single" w:sz="8" w:color="EEEEEE"/>
            </w:tcBorders>
          </w:tcPr>
          <w:p>
            <w:pPr>
              <w:spacing w:after="0"/>
              <w:rPr>
                <w:sz w:val="18"/>
                <w:szCs w:val="18"/>
                <w:color w:val="auto"/>
              </w:rPr>
            </w:pPr>
          </w:p>
        </w:tc>
        <w:tc>
          <w:tcPr>
            <w:tcW w:w="1360" w:type="dxa"/>
            <w:vAlign w:val="bottom"/>
            <w:tcBorders>
              <w:bottom w:val="single" w:sz="8" w:color="EEEEEE"/>
            </w:tcBorders>
          </w:tcPr>
          <w:p>
            <w:pPr>
              <w:spacing w:after="0"/>
              <w:rPr>
                <w:sz w:val="18"/>
                <w:szCs w:val="18"/>
                <w:color w:val="auto"/>
              </w:rPr>
            </w:pPr>
          </w:p>
        </w:tc>
        <w:tc>
          <w:tcPr>
            <w:tcW w:w="556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196"/>
        </w:trPr>
        <w:tc>
          <w:tcPr>
            <w:tcW w:w="752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40" w:type="dxa"/>
            <w:vAlign w:val="bottom"/>
            <w:shd w:val="clear" w:color="auto" w:fill="EEEEEE"/>
          </w:tcPr>
          <w:p>
            <w:pPr>
              <w:spacing w:after="0"/>
              <w:rPr>
                <w:sz w:val="17"/>
                <w:szCs w:val="17"/>
                <w:color w:val="auto"/>
              </w:rPr>
            </w:pPr>
          </w:p>
        </w:tc>
        <w:tc>
          <w:tcPr>
            <w:tcW w:w="220" w:type="dxa"/>
            <w:vAlign w:val="bottom"/>
            <w:tcBorders>
              <w:bottom w:val="single" w:sz="8" w:color="auto"/>
            </w:tcBorders>
            <w:shd w:val="clear" w:color="auto" w:fill="EEEEEE"/>
          </w:tcPr>
          <w:p>
            <w:pPr>
              <w:spacing w:after="0"/>
              <w:rPr>
                <w:sz w:val="17"/>
                <w:szCs w:val="17"/>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7,655,156</w:t>
            </w:r>
          </w:p>
        </w:tc>
        <w:tc>
          <w:tcPr>
            <w:tcW w:w="320" w:type="dxa"/>
            <w:vAlign w:val="bottom"/>
            <w:shd w:val="clear" w:color="auto" w:fill="EEEEEE"/>
          </w:tcPr>
          <w:p>
            <w:pPr>
              <w:spacing w:after="0"/>
              <w:rPr>
                <w:sz w:val="17"/>
                <w:szCs w:val="17"/>
                <w:color w:val="auto"/>
              </w:rPr>
            </w:pPr>
          </w:p>
        </w:tc>
        <w:tc>
          <w:tcPr>
            <w:tcW w:w="300" w:type="dxa"/>
            <w:vAlign w:val="bottom"/>
            <w:tcBorders>
              <w:bottom w:val="single" w:sz="8" w:color="auto"/>
            </w:tcBorders>
            <w:shd w:val="clear" w:color="auto" w:fill="EEEEEE"/>
          </w:tcPr>
          <w:p>
            <w:pPr>
              <w:spacing w:after="0"/>
              <w:rPr>
                <w:sz w:val="17"/>
                <w:szCs w:val="17"/>
                <w:color w:val="auto"/>
              </w:rPr>
            </w:pPr>
          </w:p>
        </w:tc>
        <w:tc>
          <w:tcPr>
            <w:tcW w:w="12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4,509,809</w:t>
            </w: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196"/>
        </w:trPr>
        <w:tc>
          <w:tcPr>
            <w:tcW w:w="600" w:type="dxa"/>
            <w:vAlign w:val="bottom"/>
            <w:tcBorders>
              <w:bottom w:val="single" w:sz="8" w:color="EEEEEE"/>
            </w:tcBorders>
          </w:tcPr>
          <w:p>
            <w:pPr>
              <w:spacing w:after="0"/>
              <w:rPr>
                <w:sz w:val="17"/>
                <w:szCs w:val="17"/>
                <w:color w:val="auto"/>
              </w:rPr>
            </w:pPr>
          </w:p>
        </w:tc>
        <w:tc>
          <w:tcPr>
            <w:tcW w:w="1360" w:type="dxa"/>
            <w:vAlign w:val="bottom"/>
            <w:tcBorders>
              <w:bottom w:val="single" w:sz="8" w:color="EEEEEE"/>
            </w:tcBorders>
          </w:tcPr>
          <w:p>
            <w:pPr>
              <w:spacing w:after="0"/>
              <w:rPr>
                <w:sz w:val="17"/>
                <w:szCs w:val="17"/>
                <w:color w:val="auto"/>
              </w:rPr>
            </w:pPr>
          </w:p>
        </w:tc>
        <w:tc>
          <w:tcPr>
            <w:tcW w:w="55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752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EEEEEE"/>
          </w:tcPr>
          <w:p>
            <w:pPr>
              <w:spacing w:after="0"/>
              <w:rPr>
                <w:sz w:val="17"/>
                <w:szCs w:val="17"/>
                <w:color w:val="auto"/>
              </w:rPr>
            </w:pPr>
          </w:p>
        </w:tc>
        <w:tc>
          <w:tcPr>
            <w:tcW w:w="220" w:type="dxa"/>
            <w:vAlign w:val="bottom"/>
            <w:tcBorders>
              <w:bottom w:val="single" w:sz="8" w:color="auto"/>
            </w:tcBorders>
            <w:shd w:val="clear" w:color="auto" w:fill="EEEEEE"/>
          </w:tcPr>
          <w:p>
            <w:pPr>
              <w:spacing w:after="0"/>
              <w:rPr>
                <w:sz w:val="17"/>
                <w:szCs w:val="17"/>
                <w:color w:val="auto"/>
              </w:rPr>
            </w:pPr>
          </w:p>
        </w:tc>
        <w:tc>
          <w:tcPr>
            <w:tcW w:w="13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22,165,643</w:t>
            </w:r>
          </w:p>
        </w:tc>
        <w:tc>
          <w:tcPr>
            <w:tcW w:w="320" w:type="dxa"/>
            <w:vAlign w:val="bottom"/>
            <w:shd w:val="clear" w:color="auto" w:fill="EEEEEE"/>
          </w:tcPr>
          <w:p>
            <w:pPr>
              <w:spacing w:after="0"/>
              <w:rPr>
                <w:sz w:val="17"/>
                <w:szCs w:val="17"/>
                <w:color w:val="auto"/>
              </w:rPr>
            </w:pPr>
          </w:p>
        </w:tc>
        <w:tc>
          <w:tcPr>
            <w:tcW w:w="300" w:type="dxa"/>
            <w:vAlign w:val="bottom"/>
            <w:tcBorders>
              <w:bottom w:val="single" w:sz="8" w:color="auto"/>
            </w:tcBorders>
            <w:shd w:val="clear" w:color="auto" w:fill="EEEEEE"/>
          </w:tcPr>
          <w:p>
            <w:pPr>
              <w:spacing w:after="0"/>
              <w:rPr>
                <w:sz w:val="17"/>
                <w:szCs w:val="17"/>
                <w:color w:val="auto"/>
              </w:rPr>
            </w:pPr>
          </w:p>
        </w:tc>
        <w:tc>
          <w:tcPr>
            <w:tcW w:w="12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28,279,824</w:t>
            </w: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Commitments and contingency</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189"/>
        </w:trPr>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Preferred stock, $0.001 par value; 20,000,000 shares authorized; 0 shares issued and outstanding at December 31,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75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2024 and June 30, 2024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Common stock, $0.001 par value; 180,000,000 shares authorized; 31,359,899 and 31,359,899 shares issued and</w:t>
            </w:r>
          </w:p>
        </w:tc>
        <w:tc>
          <w:tcPr>
            <w:tcW w:w="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3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r>
      <w:tr>
        <w:trPr>
          <w:trHeight w:val="216"/>
        </w:trPr>
        <w:tc>
          <w:tcPr>
            <w:tcW w:w="752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outstanding at December 31, 2024 and June 30, 2024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31,361</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31,361</w:t>
            </w:r>
          </w:p>
        </w:tc>
        <w:tc>
          <w:tcPr>
            <w:tcW w:w="80" w:type="dxa"/>
            <w:vAlign w:val="bottom"/>
            <w:shd w:val="clear" w:color="auto" w:fill="EEEEEE"/>
          </w:tcPr>
          <w:p>
            <w:pPr>
              <w:spacing w:after="0"/>
              <w:rPr>
                <w:sz w:val="18"/>
                <w:szCs w:val="18"/>
                <w:color w:val="auto"/>
              </w:rPr>
            </w:pPr>
          </w:p>
        </w:tc>
      </w:tr>
      <w:tr>
        <w:trPr>
          <w:trHeight w:val="203"/>
        </w:trPr>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33,867,156</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33,463,883</w:t>
            </w:r>
          </w:p>
        </w:tc>
        <w:tc>
          <w:tcPr>
            <w:tcW w:w="80" w:type="dxa"/>
            <w:vAlign w:val="bottom"/>
          </w:tcPr>
          <w:p>
            <w:pPr>
              <w:spacing w:after="0"/>
              <w:rPr>
                <w:sz w:val="17"/>
                <w:szCs w:val="17"/>
                <w:color w:val="auto"/>
              </w:rPr>
            </w:pPr>
          </w:p>
        </w:tc>
      </w:tr>
      <w:tr>
        <w:trPr>
          <w:trHeight w:val="203"/>
        </w:trPr>
        <w:tc>
          <w:tcPr>
            <w:tcW w:w="7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Accumulated deficits</w:t>
            </w: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(12,041,063)</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(10,230,601)</w:t>
            </w:r>
          </w:p>
        </w:tc>
      </w:tr>
      <w:tr>
        <w:trPr>
          <w:trHeight w:val="203"/>
        </w:trPr>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(44,195)</w:t>
            </w:r>
          </w:p>
        </w:tc>
        <w:tc>
          <w:tcPr>
            <w:tcW w:w="30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(38,204)</w:t>
            </w:r>
          </w:p>
        </w:tc>
      </w:tr>
      <w:tr>
        <w:trPr>
          <w:trHeight w:val="216"/>
        </w:trPr>
        <w:tc>
          <w:tcPr>
            <w:tcW w:w="75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(109,330)</w:t>
            </w:r>
          </w:p>
        </w:tc>
        <w:tc>
          <w:tcPr>
            <w:tcW w:w="3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(210,406)</w:t>
            </w:r>
          </w:p>
        </w:tc>
      </w:tr>
      <w:tr>
        <w:trPr>
          <w:trHeight w:val="196"/>
        </w:trPr>
        <w:tc>
          <w:tcPr>
            <w:tcW w:w="7520" w:type="dxa"/>
            <w:vAlign w:val="bottom"/>
            <w:tcBorders>
              <w:bottom w:val="single" w:sz="8" w:color="EEEEEE"/>
            </w:tcBorders>
            <w:gridSpan w:val="3"/>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21,703,929</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23,016,033</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55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27"/>
        </w:trPr>
        <w:tc>
          <w:tcPr>
            <w:tcW w:w="7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43,869,572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51,295,857</w:t>
            </w:r>
          </w:p>
        </w:tc>
        <w:tc>
          <w:tcPr>
            <w:tcW w:w="8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05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Six Months Ended December 31, 2024 and 2023</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80" w:type="dxa"/>
            <w:vAlign w:val="bottom"/>
          </w:tcPr>
          <w:p>
            <w:pPr>
              <w:spacing w:after="0"/>
              <w:rPr>
                <w:sz w:val="17"/>
                <w:szCs w:val="17"/>
                <w:color w:val="auto"/>
              </w:rPr>
            </w:pPr>
          </w:p>
        </w:tc>
        <w:tc>
          <w:tcPr>
            <w:tcW w:w="292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color w:val="auto"/>
              </w:rPr>
              <w:t>For the Six Months Ended</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6"/>
          </w:tcPr>
          <w:p>
            <w:pPr>
              <w:jc w:val="right"/>
              <w:ind w:right="112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Pr>
          <w:p>
            <w:pPr>
              <w:spacing w:after="0"/>
              <w:rPr>
                <w:sz w:val="18"/>
                <w:szCs w:val="18"/>
                <w:color w:val="auto"/>
              </w:rPr>
            </w:pPr>
          </w:p>
        </w:tc>
        <w:tc>
          <w:tcPr>
            <w:tcW w:w="11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8"/>
              </w:rPr>
              <w:t>(Unaudited)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Product sales</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17,606,889</w:t>
            </w:r>
          </w:p>
        </w:tc>
        <w:tc>
          <w:tcPr>
            <w:tcW w:w="200" w:type="dxa"/>
            <w:vAlign w:val="bottom"/>
            <w:shd w:val="clear" w:color="auto" w:fill="EEEEEE"/>
          </w:tcPr>
          <w:p>
            <w:pPr>
              <w:spacing w:after="0"/>
              <w:rPr>
                <w:sz w:val="17"/>
                <w:szCs w:val="17"/>
                <w:color w:val="auto"/>
              </w:rPr>
            </w:pPr>
          </w:p>
        </w:tc>
        <w:tc>
          <w:tcPr>
            <w:tcW w:w="4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16,800,122</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35,882,301</w:t>
            </w:r>
          </w:p>
        </w:tc>
        <w:tc>
          <w:tcPr>
            <w:tcW w:w="180" w:type="dxa"/>
            <w:vAlign w:val="bottom"/>
            <w:shd w:val="clear" w:color="auto" w:fill="EEEEEE"/>
          </w:tcPr>
          <w:p>
            <w:pPr>
              <w:spacing w:after="0"/>
              <w:rPr>
                <w:sz w:val="17"/>
                <w:szCs w:val="17"/>
                <w:color w:val="auto"/>
              </w:rPr>
            </w:pPr>
          </w:p>
        </w:tc>
        <w:tc>
          <w:tcPr>
            <w:tcW w:w="320" w:type="dxa"/>
            <w:vAlign w:val="bottom"/>
            <w:gridSpan w:val="2"/>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43,308,496</w:t>
            </w: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income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2,198,791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74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19,072,571</w:t>
            </w: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16,800,122</w:t>
            </w: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38,081,092</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43,308,496</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costs</w:t>
            </w:r>
          </w:p>
        </w:tc>
        <w:tc>
          <w:tcPr>
            <w:tcW w:w="180" w:type="dxa"/>
            <w:vAlign w:val="bottom"/>
          </w:tcPr>
          <w:p>
            <w:pPr>
              <w:spacing w:after="0"/>
              <w:rPr>
                <w:sz w:val="17"/>
                <w:szCs w:val="17"/>
                <w:color w:val="auto"/>
              </w:rPr>
            </w:pPr>
          </w:p>
        </w:tc>
        <w:tc>
          <w:tcPr>
            <w:tcW w:w="13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9,461,119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9,481,882</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19,378,567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24,231,411</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Service costs</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1,221,566</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1,824,742</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10,682,685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9,481,882</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21,203,309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24,231,411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8,389,886</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7,318,240</w:t>
            </w:r>
          </w:p>
        </w:tc>
        <w:tc>
          <w:tcPr>
            <w:tcW w:w="3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16,877,783</w:t>
            </w:r>
          </w:p>
        </w:tc>
        <w:tc>
          <w:tcPr>
            <w:tcW w:w="1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19,077,085</w:t>
            </w: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Selling and fulfillment</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4,628,914</w:t>
            </w: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6,936,980</w:t>
            </w: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10,543,722</w:t>
            </w: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17,000,451</w:t>
            </w: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3,077,365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2,933,607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8,396,888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5,897,658</w:t>
            </w:r>
          </w:p>
        </w:tc>
        <w:tc>
          <w:tcPr>
            <w:tcW w:w="0" w:type="dxa"/>
            <w:vAlign w:val="bottom"/>
          </w:tcPr>
          <w:p>
            <w:pPr>
              <w:spacing w:after="0"/>
              <w:rPr>
                <w:sz w:val="1"/>
                <w:szCs w:val="1"/>
                <w:color w:val="auto"/>
              </w:rPr>
            </w:pPr>
          </w:p>
        </w:tc>
      </w:tr>
      <w:tr>
        <w:trPr>
          <w:trHeight w:val="199"/>
        </w:trPr>
        <w:tc>
          <w:tcPr>
            <w:tcW w:w="474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7,706,279</w:t>
            </w: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9,870,587</w:t>
            </w: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18,940,610</w:t>
            </w:r>
          </w:p>
        </w:tc>
        <w:tc>
          <w:tcPr>
            <w:tcW w:w="1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22,898,109</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683,607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(2,552,347)</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(2,062,827)</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(3,821,024)</w:t>
            </w: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expenses</w:t>
            </w:r>
          </w:p>
        </w:tc>
        <w:tc>
          <w:tcPr>
            <w:tcW w:w="180" w:type="dxa"/>
            <w:vAlign w:val="bottom"/>
          </w:tcPr>
          <w:p>
            <w:pPr>
              <w:spacing w:after="0"/>
              <w:rPr>
                <w:sz w:val="17"/>
                <w:szCs w:val="17"/>
                <w:color w:val="auto"/>
              </w:rPr>
            </w:pP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(140,672)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(182,612)</w:t>
            </w: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(280,634)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(410,977)</w:t>
            </w: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Loss on equity method investment</w:t>
            </w:r>
          </w:p>
        </w:tc>
        <w:tc>
          <w:tcPr>
            <w:tcW w:w="18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rPr>
              <w:t>(802)</w:t>
            </w: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(801)</w:t>
            </w:r>
          </w:p>
        </w:tc>
        <w:tc>
          <w:tcPr>
            <w:tcW w:w="18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(1,721)</w:t>
            </w: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(1,826)</w:t>
            </w:r>
          </w:p>
        </w:tc>
        <w:tc>
          <w:tcPr>
            <w:tcW w:w="0" w:type="dxa"/>
            <w:vAlign w:val="bottom"/>
          </w:tcPr>
          <w:p>
            <w:pPr>
              <w:spacing w:after="0"/>
              <w:rPr>
                <w:sz w:val="1"/>
                <w:szCs w:val="1"/>
                <w:color w:val="auto"/>
              </w:rPr>
            </w:pPr>
          </w:p>
        </w:tc>
      </w:tr>
      <w:tr>
        <w:trPr>
          <w:trHeight w:val="21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non-operating income (expenses)</w:t>
            </w:r>
          </w:p>
        </w:tc>
        <w:tc>
          <w:tcPr>
            <w:tcW w:w="180" w:type="dxa"/>
            <w:vAlign w:val="bottom"/>
          </w:tcPr>
          <w:p>
            <w:pPr>
              <w:spacing w:after="0"/>
              <w:rPr>
                <w:sz w:val="18"/>
                <w:szCs w:val="18"/>
                <w:color w:val="auto"/>
              </w:rPr>
            </w:pP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(205,958)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128,838</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61,672</w:t>
            </w:r>
          </w:p>
        </w:tc>
        <w:tc>
          <w:tcPr>
            <w:tcW w:w="0" w:type="dxa"/>
            <w:vAlign w:val="bottom"/>
          </w:tcPr>
          <w:p>
            <w:pPr>
              <w:spacing w:after="0"/>
              <w:rPr>
                <w:sz w:val="1"/>
                <w:szCs w:val="1"/>
                <w:color w:val="auto"/>
              </w:rPr>
            </w:pPr>
          </w:p>
        </w:tc>
      </w:tr>
      <w:tr>
        <w:trPr>
          <w:trHeight w:val="199"/>
        </w:trPr>
        <w:tc>
          <w:tcPr>
            <w:tcW w:w="474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(347,432</w:t>
            </w:r>
          </w:p>
        </w:tc>
        <w:tc>
          <w:tcPr>
            <w:tcW w:w="200" w:type="dxa"/>
            <w:vAlign w:val="bottom"/>
            <w:tcBorders>
              <w:top w:val="single" w:sz="8" w:color="EEEEEE"/>
            </w:tcBorders>
            <w:shd w:val="clear" w:color="auto" w:fill="EEEEEE"/>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(54,575</w:t>
            </w:r>
          </w:p>
        </w:tc>
        <w:tc>
          <w:tcPr>
            <w:tcW w:w="320" w:type="dxa"/>
            <w:vAlign w:val="bottom"/>
            <w:tcBorders>
              <w:top w:val="single" w:sz="8" w:color="EEEEEE"/>
            </w:tcBorders>
            <w:shd w:val="clear" w:color="auto" w:fill="EEEEEE"/>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(269,627</w:t>
            </w:r>
          </w:p>
        </w:tc>
        <w:tc>
          <w:tcPr>
            <w:tcW w:w="180" w:type="dxa"/>
            <w:vAlign w:val="bottom"/>
            <w:tcBorders>
              <w:top w:val="single" w:sz="8" w:color="EEEEEE"/>
            </w:tcBorders>
            <w:shd w:val="clear" w:color="auto" w:fill="EEEEEE"/>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(351,131</w:t>
            </w:r>
          </w:p>
        </w:tc>
        <w:tc>
          <w:tcPr>
            <w:tcW w:w="100" w:type="dxa"/>
            <w:vAlign w:val="bottom"/>
            <w:tcBorders>
              <w:top w:val="single" w:sz="8" w:color="EEEEEE"/>
            </w:tcBorders>
            <w:shd w:val="clear" w:color="auto" w:fill="EEEEEE"/>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336,175</w:t>
            </w: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(2,606,922)</w:t>
            </w:r>
          </w:p>
        </w:tc>
        <w:tc>
          <w:tcPr>
            <w:tcW w:w="18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(2,332,454)</w:t>
            </w: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(4,172,155)</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19"/>
              <w:spacing w:after="0"/>
              <w:rPr>
                <w:sz w:val="20"/>
                <w:szCs w:val="20"/>
                <w:color w:val="auto"/>
              </w:rPr>
            </w:pPr>
            <w:r>
              <w:rPr>
                <w:rFonts w:ascii="Times New Roman" w:cs="Times New Roman" w:eastAsia="Times New Roman" w:hAnsi="Times New Roman"/>
                <w:sz w:val="16"/>
                <w:szCs w:val="16"/>
                <w:color w:val="auto"/>
              </w:rPr>
              <w:t>120,511</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(688,939)</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(516,001)</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(964,821)</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215,664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(1,917,983)</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(1,816,453)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Pr>
          <w:p>
            <w:pPr>
              <w:spacing w:after="0"/>
              <w:rPr>
                <w:sz w:val="17"/>
                <w:szCs w:val="17"/>
                <w:color w:val="auto"/>
              </w:rPr>
            </w:pP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(3,155)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(3,155)</w:t>
            </w: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(5,991)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(5,991)</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IPOWER INC.</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(1,914,828)</w:t>
            </w:r>
          </w:p>
        </w:tc>
        <w:tc>
          <w:tcPr>
            <w:tcW w:w="3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(1,810,462)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156,130</w:t>
            </w: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(160,255)</w:t>
            </w: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101,076</w:t>
            </w: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(160,962)</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74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auto"/>
              </w:rPr>
              <w:t>COMPREHENSIVE INCOME (LOSS) ATTRIBUTABLE TO</w:t>
            </w:r>
          </w:p>
        </w:tc>
        <w:tc>
          <w:tcPr>
            <w:tcW w:w="180" w:type="dxa"/>
            <w:vAlign w:val="bottom"/>
            <w:shd w:val="clear" w:color="auto" w:fill="EEEEEE"/>
          </w:tcPr>
          <w:p>
            <w:pPr>
              <w:spacing w:after="0"/>
              <w:rPr>
                <w:sz w:val="14"/>
                <w:szCs w:val="14"/>
                <w:color w:val="auto"/>
              </w:rPr>
            </w:pPr>
          </w:p>
        </w:tc>
        <w:tc>
          <w:tcPr>
            <w:tcW w:w="118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300" w:type="dxa"/>
            <w:vAlign w:val="bottom"/>
            <w:shd w:val="clear" w:color="auto" w:fill="EEEEEE"/>
          </w:tcPr>
          <w:p>
            <w:pPr>
              <w:spacing w:after="0"/>
              <w:rPr>
                <w:sz w:val="14"/>
                <w:szCs w:val="14"/>
                <w:color w:val="auto"/>
              </w:rPr>
            </w:pPr>
          </w:p>
        </w:tc>
        <w:tc>
          <w:tcPr>
            <w:tcW w:w="108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16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16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IPOWER INC.</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374,949</w:t>
            </w:r>
          </w:p>
        </w:tc>
        <w:tc>
          <w:tcPr>
            <w:tcW w:w="200" w:type="dxa"/>
            <w:vAlign w:val="bottom"/>
            <w:shd w:val="clear" w:color="auto" w:fill="EEEEEE"/>
          </w:tcPr>
          <w:p>
            <w:pPr>
              <w:spacing w:after="0"/>
              <w:rPr>
                <w:sz w:val="20"/>
                <w:szCs w:val="20"/>
                <w:color w:val="auto"/>
              </w:rPr>
            </w:pPr>
          </w:p>
        </w:tc>
        <w:tc>
          <w:tcPr>
            <w:tcW w:w="4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(2,075,083)</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(1,709,386)</w:t>
            </w:r>
          </w:p>
        </w:tc>
        <w:tc>
          <w:tcPr>
            <w:tcW w:w="320" w:type="dxa"/>
            <w:vAlign w:val="bottom"/>
            <w:gridSpan w:val="2"/>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(3,362,305)</w:t>
            </w: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WEIGHTED AVERAGE NUMBER OF COMMON STOCK</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31,437,517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29,790,242</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31,427,360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29,777,378</w:t>
            </w:r>
          </w:p>
        </w:tc>
        <w:tc>
          <w:tcPr>
            <w:tcW w:w="0" w:type="dxa"/>
            <w:vAlign w:val="bottom"/>
          </w:tcPr>
          <w:p>
            <w:pPr>
              <w:spacing w:after="0"/>
              <w:rPr>
                <w:sz w:val="1"/>
                <w:szCs w:val="1"/>
                <w:color w:val="auto"/>
              </w:rPr>
            </w:pPr>
          </w:p>
        </w:tc>
      </w:tr>
      <w:tr>
        <w:trPr>
          <w:trHeight w:val="186"/>
        </w:trPr>
        <w:tc>
          <w:tcPr>
            <w:tcW w:w="47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300" w:type="dxa"/>
            <w:vAlign w:val="bottom"/>
            <w:tcBorders>
              <w:top w:val="single" w:sz="8" w:color="auto"/>
            </w:tcBorders>
            <w:shd w:val="clear" w:color="auto" w:fill="EEEEEE"/>
          </w:tcPr>
          <w:p>
            <w:pPr>
              <w:spacing w:after="0"/>
              <w:rPr>
                <w:sz w:val="16"/>
                <w:szCs w:val="16"/>
                <w:color w:val="auto"/>
              </w:rPr>
            </w:pPr>
          </w:p>
        </w:tc>
        <w:tc>
          <w:tcPr>
            <w:tcW w:w="108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31,437,517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29,790,242</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31,427,360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29,777,378</w:t>
            </w:r>
          </w:p>
        </w:tc>
        <w:tc>
          <w:tcPr>
            <w:tcW w:w="0" w:type="dxa"/>
            <w:vAlign w:val="bottom"/>
          </w:tcPr>
          <w:p>
            <w:pPr>
              <w:spacing w:after="0"/>
              <w:rPr>
                <w:sz w:val="1"/>
                <w:szCs w:val="1"/>
                <w:color w:val="auto"/>
              </w:rPr>
            </w:pPr>
          </w:p>
        </w:tc>
      </w:tr>
      <w:tr>
        <w:trPr>
          <w:trHeight w:val="186"/>
        </w:trPr>
        <w:tc>
          <w:tcPr>
            <w:tcW w:w="47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300" w:type="dxa"/>
            <w:vAlign w:val="bottom"/>
            <w:tcBorders>
              <w:top w:val="single" w:sz="8" w:color="auto"/>
            </w:tcBorders>
            <w:shd w:val="clear" w:color="auto" w:fill="EEEEEE"/>
          </w:tcPr>
          <w:p>
            <w:pPr>
              <w:spacing w:after="0"/>
              <w:rPr>
                <w:sz w:val="16"/>
                <w:szCs w:val="16"/>
                <w:color w:val="auto"/>
              </w:rPr>
            </w:pPr>
          </w:p>
        </w:tc>
        <w:tc>
          <w:tcPr>
            <w:tcW w:w="108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EARNINGS (LOSSES) PER SHARE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(0.06)</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(0.06)</w:t>
            </w:r>
          </w:p>
        </w:tc>
        <w:tc>
          <w:tcPr>
            <w:tcW w:w="320" w:type="dxa"/>
            <w:vAlign w:val="bottom"/>
            <w:gridSpan w:val="2"/>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(0.06)</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(0.06)</w:t>
            </w:r>
          </w:p>
        </w:tc>
        <w:tc>
          <w:tcPr>
            <w:tcW w:w="320" w:type="dxa"/>
            <w:vAlign w:val="bottom"/>
            <w:gridSpan w:val="2"/>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Six Months Ended December 31 , 2024 and 2023</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Retained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320" w:type="dxa"/>
            <w:vAlign w:val="bottom"/>
            <w:gridSpan w:val="7"/>
            <w:vMerge w:val="restart"/>
          </w:tcPr>
          <w:p>
            <w:pPr>
              <w:ind w:left="660"/>
              <w:spacing w:after="0"/>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10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1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Non-controlling</w:t>
            </w:r>
          </w:p>
        </w:tc>
        <w:tc>
          <w:tcPr>
            <w:tcW w:w="8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32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1120" w:type="dxa"/>
            <w:vAlign w:val="bottom"/>
            <w:gridSpan w:val="4"/>
            <w:vMerge w:val="continue"/>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center"/>
              <w:ind w:right="180"/>
              <w:spacing w:after="0" w:line="155" w:lineRule="exact"/>
              <w:rPr>
                <w:sz w:val="20"/>
                <w:szCs w:val="20"/>
                <w:color w:val="auto"/>
              </w:rPr>
            </w:pPr>
            <w:r>
              <w:rPr>
                <w:rFonts w:ascii="Times New Roman" w:cs="Times New Roman" w:eastAsia="Times New Roman" w:hAnsi="Times New Roman"/>
                <w:sz w:val="14"/>
                <w:szCs w:val="14"/>
                <w:color w:val="auto"/>
              </w:rPr>
              <w:t>Paid in Capital</w:t>
            </w:r>
          </w:p>
        </w:tc>
        <w:tc>
          <w:tcPr>
            <w:tcW w:w="80" w:type="dxa"/>
            <w:vAlign w:val="bottom"/>
          </w:tcPr>
          <w:p>
            <w:pPr>
              <w:spacing w:after="0"/>
              <w:rPr>
                <w:sz w:val="13"/>
                <w:szCs w:val="13"/>
                <w:color w:val="auto"/>
              </w:rPr>
            </w:pPr>
          </w:p>
        </w:tc>
        <w:tc>
          <w:tcPr>
            <w:tcW w:w="1020" w:type="dxa"/>
            <w:vAlign w:val="bottom"/>
            <w:gridSpan w:val="3"/>
          </w:tcPr>
          <w:p>
            <w:pPr>
              <w:jc w:val="center"/>
              <w:ind w:right="180"/>
              <w:spacing w:after="0" w:line="155" w:lineRule="exact"/>
              <w:rPr>
                <w:sz w:val="20"/>
                <w:szCs w:val="20"/>
                <w:color w:val="auto"/>
              </w:rPr>
            </w:pPr>
            <w:r>
              <w:rPr>
                <w:rFonts w:ascii="Times New Roman" w:cs="Times New Roman" w:eastAsia="Times New Roman" w:hAnsi="Times New Roman"/>
                <w:sz w:val="14"/>
                <w:szCs w:val="14"/>
                <w:color w:val="auto"/>
              </w:rPr>
              <w:t>Deficit)</w:t>
            </w:r>
          </w:p>
        </w:tc>
        <w:tc>
          <w:tcPr>
            <w:tcW w:w="180" w:type="dxa"/>
            <w:vAlign w:val="bottom"/>
          </w:tcPr>
          <w:p>
            <w:pPr>
              <w:spacing w:after="0"/>
              <w:rPr>
                <w:sz w:val="13"/>
                <w:szCs w:val="13"/>
                <w:color w:val="auto"/>
              </w:rPr>
            </w:pPr>
          </w:p>
        </w:tc>
        <w:tc>
          <w:tcPr>
            <w:tcW w:w="940" w:type="dxa"/>
            <w:vAlign w:val="bottom"/>
            <w:gridSpan w:val="3"/>
          </w:tcPr>
          <w:p>
            <w:pPr>
              <w:jc w:val="center"/>
              <w:ind w:right="280"/>
              <w:spacing w:after="0" w:line="155" w:lineRule="exact"/>
              <w:rPr>
                <w:sz w:val="20"/>
                <w:szCs w:val="20"/>
                <w:color w:val="auto"/>
              </w:rPr>
            </w:pPr>
            <w:r>
              <w:rPr>
                <w:rFonts w:ascii="Times New Roman" w:cs="Times New Roman" w:eastAsia="Times New Roman" w:hAnsi="Times New Roman"/>
                <w:sz w:val="14"/>
                <w:szCs w:val="14"/>
                <w:color w:val="auto"/>
              </w:rPr>
              <w:t>interest</w:t>
            </w:r>
          </w:p>
        </w:tc>
        <w:tc>
          <w:tcPr>
            <w:tcW w:w="80" w:type="dxa"/>
            <w:vAlign w:val="bottom"/>
          </w:tcPr>
          <w:p>
            <w:pPr>
              <w:spacing w:after="0"/>
              <w:rPr>
                <w:sz w:val="13"/>
                <w:szCs w:val="13"/>
                <w:color w:val="auto"/>
              </w:rPr>
            </w:pPr>
          </w:p>
        </w:tc>
        <w:tc>
          <w:tcPr>
            <w:tcW w:w="102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3"/>
                <w:szCs w:val="13"/>
                <w:color w:val="auto"/>
              </w:rPr>
            </w:pPr>
          </w:p>
        </w:tc>
        <w:tc>
          <w:tcPr>
            <w:tcW w:w="84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350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1040" w:type="dxa"/>
            <w:vAlign w:val="bottom"/>
            <w:tcBorders>
              <w:top w:val="single" w:sz="8" w:color="auto"/>
            </w:tcBorders>
            <w:gridSpan w:val="2"/>
            <w:shd w:val="clear" w:color="auto" w:fill="EEEEEE"/>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31,359,899</w:t>
            </w:r>
          </w:p>
        </w:tc>
        <w:tc>
          <w:tcPr>
            <w:tcW w:w="1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gridSpan w:val="2"/>
            <w:shd w:val="clear" w:color="auto" w:fill="EEEEEE"/>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31,361</w:t>
            </w:r>
          </w:p>
        </w:tc>
        <w:tc>
          <w:tcPr>
            <w:tcW w:w="12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shd w:val="clear" w:color="auto" w:fill="EEEEEE"/>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33,463,883</w:t>
            </w:r>
          </w:p>
        </w:tc>
        <w:tc>
          <w:tcPr>
            <w:tcW w:w="10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gridSpan w:val="2"/>
            <w:shd w:val="clear" w:color="auto" w:fill="EEEEEE"/>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(10,230,601)</w:t>
            </w:r>
          </w:p>
        </w:tc>
        <w:tc>
          <w:tcPr>
            <w:tcW w:w="10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gridSpan w:val="2"/>
            <w:shd w:val="clear" w:color="auto" w:fill="EEEEEE"/>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(38,204)</w:t>
            </w:r>
          </w:p>
        </w:tc>
        <w:tc>
          <w:tcPr>
            <w:tcW w:w="1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(210,406)</w:t>
            </w:r>
          </w:p>
        </w:tc>
        <w:tc>
          <w:tcPr>
            <w:tcW w:w="10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EEEEEE"/>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23,016,033</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(2,029,281)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(2,836)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(2,032,117)</w:t>
            </w:r>
          </w:p>
        </w:tc>
        <w:tc>
          <w:tcPr>
            <w:tcW w:w="0" w:type="dxa"/>
            <w:vAlign w:val="bottom"/>
          </w:tcPr>
          <w:p>
            <w:pPr>
              <w:spacing w:after="0"/>
              <w:rPr>
                <w:sz w:val="1"/>
                <w:szCs w:val="1"/>
                <w:color w:val="auto"/>
              </w:rPr>
            </w:pPr>
          </w:p>
        </w:tc>
      </w:tr>
      <w:tr>
        <w:trPr>
          <w:trHeight w:val="149"/>
        </w:trPr>
        <w:tc>
          <w:tcPr>
            <w:tcW w:w="350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80" w:type="dxa"/>
            <w:vAlign w:val="bottom"/>
            <w:gridSpan w:val="3"/>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205,960</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20" w:type="dxa"/>
            <w:vAlign w:val="bottom"/>
            <w:gridSpan w:val="3"/>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3"/>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205,960</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(55,054)</w:t>
            </w:r>
          </w:p>
        </w:tc>
        <w:tc>
          <w:tcPr>
            <w:tcW w:w="0" w:type="dxa"/>
            <w:vAlign w:val="bottom"/>
          </w:tcPr>
          <w:p>
            <w:pPr>
              <w:spacing w:after="0"/>
              <w:rPr>
                <w:sz w:val="1"/>
                <w:szCs w:val="1"/>
                <w:color w:val="auto"/>
              </w:rPr>
            </w:pPr>
          </w:p>
        </w:tc>
      </w:tr>
      <w:tr>
        <w:trPr>
          <w:trHeight w:val="156"/>
        </w:trPr>
        <w:tc>
          <w:tcPr>
            <w:tcW w:w="350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2024, unaudited</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31,359,899</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31,361</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33,669,843</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(12,259,882</w:t>
            </w:r>
          </w:p>
        </w:tc>
        <w:tc>
          <w:tcPr>
            <w:tcW w:w="100" w:type="dxa"/>
            <w:vAlign w:val="bottom"/>
            <w:tcBorders>
              <w:top w:val="single" w:sz="8" w:color="EEEEEE"/>
              <w:bottom w:val="single" w:sz="8" w:color="EEEEEE"/>
            </w:tcBorders>
            <w:shd w:val="clear" w:color="auto" w:fill="EEEEEE"/>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(41,040</w:t>
            </w:r>
          </w:p>
        </w:tc>
        <w:tc>
          <w:tcPr>
            <w:tcW w:w="100" w:type="dxa"/>
            <w:vAlign w:val="bottom"/>
            <w:tcBorders>
              <w:top w:val="single" w:sz="8" w:color="EEEEEE"/>
              <w:bottom w:val="single" w:sz="8" w:color="EEEEEE"/>
            </w:tcBorders>
            <w:shd w:val="clear" w:color="auto" w:fill="EEEEEE"/>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(265,460</w:t>
            </w:r>
          </w:p>
        </w:tc>
        <w:tc>
          <w:tcPr>
            <w:tcW w:w="120" w:type="dxa"/>
            <w:vAlign w:val="bottom"/>
            <w:tcBorders>
              <w:top w:val="single" w:sz="8" w:color="EEEEEE"/>
              <w:bottom w:val="single" w:sz="8" w:color="EEEEEE"/>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21,134,822</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218,819</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(3,155)</w:t>
            </w:r>
          </w:p>
        </w:tc>
        <w:tc>
          <w:tcPr>
            <w:tcW w:w="1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215,664</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80" w:type="dxa"/>
            <w:vAlign w:val="bottom"/>
            <w:gridSpan w:val="3"/>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197,313</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20" w:type="dxa"/>
            <w:vAlign w:val="bottom"/>
            <w:gridSpan w:val="3"/>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3"/>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197,313</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156,130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156,129</w:t>
            </w:r>
          </w:p>
        </w:tc>
        <w:tc>
          <w:tcPr>
            <w:tcW w:w="0" w:type="dxa"/>
            <w:vAlign w:val="bottom"/>
          </w:tcPr>
          <w:p>
            <w:pPr>
              <w:spacing w:after="0"/>
              <w:rPr>
                <w:sz w:val="1"/>
                <w:szCs w:val="1"/>
                <w:color w:val="auto"/>
              </w:rPr>
            </w:pPr>
          </w:p>
        </w:tc>
      </w:tr>
      <w:tr>
        <w:trPr>
          <w:trHeight w:val="155"/>
        </w:trPr>
        <w:tc>
          <w:tcPr>
            <w:tcW w:w="350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2024, unaudited</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31,359,899</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31,361</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33,867,156</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(12,041,063</w:t>
            </w:r>
          </w:p>
        </w:tc>
        <w:tc>
          <w:tcPr>
            <w:tcW w:w="100" w:type="dxa"/>
            <w:vAlign w:val="bottom"/>
            <w:tcBorders>
              <w:top w:val="single" w:sz="8" w:color="EEEEEE"/>
              <w:bottom w:val="single" w:sz="8" w:color="EEEEEE"/>
            </w:tcBorders>
            <w:shd w:val="clear" w:color="auto" w:fill="EEEEEE"/>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(44,195</w:t>
            </w:r>
          </w:p>
        </w:tc>
        <w:tc>
          <w:tcPr>
            <w:tcW w:w="100" w:type="dxa"/>
            <w:vAlign w:val="bottom"/>
            <w:tcBorders>
              <w:top w:val="single" w:sz="8" w:color="EEEEEE"/>
              <w:bottom w:val="single" w:sz="8" w:color="EEEEEE"/>
            </w:tcBorders>
            <w:shd w:val="clear" w:color="auto" w:fill="EEEEEE"/>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(109,330</w:t>
            </w:r>
          </w:p>
        </w:tc>
        <w:tc>
          <w:tcPr>
            <w:tcW w:w="120" w:type="dxa"/>
            <w:vAlign w:val="bottom"/>
            <w:tcBorders>
              <w:top w:val="single" w:sz="8" w:color="EEEEEE"/>
              <w:bottom w:val="single" w:sz="8" w:color="EEEEEE"/>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21,703,929</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 June 30, 2023</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29,710,939</w:t>
            </w:r>
          </w:p>
        </w:tc>
        <w:tc>
          <w:tcPr>
            <w:tcW w:w="300" w:type="dxa"/>
            <w:vAlign w:val="bottom"/>
            <w:gridSpan w:val="2"/>
            <w:shd w:val="clear" w:color="auto" w:fill="EEEEEE"/>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29,712</w:t>
            </w:r>
          </w:p>
        </w:tc>
        <w:tc>
          <w:tcPr>
            <w:tcW w:w="120" w:type="dxa"/>
            <w:vAlign w:val="bottom"/>
            <w:shd w:val="clear" w:color="auto" w:fill="EEEEEE"/>
          </w:tcPr>
          <w:p>
            <w:pPr>
              <w:spacing w:after="0"/>
              <w:rPr>
                <w:sz w:val="12"/>
                <w:szCs w:val="12"/>
                <w:color w:val="auto"/>
              </w:rPr>
            </w:pPr>
          </w:p>
        </w:tc>
        <w:tc>
          <w:tcPr>
            <w:tcW w:w="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29,624,520</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EEEEEE"/>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(8,702,442)</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EEEEEE"/>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(24,915)</w:t>
            </w:r>
          </w:p>
        </w:tc>
        <w:tc>
          <w:tcPr>
            <w:tcW w:w="120" w:type="dxa"/>
            <w:vAlign w:val="bottom"/>
            <w:shd w:val="clear" w:color="auto" w:fill="EEEEEE"/>
          </w:tcPr>
          <w:p>
            <w:pPr>
              <w:spacing w:after="0"/>
              <w:rPr>
                <w:sz w:val="12"/>
                <w:szCs w:val="12"/>
                <w:color w:val="auto"/>
              </w:rPr>
            </w:pP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(62,134)</w:t>
            </w:r>
          </w:p>
        </w:tc>
        <w:tc>
          <w:tcPr>
            <w:tcW w:w="1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20,864,741</w:t>
            </w: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(1,286,515)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(2,836)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(1,289,351)</w:t>
            </w: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80" w:type="dxa"/>
            <w:vAlign w:val="bottom"/>
            <w:gridSpan w:val="3"/>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117,882</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20" w:type="dxa"/>
            <w:vAlign w:val="bottom"/>
            <w:gridSpan w:val="3"/>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3"/>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117,882</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55"/>
        </w:trPr>
        <w:tc>
          <w:tcPr>
            <w:tcW w:w="350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September 30, 2023, unaudited</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29,712</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29,742,402</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(9,988,957</w:t>
            </w:r>
          </w:p>
        </w:tc>
        <w:tc>
          <w:tcPr>
            <w:tcW w:w="100" w:type="dxa"/>
            <w:vAlign w:val="bottom"/>
            <w:tcBorders>
              <w:top w:val="single" w:sz="8" w:color="EEEEEE"/>
              <w:bottom w:val="single" w:sz="8" w:color="EEEEEE"/>
            </w:tcBorders>
            <w:shd w:val="clear" w:color="auto" w:fill="EEEEEE"/>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(27,751</w:t>
            </w:r>
          </w:p>
        </w:tc>
        <w:tc>
          <w:tcPr>
            <w:tcW w:w="100" w:type="dxa"/>
            <w:vAlign w:val="bottom"/>
            <w:tcBorders>
              <w:top w:val="single" w:sz="8" w:color="EEEEEE"/>
              <w:bottom w:val="single" w:sz="8" w:color="EEEEEE"/>
            </w:tcBorders>
            <w:shd w:val="clear" w:color="auto" w:fill="EEEEEE"/>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(62,841</w:t>
            </w:r>
          </w:p>
        </w:tc>
        <w:tc>
          <w:tcPr>
            <w:tcW w:w="120" w:type="dxa"/>
            <w:vAlign w:val="bottom"/>
            <w:tcBorders>
              <w:top w:val="single" w:sz="8" w:color="EEEEEE"/>
              <w:bottom w:val="single" w:sz="8" w:color="EEEEEE"/>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19,692,565</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(1,914,828)</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(3,155)</w:t>
            </w:r>
          </w:p>
        </w:tc>
        <w:tc>
          <w:tcPr>
            <w:tcW w:w="1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(1,917,983)</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80" w:type="dxa"/>
            <w:vAlign w:val="bottom"/>
            <w:gridSpan w:val="3"/>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141,245</w:t>
            </w:r>
          </w:p>
        </w:tc>
        <w:tc>
          <w:tcPr>
            <w:tcW w:w="10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20" w:type="dxa"/>
            <w:vAlign w:val="bottom"/>
            <w:gridSpan w:val="3"/>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940" w:type="dxa"/>
            <w:vAlign w:val="bottom"/>
            <w:gridSpan w:val="3"/>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020" w:type="dxa"/>
            <w:vAlign w:val="bottom"/>
            <w:gridSpan w:val="3"/>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141,245</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(160,255)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(160,255)</w:t>
            </w:r>
          </w:p>
        </w:tc>
        <w:tc>
          <w:tcPr>
            <w:tcW w:w="0" w:type="dxa"/>
            <w:vAlign w:val="bottom"/>
          </w:tcPr>
          <w:p>
            <w:pPr>
              <w:spacing w:after="0"/>
              <w:rPr>
                <w:sz w:val="1"/>
                <w:szCs w:val="1"/>
                <w:color w:val="auto"/>
              </w:rPr>
            </w:pPr>
          </w:p>
        </w:tc>
      </w:tr>
      <w:tr>
        <w:trPr>
          <w:trHeight w:val="155"/>
        </w:trPr>
        <w:tc>
          <w:tcPr>
            <w:tcW w:w="350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2023, unaudited</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29,712</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29,883,647</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(11,903,785</w:t>
            </w:r>
          </w:p>
        </w:tc>
        <w:tc>
          <w:tcPr>
            <w:tcW w:w="100" w:type="dxa"/>
            <w:vAlign w:val="bottom"/>
            <w:tcBorders>
              <w:top w:val="single" w:sz="8" w:color="EEEEEE"/>
              <w:bottom w:val="single" w:sz="8" w:color="EEEEEE"/>
            </w:tcBorders>
            <w:shd w:val="clear" w:color="auto" w:fill="EEEEEE"/>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80" w:type="dxa"/>
            <w:vAlign w:val="bottom"/>
            <w:tcBorders>
              <w:top w:val="single" w:sz="8" w:color="auto"/>
              <w:bottom w:val="single" w:sz="8" w:color="auto"/>
            </w:tcBorders>
            <w:shd w:val="clear" w:color="auto" w:fill="EEEEEE"/>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(30,906</w:t>
            </w:r>
          </w:p>
        </w:tc>
        <w:tc>
          <w:tcPr>
            <w:tcW w:w="100" w:type="dxa"/>
            <w:vAlign w:val="bottom"/>
            <w:tcBorders>
              <w:top w:val="single" w:sz="8" w:color="EEEEEE"/>
              <w:bottom w:val="single" w:sz="8" w:color="EEEEEE"/>
            </w:tcBorders>
            <w:shd w:val="clear" w:color="auto" w:fill="EEEEEE"/>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(223,096</w:t>
            </w:r>
          </w:p>
        </w:tc>
        <w:tc>
          <w:tcPr>
            <w:tcW w:w="120" w:type="dxa"/>
            <w:vAlign w:val="bottom"/>
            <w:tcBorders>
              <w:top w:val="single" w:sz="8" w:color="EEEEEE"/>
              <w:bottom w:val="single" w:sz="8" w:color="EEEEEE"/>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17,755,572</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December 31 , 2024 and 2023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For the Six Months Ended December 31,</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(1,816,453)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(3,207,334)</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cash (used in) provided by operating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392,568</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402,342</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Inventory reserve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288,474</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222,755</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Credit loss reserve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1,516,940</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Loss on equity method investment</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1,721</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1,826</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403,273</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259,127</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932,701</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695,712</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premium / discount and non-cash financing costs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125,906</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107,452</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(703,279)</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2,305,710</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1,074,168</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4,588,812</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(555,912)</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(967,113)</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53,790</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1,278,027</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Non-current prepayments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140,844</w:t>
            </w:r>
          </w:p>
        </w:tc>
        <w:tc>
          <w:tcPr>
            <w:tcW w:w="0" w:type="dxa"/>
            <w:vAlign w:val="bottom"/>
          </w:tcPr>
          <w:p>
            <w:pPr>
              <w:spacing w:after="0"/>
              <w:rPr>
                <w:sz w:val="1"/>
                <w:szCs w:val="1"/>
                <w:color w:val="auto"/>
              </w:rPr>
            </w:pPr>
          </w:p>
        </w:tc>
      </w:tr>
      <w:tr>
        <w:trPr>
          <w:trHeight w:val="202"/>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156,842</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7,965</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(2,373,796)</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686,843</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69,014</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(884,355)</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(952,672)</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(696,678)</w:t>
            </w:r>
          </w:p>
        </w:tc>
        <w:tc>
          <w:tcPr>
            <w:tcW w:w="0" w:type="dxa"/>
            <w:vAlign w:val="bottom"/>
          </w:tcPr>
          <w:p>
            <w:pPr>
              <w:spacing w:after="0"/>
              <w:rPr>
                <w:sz w:val="1"/>
                <w:szCs w:val="1"/>
                <w:color w:val="auto"/>
              </w:rPr>
            </w:pPr>
          </w:p>
        </w:tc>
      </w:tr>
      <w:tr>
        <w:trPr>
          <w:trHeight w:val="216"/>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(1,211)</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103,796</w:t>
            </w:r>
          </w:p>
        </w:tc>
        <w:tc>
          <w:tcPr>
            <w:tcW w:w="0" w:type="dxa"/>
            <w:vAlign w:val="bottom"/>
          </w:tcPr>
          <w:p>
            <w:pPr>
              <w:spacing w:after="0"/>
              <w:rPr>
                <w:sz w:val="1"/>
                <w:szCs w:val="1"/>
                <w:color w:val="auto"/>
              </w:rPr>
            </w:pPr>
          </w:p>
        </w:tc>
      </w:tr>
      <w:tr>
        <w:trPr>
          <w:trHeight w:val="196"/>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(1,387,926)</w:t>
            </w: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Prepayments for software development</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(664,366)</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(664,366)</w:t>
            </w: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Payments of offering cost settlement</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(325,000)</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Short-term loan - related parties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(1,000,000)</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Proceeds from short-term loans -related party</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2,000,000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short-term loans - related party</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(483,599)</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Payments on promissory note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(875,000)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revolving loan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3,650,210</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Payments on revolving loan</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(5,400,000)</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(7,300,000)</w:t>
            </w:r>
          </w:p>
        </w:tc>
        <w:tc>
          <w:tcPr>
            <w:tcW w:w="0" w:type="dxa"/>
            <w:vAlign w:val="bottom"/>
          </w:tcPr>
          <w:p>
            <w:pPr>
              <w:spacing w:after="0"/>
              <w:rPr>
                <w:sz w:val="1"/>
                <w:szCs w:val="1"/>
                <w:color w:val="auto"/>
              </w:rPr>
            </w:pPr>
          </w:p>
        </w:tc>
      </w:tr>
      <w:tr>
        <w:trPr>
          <w:trHeight w:val="196"/>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(2,558,389)</w:t>
            </w: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110,301</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(118,346)</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CHANGES IN CASH AND CASH EQUIVALENT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(4,500,380)</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(2,247,615)</w:t>
            </w:r>
          </w:p>
        </w:tc>
        <w:tc>
          <w:tcPr>
            <w:tcW w:w="0" w:type="dxa"/>
            <w:vAlign w:val="bottom"/>
          </w:tcPr>
          <w:p>
            <w:pPr>
              <w:spacing w:after="0"/>
              <w:rPr>
                <w:sz w:val="1"/>
                <w:szCs w:val="1"/>
                <w:color w:val="auto"/>
              </w:rPr>
            </w:pPr>
          </w:p>
        </w:tc>
      </w:tr>
      <w:tr>
        <w:trPr>
          <w:trHeight w:val="202"/>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 beginning of period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7,377,837</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3,735,642</w:t>
            </w:r>
          </w:p>
        </w:tc>
        <w:tc>
          <w:tcPr>
            <w:tcW w:w="0" w:type="dxa"/>
            <w:vAlign w:val="bottom"/>
          </w:tcPr>
          <w:p>
            <w:pPr>
              <w:spacing w:after="0"/>
              <w:rPr>
                <w:sz w:val="1"/>
                <w:szCs w:val="1"/>
                <w:color w:val="auto"/>
              </w:rPr>
            </w:pPr>
          </w:p>
        </w:tc>
      </w:tr>
      <w:tr>
        <w:trPr>
          <w:trHeight w:val="199"/>
        </w:trPr>
        <w:tc>
          <w:tcPr>
            <w:tcW w:w="732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 end of period</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2,877,457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1,488,027</w:t>
            </w:r>
          </w:p>
        </w:tc>
        <w:tc>
          <w:tcPr>
            <w:tcW w:w="0" w:type="dxa"/>
            <w:vAlign w:val="bottom"/>
          </w:tcPr>
          <w:p>
            <w:pPr>
              <w:spacing w:after="0"/>
              <w:rPr>
                <w:sz w:val="1"/>
                <w:szCs w:val="1"/>
                <w:color w:val="auto"/>
              </w:rPr>
            </w:pPr>
          </w:p>
        </w:tc>
      </w:tr>
      <w:tr>
        <w:trPr>
          <w:trHeight w:val="186"/>
        </w:trPr>
        <w:tc>
          <w:tcPr>
            <w:tcW w:w="7320" w:type="dxa"/>
            <w:vAlign w:val="bottom"/>
            <w:tcBorders>
              <w:top w:val="single" w:sz="8" w:color="EEEEEE"/>
            </w:tcBorders>
            <w:shd w:val="clear" w:color="auto" w:fill="EEEEEE"/>
          </w:tcPr>
          <w:p>
            <w:pPr>
              <w:spacing w:after="0"/>
              <w:rPr>
                <w:sz w:val="16"/>
                <w:szCs w:val="16"/>
                <w:color w:val="auto"/>
              </w:rPr>
            </w:pPr>
          </w:p>
        </w:tc>
        <w:tc>
          <w:tcPr>
            <w:tcW w:w="340" w:type="dxa"/>
            <w:vAlign w:val="bottom"/>
            <w:tcBorders>
              <w:top w:val="single" w:sz="8" w:color="EEEEEE"/>
            </w:tcBorders>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134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134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Cash paid for income tax</w:t>
            </w:r>
          </w:p>
        </w:tc>
        <w:tc>
          <w:tcPr>
            <w:tcW w:w="580" w:type="dxa"/>
            <w:vAlign w:val="bottom"/>
            <w:gridSpan w:val="2"/>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EEEEEE"/>
              <w:bottom w:val="single" w:sz="8" w:color="EEEEEE"/>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Borders>
              <w:top w:val="single" w:sz="8" w:color="EEEEEE"/>
              <w:bottom w:val="single" w:sz="8" w:color="EEEEEE"/>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320" w:type="dxa"/>
            <w:vAlign w:val="bottom"/>
            <w:tcBorders>
              <w:bottom w:val="single" w:sz="8" w:color="EEEEEE"/>
            </w:tcBorders>
            <w:vMerge w:val="continue"/>
          </w:tcPr>
          <w:p>
            <w:pPr>
              <w:spacing w:after="0"/>
              <w:rPr>
                <w:sz w:val="19"/>
                <w:szCs w:val="19"/>
                <w:color w:val="auto"/>
              </w:rPr>
            </w:pPr>
          </w:p>
        </w:tc>
        <w:tc>
          <w:tcPr>
            <w:tcW w:w="340" w:type="dxa"/>
            <w:vAlign w:val="bottom"/>
            <w:tcBorders>
              <w:bottom w:val="single" w:sz="8" w:color="EEEEEE"/>
            </w:tcBorders>
            <w:vMerge w:val="continue"/>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121,754</w:t>
            </w:r>
          </w:p>
        </w:tc>
        <w:tc>
          <w:tcPr>
            <w:tcW w:w="320" w:type="dxa"/>
            <w:vAlign w:val="bottom"/>
            <w:tcBorders>
              <w:bottom w:val="single" w:sz="8" w:color="EEEEEE"/>
            </w:tcBorders>
            <w:vMerge w:val="continue"/>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EEEEEE"/>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3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TRANSACTIONS: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 of use assets derecognized due to termination of operating leases</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434,033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Right of use assets acquired under new operating leases</w:t>
            </w:r>
          </w:p>
        </w:tc>
        <w:tc>
          <w:tcPr>
            <w:tcW w:w="580" w:type="dxa"/>
            <w:vAlign w:val="bottom"/>
            <w:gridSpan w:val="2"/>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632,732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June 30, 2024 and for the Three and Six Months Ended December 31, 2024 and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wholly-owned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wholly-owned subsidiary.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while not owning a majority equity interest in or otherwise controlling Box Harmony. See details at Note 3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and variable interest entity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2025, or for any other interim period or for any other future year. All intercompany balances and transactions have been eliminated in consolidation.</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included in the Annual Report on Form 10-K for the year ended June 30, 2024, which was filed with the SEC on September 20,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Prior Period Reclassification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in the unaudited condensed statements of cash flows have been reclassified to conform to the current period presentation, including reclassifications made in the presentation of cash flows from operating activities. These reclassifications had no impact on the prior year net loss or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Emerging Growth Company Status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sheet amounts of the VIE, with the exception of equity, on December 31, 2024, were translated at 7.2993 RMB to $1.00. The equity accounts were stated at their historical rates. The average translation rates applied to statements of operations and comprehensive income (loss) accounts for the six months ended December 31, 2024 was 7.1764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financial institution and financial service company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and expected loss rate and status of negotiations with the sales channel partner, management reviews its accounts receivable balances each reporting period to determine if an allowance for credit loss is required.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 In late October 2024, the Company determined that the collectability of certain refundable amount withheld by sales channel partners was remote so recorded additional allowance for credit losses of $41,346 and $1,516,940 for the three and six months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2024 and 2023, the Company performed a qualitative goodwill impairment analysis following the steps laid out in ASC 350-20-35-3C and noted no goodwill impairment. As of December 31, 2024 and June 30, 2024, the goodwill balance amounted to $3,034,110.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December 31, 2024 include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Borders>
              <w:bottom w:val="single" w:sz="8" w:color="EEEEEE"/>
            </w:tcBorders>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Useful Life</w:t>
            </w:r>
          </w:p>
        </w:tc>
      </w:tr>
      <w:tr>
        <w:trPr>
          <w:trHeight w:val="210"/>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4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6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44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December 31, 2024 and 2023, there were no indicators of impairment.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have any assets or liabilities measured at fair value on a recurring basis. We measure certain non-financial assets on a non-recurring basis, including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Total advertising and promotional costs included in selling and fulfillment expenses for the three and six months ended December 31, 2024 and 2023 were as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30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19"/>
                <w:szCs w:val="19"/>
                <w:color w:val="auto"/>
              </w:rPr>
            </w:pPr>
          </w:p>
        </w:tc>
      </w:tr>
      <w:tr>
        <w:trPr>
          <w:trHeight w:val="223"/>
        </w:trPr>
        <w:tc>
          <w:tcPr>
            <w:tcW w:w="474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ind w:left="660"/>
              <w:spacing w:after="0"/>
              <w:rPr>
                <w:sz w:val="20"/>
                <w:szCs w:val="20"/>
                <w:color w:val="auto"/>
              </w:rPr>
            </w:pPr>
            <w:r>
              <w:rPr>
                <w:rFonts w:ascii="Times New Roman" w:cs="Times New Roman" w:eastAsia="Times New Roman" w:hAnsi="Times New Roman"/>
                <w:sz w:val="18"/>
                <w:szCs w:val="18"/>
                <w:color w:val="auto"/>
                <w:w w:val="95"/>
              </w:rPr>
              <w:t>630,956</w:t>
            </w:r>
          </w:p>
        </w:tc>
        <w:tc>
          <w:tcPr>
            <w:tcW w:w="340" w:type="dxa"/>
            <w:vAlign w:val="bottom"/>
            <w:tcBorders>
              <w:bottom w:val="single" w:sz="8" w:color="EEEEEE"/>
            </w:tcBorders>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1,139,239</w:t>
            </w:r>
          </w:p>
        </w:tc>
        <w:tc>
          <w:tcPr>
            <w:tcW w:w="3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1,282,080</w:t>
            </w:r>
          </w:p>
        </w:tc>
        <w:tc>
          <w:tcPr>
            <w:tcW w:w="320" w:type="dxa"/>
            <w:vAlign w:val="bottom"/>
            <w:tcBorders>
              <w:bottom w:val="single" w:sz="8" w:color="EEEEEE"/>
            </w:tcBorders>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2,709,981</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costs for purchases of products, net of purchase discounts and rebates, and related inbound freight and delivery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which consist of selling and fulfillment and general and administrative expenses, are expensed as incurred. Vendor warranty credits resulting from refund of returns on quality issues are recorded to offset merchant selling fees. During the six months ended December 31, 2024 and 2023, the Company recorded vendor credits of $48,582 and $0,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Debt Issuance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offering costs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related to an equity financing that is probable of successful completion until such financing is consummated. After consummation of an equity financing, these costs are recorded as a reduction of the proceeds received as a result of the offering. Should a planned equity financing be abandoned, terminated or significantly delayed, the deferred offering costs are immediately written off to operating expenses in the consolidated statements of operations and comprehensive income (loss) in the period of determination. For the year ended June 30, 2024, $1,756,913 was recorded as deferred offering costs and reclassified to additional paid in capital upon closing of the offering on June 18, 2024. As of December 31, 2024 and June 30, 2024, there were no deferred offering costs included in the Company’s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six months ended December 31, 2024 and 2023, sales through Amazon to Canada and other foreign countries were approximately 6.9% and 9.8% of the Company’s total sales, respectively. During the six months ended December 31, 2024, sales of hydroponic products, including ventilation and grow light systems, was approximately 16.8% of the Company’s total sales and the remaining 83.2% consisted of general gardening, home goods, and other products and accessories. During the six months ended December 31, 2023, sales of hydroponic products, including ventilation and grow light systems, were approximately 19.3% of the Company’s total sales and the remaining 80.7% consisted of general gardening, home goods and other products and accessories. As of December 31, 2024 and June 30, 2024, the Company had approximately $1.4 million and $1.9 million of inventory stored in China. The Company’s majority of long-lived assets are located in California, United States, majority of the deferred tax assets are US related, and a majority of the Company’s revenues are derived from within the United States.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right-of-use (“ROU”) assets and related lease obligations on the balance sheet.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 The Company also revisits the anticipated timing for meeting the performance conditions. As per ASC 718-10-55-78, if the expected number of awards to vest and the fair value remain the same under the new estimates, with the adjustment solely impacting the timing of recognition, the Company will apply the prospective approach to record the adjustment.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A valuation allowance must be established for deferred tax assets when it is more-likely-than-not (a probability level of more than 50%) that they will not be realized. Valuation allowances are recorded, when necessary, to reduce deferred tax assets to the amount expected to be realized.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Income Statement—Reporting Comprehensive Income—Expense Disaggregation Disclosures (Subtopic 220-40): Disaggregation of Income Statement Expenses. This ASU requires public companies to disclose, in the notes to financial statements, specified information about certain costs and expenses at each interim and annual reporting period. The FASB further clarified the effective date in January 2025 with the issuance of ASU 2025-01,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Expense Disaggregation Disclosures (Subtopic 220-40): Clarifying the Effective Date </w:t>
      </w:r>
      <w:r>
        <w:rPr>
          <w:rFonts w:ascii="Times New Roman" w:cs="Times New Roman" w:eastAsia="Times New Roman" w:hAnsi="Times New Roman"/>
          <w:sz w:val="18"/>
          <w:szCs w:val="18"/>
          <w:color w:val="auto"/>
        </w:rPr>
        <w:t>(“ASU 2025-01”). ASU 2024-03 is effective for annual periods beginning after December 15, 2026, and interim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annual reporting periods beginning after December 15, 2027, with early adoption permitted. The requirements should be applied on a prospective basis while retrospective application is permitted. The Company plans to adopt this pronouncement for its fiscal year beginning July 1, 2027, and is in the process of analyzing the impact on its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unaudited condensed consolidated financial statements are presented.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 For the six months ended December 31, 2024 and 2023, the impact of GSM’s activities were immaterial to the Company’s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Variable interest entity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 On September 26, 2024, Mr. Zanyu Li, the equity owner of DHS transferred his shares to Ms. Xiaoyun Liu. Ms. Liu has become the Manager and Legal Representative of DHS and assumed all responsibilities and obligations of Mr. Zanyu Li. The transfer of equity ownership did not change the control the Company had on the VIE, therefore there was no impact on the Company’s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provide financial or other support to the VIE for the periods presented where the Company was not otherwise contractually required to provide such support.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June 30, 2024, there was no pledge or collateralization of the VIE assets that would be used to settle obligations of the VIE.</w:t>
      </w:r>
    </w:p>
    <w:p>
      <w:pPr>
        <w:spacing w:after="0" w:line="22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carrying amounts of the assets, liabilities and the results of operations of the VIE included in the Company’s unaudited condensed consolidated balance sheets and statements of operations and comprehensive income after the elimination of intercompany balances and transactions with the VIE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 of the VIE’s assets and liabilities were as follows for the periods indicated: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45"/>
        </w:trPr>
        <w:tc>
          <w:tcPr>
            <w:tcW w:w="7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73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209,313</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222,648</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202,904</w:t>
            </w:r>
          </w:p>
        </w:tc>
      </w:tr>
      <w:tr>
        <w:trPr>
          <w:trHeight w:val="216"/>
        </w:trPr>
        <w:tc>
          <w:tcPr>
            <w:tcW w:w="7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9,590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72,281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5,849</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12,205</w:t>
            </w:r>
          </w:p>
        </w:tc>
      </w:tr>
      <w:tr>
        <w:trPr>
          <w:trHeight w:val="216"/>
        </w:trPr>
        <w:tc>
          <w:tcPr>
            <w:tcW w:w="7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 noncurrent</w:t>
            </w: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434,034</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185,307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381,013</w:t>
            </w:r>
          </w:p>
        </w:tc>
      </w:tr>
      <w:tr>
        <w:trPr>
          <w:trHeight w:val="216"/>
        </w:trPr>
        <w:tc>
          <w:tcPr>
            <w:tcW w:w="7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443,059</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274,947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276,158</w:t>
            </w:r>
          </w:p>
        </w:tc>
      </w:tr>
      <w:tr>
        <w:trPr>
          <w:trHeight w:val="216"/>
        </w:trPr>
        <w:tc>
          <w:tcPr>
            <w:tcW w:w="7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550,763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514,285</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and six months ended December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6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loss after elimination of intercompany transactions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(184,218)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and six months ended December 31, 2023: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6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09"/>
        </w:trPr>
        <w:tc>
          <w:tcPr>
            <w:tcW w:w="61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after elimination of intercompany transactions</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(391,882)</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2024, the VIE contributed approximately $0.8 million and $2.2 million of revenue and $0.3 million and $0.5 million of net loss before elimination. For the three and six months ended December 31, 2023, the VIE contributed approximately $1.8 million and $3.9 million of revenue and $0.15 million and $0.2 million of net loss before elimination, respectively.</w:t>
      </w:r>
    </w:p>
    <w:p>
      <w:pPr>
        <w:sectPr>
          <w:pgSz w:w="11900" w:h="16838" w:orient="portrait"/>
          <w:cols w:equalWidth="0" w:num="1">
            <w:col w:w="11240"/>
          </w:cols>
          <w:pgMar w:left="320" w:top="796"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for the Company consisted of the following as of the dates indicated below: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allowance for credit losses on accounts receivable are summarized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191"/>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15,798,758</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15,095,479</w:t>
            </w:r>
          </w:p>
        </w:tc>
        <w:tc>
          <w:tcPr>
            <w:tcW w:w="80" w:type="dxa"/>
            <w:vAlign w:val="bottom"/>
            <w:tcBorders>
              <w:top w:val="single" w:sz="8" w:color="auto"/>
            </w:tcBorders>
          </w:tcPr>
          <w:p>
            <w:pPr>
              <w:spacing w:after="0"/>
              <w:rPr>
                <w:sz w:val="16"/>
                <w:szCs w:val="16"/>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(1,872,326)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(355,386)</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13,926,432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14,740,093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Allowance for</w:t>
            </w:r>
          </w:p>
        </w:tc>
      </w:tr>
      <w:tr>
        <w:trPr>
          <w:trHeight w:val="238"/>
        </w:trPr>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205"/>
        </w:trPr>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70,000</w:t>
            </w:r>
          </w:p>
        </w:tc>
      </w:tr>
      <w:tr>
        <w:trPr>
          <w:trHeight w:val="232"/>
        </w:trPr>
        <w:tc>
          <w:tcPr>
            <w:tcW w:w="18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2">
            <w:col w:w="6960" w:space="700"/>
            <w:col w:w="358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3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420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2023</w:t>
            </w:r>
          </w:p>
        </w:tc>
        <w:tc>
          <w:tcPr>
            <w:tcW w:w="4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4680" w:type="dxa"/>
            <w:vAlign w:val="bottom"/>
            <w:gridSpan w:val="2"/>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355,386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2024</w:t>
            </w:r>
          </w:p>
        </w:tc>
        <w:tc>
          <w:tcPr>
            <w:tcW w:w="4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1,475,594</w:t>
            </w:r>
          </w:p>
        </w:tc>
        <w:tc>
          <w:tcPr>
            <w:tcW w:w="0" w:type="dxa"/>
            <w:vAlign w:val="bottom"/>
          </w:tcPr>
          <w:p>
            <w:pPr>
              <w:spacing w:after="0"/>
              <w:rPr>
                <w:sz w:val="1"/>
                <w:szCs w:val="1"/>
                <w:color w:val="auto"/>
              </w:rPr>
            </w:pPr>
          </w:p>
        </w:tc>
      </w:tr>
      <w:tr>
        <w:trPr>
          <w:trHeight w:val="209"/>
        </w:trPr>
        <w:tc>
          <w:tcPr>
            <w:tcW w:w="53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420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1,830,980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2024</w:t>
            </w:r>
          </w:p>
        </w:tc>
        <w:tc>
          <w:tcPr>
            <w:tcW w:w="4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41,346</w:t>
            </w:r>
          </w:p>
        </w:tc>
        <w:tc>
          <w:tcPr>
            <w:tcW w:w="0" w:type="dxa"/>
            <w:vAlign w:val="bottom"/>
          </w:tcPr>
          <w:p>
            <w:pPr>
              <w:spacing w:after="0"/>
              <w:rPr>
                <w:sz w:val="1"/>
                <w:szCs w:val="1"/>
                <w:color w:val="auto"/>
              </w:rPr>
            </w:pPr>
          </w:p>
        </w:tc>
      </w:tr>
      <w:tr>
        <w:trPr>
          <w:trHeight w:val="196"/>
        </w:trPr>
        <w:tc>
          <w:tcPr>
            <w:tcW w:w="536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Balance at December 31, 2024</w:t>
            </w:r>
          </w:p>
        </w:tc>
        <w:tc>
          <w:tcPr>
            <w:tcW w:w="4200" w:type="dxa"/>
            <w:vAlign w:val="bottom"/>
            <w:tcBorders>
              <w:top w:val="single" w:sz="8" w:color="EEEEEE"/>
              <w:bottom w:val="single" w:sz="8" w:color="EEEEEE"/>
            </w:tcBorders>
            <w:shd w:val="clear" w:color="auto" w:fill="EEEEEE"/>
          </w:tcPr>
          <w:p>
            <w:pPr>
              <w:spacing w:after="0"/>
              <w:rPr>
                <w:sz w:val="17"/>
                <w:szCs w:val="17"/>
                <w:color w:val="auto"/>
              </w:rPr>
            </w:pPr>
          </w:p>
        </w:tc>
        <w:tc>
          <w:tcPr>
            <w:tcW w:w="480" w:type="dxa"/>
            <w:vAlign w:val="bottom"/>
            <w:tcBorders>
              <w:top w:val="single" w:sz="8" w:color="auto"/>
              <w:bottom w:val="single" w:sz="8" w:color="auto"/>
            </w:tcBorders>
            <w:shd w:val="clear" w:color="auto" w:fill="EEEEEE"/>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1,872,326</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200" w:type="dxa"/>
            <w:vAlign w:val="bottom"/>
            <w:vMerge w:val="restart"/>
          </w:tcPr>
          <w:p>
            <w:pPr>
              <w:jc w:val="right"/>
              <w:ind w:right="3750"/>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3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6 – Inventories,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June 30, 2024, inventories consisted of finished goods ready for sale, net of allowance for obsolescence, amounted to $9,183,631 and $10,546,273,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2024, the Company recorded inventory reserve expense of $0 and $288,474, respectively. For the three and six months ended December 31, 2023, the Company recorded inventory reserve expense of $117,563 and $222,755, respectively. As of December 31, 2024 and June 30, 2024, allowance for obsolescence was $936,299 and $647,825,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Prepayments and other current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June 30, 2024, prepayments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0"/>
        </w:trPr>
        <w:tc>
          <w:tcPr>
            <w:tcW w:w="5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24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1,832,378</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1,567,528</w:t>
            </w:r>
          </w:p>
        </w:tc>
        <w:tc>
          <w:tcPr>
            <w:tcW w:w="100" w:type="dxa"/>
            <w:vAlign w:val="bottom"/>
            <w:tcBorders>
              <w:top w:val="single" w:sz="8" w:color="auto"/>
            </w:tcBorders>
            <w:shd w:val="clear" w:color="auto" w:fill="EEEEEE"/>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31,496</w:t>
            </w:r>
          </w:p>
        </w:tc>
      </w:tr>
      <w:tr>
        <w:trPr>
          <w:trHeight w:val="216"/>
        </w:trPr>
        <w:tc>
          <w:tcPr>
            <w:tcW w:w="5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443,679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747,510</w:t>
            </w:r>
          </w:p>
        </w:tc>
        <w:tc>
          <w:tcPr>
            <w:tcW w:w="100" w:type="dxa"/>
            <w:vAlign w:val="bottom"/>
            <w:shd w:val="clear" w:color="auto" w:fill="EEEEEE"/>
          </w:tcPr>
          <w:p>
            <w:pPr>
              <w:spacing w:after="0"/>
              <w:rPr>
                <w:sz w:val="18"/>
                <w:szCs w:val="18"/>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tcBorders>
              <w:top w:val="single" w:sz="8" w:color="EEEEEE"/>
            </w:tcBorders>
            <w:shd w:val="clear" w:color="auto" w:fill="EEEEEE"/>
          </w:tcPr>
          <w:p>
            <w:pPr>
              <w:spacing w:after="0"/>
              <w:rPr>
                <w:sz w:val="18"/>
                <w:szCs w:val="18"/>
                <w:color w:val="auto"/>
              </w:rPr>
            </w:pPr>
          </w:p>
        </w:tc>
        <w:tc>
          <w:tcPr>
            <w:tcW w:w="24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2,292,744</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2,346,534</w:t>
            </w:r>
          </w:p>
        </w:tc>
        <w:tc>
          <w:tcPr>
            <w:tcW w:w="100" w:type="dxa"/>
            <w:vAlign w:val="bottom"/>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$64 and $3,995 from a third party for using the Company’s courier accounts at December 31, 2024 and June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other receivables are summarized below:</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56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r>
      <w:tr>
        <w:trPr>
          <w:trHeight w:val="238"/>
        </w:trPr>
        <w:tc>
          <w:tcPr>
            <w:tcW w:w="9560" w:type="dxa"/>
            <w:vAlign w:val="bottom"/>
            <w:tcBorders>
              <w:bottom w:val="single" w:sz="8" w:color="EEEEEE"/>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4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249,128</w:t>
            </w:r>
          </w:p>
        </w:tc>
      </w:tr>
      <w:tr>
        <w:trPr>
          <w:trHeight w:val="229"/>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2023</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40" w:type="dxa"/>
            <w:vAlign w:val="bottom"/>
            <w:tcBorders>
              <w:top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2023</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34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2024</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2024, the Company collected $249,128 of aged other receivables and recorded a reduction of bad debts expense as a reversal of the allowance of credit loss.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June 30, 2024,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p>
      <w:pPr>
        <w:ind w:left="860" w:hanging="85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(1,866,943)</w:t>
      </w:r>
    </w:p>
    <w:p>
      <w:pPr>
        <w:spacing w:after="0" w:line="31" w:lineRule="exact"/>
        <w:rPr>
          <w:sz w:val="20"/>
          <w:szCs w:val="20"/>
          <w:color w:val="auto"/>
        </w:rPr>
      </w:pPr>
    </w:p>
    <w:p>
      <w:pPr>
        <w:ind w:left="860" w:hanging="85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3,306,014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002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31" w:lineRule="exact"/>
        <w:rPr>
          <w:sz w:val="20"/>
          <w:szCs w:val="20"/>
          <w:color w:val="auto"/>
        </w:rPr>
      </w:pPr>
    </w:p>
    <w:p>
      <w:pPr>
        <w:ind w:left="860" w:hanging="854"/>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(1,542,257)</w:t>
      </w:r>
    </w:p>
    <w:p>
      <w:pPr>
        <w:spacing w:after="0" w:line="31" w:lineRule="exact"/>
        <w:rPr>
          <w:sz w:val="20"/>
          <w:szCs w:val="20"/>
          <w:color w:val="auto"/>
        </w:rPr>
      </w:pPr>
    </w:p>
    <w:p>
      <w:pPr>
        <w:ind w:left="860" w:hanging="85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3,630,700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994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40" w:space="720"/>
            <w:col w:w="1640" w:space="260"/>
            <w:col w:w="1680"/>
          </w:cols>
          <w:pgMar w:left="320" w:top="792" w:right="339" w:bottom="1440" w:gutter="0" w:footer="0" w:header="0"/>
        </w:sectPr>
      </w:pP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December 31, 2024 was approximately 5.70 years. The amortization expense for the three and six months ended December 31, 2024 was $162,343 and $324,686, respectively. The amortization expense for the three and six months ended December 31, 2023 was $162,343 and $324,686, respectively. At December 31, 2024,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2040" w:type="dxa"/>
            <w:vAlign w:val="bottom"/>
            <w:tcBorders>
              <w:bottom w:val="single" w:sz="8" w:color="EEEEEE"/>
            </w:tcBorders>
          </w:tcPr>
          <w:p>
            <w:pPr>
              <w:spacing w:after="0"/>
              <w:rPr>
                <w:sz w:val="21"/>
                <w:szCs w:val="21"/>
                <w:color w:val="auto"/>
              </w:rPr>
            </w:pPr>
          </w:p>
        </w:tc>
        <w:tc>
          <w:tcPr>
            <w:tcW w:w="100" w:type="dxa"/>
            <w:vAlign w:val="bottom"/>
            <w:tcBorders>
              <w:bottom w:val="single" w:sz="8" w:color="EEEEEE"/>
            </w:tcBorders>
          </w:tcPr>
          <w:p>
            <w:pPr>
              <w:spacing w:after="0"/>
              <w:rPr>
                <w:sz w:val="21"/>
                <w:szCs w:val="21"/>
                <w:color w:val="auto"/>
              </w:rPr>
            </w:pPr>
          </w:p>
        </w:tc>
        <w:tc>
          <w:tcPr>
            <w:tcW w:w="1480" w:type="dxa"/>
            <w:vAlign w:val="bottom"/>
            <w:tcBorders>
              <w:bottom w:val="single" w:sz="8" w:color="EEEEEE"/>
            </w:tcBorders>
          </w:tcPr>
          <w:p>
            <w:pPr>
              <w:spacing w:after="0"/>
              <w:rPr>
                <w:sz w:val="21"/>
                <w:szCs w:val="21"/>
                <w:color w:val="auto"/>
              </w:rPr>
            </w:pPr>
          </w:p>
        </w:tc>
        <w:tc>
          <w:tcPr>
            <w:tcW w:w="100" w:type="dxa"/>
            <w:vAlign w:val="bottom"/>
            <w:tcBorders>
              <w:bottom w:val="single" w:sz="8" w:color="EEEEEE"/>
            </w:tcBorders>
          </w:tcPr>
          <w:p>
            <w:pPr>
              <w:spacing w:after="0"/>
              <w:rPr>
                <w:sz w:val="21"/>
                <w:szCs w:val="21"/>
                <w:color w:val="auto"/>
              </w:rPr>
            </w:pPr>
          </w:p>
        </w:tc>
        <w:tc>
          <w:tcPr>
            <w:tcW w:w="220" w:type="dxa"/>
            <w:vAlign w:val="bottom"/>
            <w:tcBorders>
              <w:bottom w:val="single" w:sz="8" w:color="EEEEEE"/>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324,685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609,277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345,912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48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3,306,014</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Other payables and accrued liabilities</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 of December 31, 2024 and June 30, 2024, other payables and accrued liabilities consisted of the following:</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4"/>
                <w:szCs w:val="24"/>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0" w:type="dxa"/>
            <w:vAlign w:val="bottom"/>
          </w:tcPr>
          <w:p>
            <w:pPr>
              <w:spacing w:after="0"/>
              <w:rPr>
                <w:sz w:val="1"/>
                <w:szCs w:val="1"/>
                <w:color w:val="auto"/>
              </w:rPr>
            </w:pPr>
          </w:p>
        </w:tc>
      </w:tr>
      <w:tr>
        <w:trPr>
          <w:trHeight w:val="210"/>
        </w:trPr>
        <w:tc>
          <w:tcPr>
            <w:tcW w:w="56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payables for inventory in transit</w:t>
            </w:r>
          </w:p>
        </w:tc>
        <w:tc>
          <w:tcPr>
            <w:tcW w:w="20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1,526,602</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1,405,780</w:t>
            </w:r>
          </w:p>
        </w:tc>
        <w:tc>
          <w:tcPr>
            <w:tcW w:w="80" w:type="dxa"/>
            <w:vAlign w:val="bottom"/>
            <w:tcBorders>
              <w:top w:val="single" w:sz="8" w:color="auto"/>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Credit cards payable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deposit</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321,884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313,358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Accrued Amazon fees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311,035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490,750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442,889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Settlement payable</w:t>
            </w:r>
          </w:p>
        </w:tc>
        <w:tc>
          <w:tcPr>
            <w:tcW w:w="2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325,000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and payables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432,624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EEEEEE"/>
            </w:tcBorders>
            <w:shd w:val="clear" w:color="auto" w:fill="EEEEEE"/>
          </w:tcPr>
          <w:p>
            <w:pPr>
              <w:spacing w:after="0"/>
              <w:rPr>
                <w:sz w:val="18"/>
                <w:szCs w:val="18"/>
                <w:color w:val="auto"/>
              </w:rPr>
            </w:pPr>
          </w:p>
        </w:tc>
        <w:tc>
          <w:tcPr>
            <w:tcW w:w="20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3,491,596</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3,885,487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10 – Loans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into a Credit Agreement with JPMorgan Chase Bank, N.A. (“JPMorgan”),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020" w:hanging="21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25" w:lineRule="exact"/>
        <w:rPr>
          <w:rFonts w:ascii="Times New Roman" w:cs="Times New Roman" w:eastAsia="Times New Roman" w:hAnsi="Times New Roman"/>
          <w:sz w:val="18"/>
          <w:szCs w:val="18"/>
          <w:color w:val="auto"/>
        </w:rPr>
      </w:pPr>
    </w:p>
    <w:p>
      <w:pPr>
        <w:ind w:left="1360" w:hanging="218"/>
        <w:spacing w:after="0"/>
        <w:tabs>
          <w:tab w:leader="none" w:pos="136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27" w:lineRule="exact"/>
        <w:rPr>
          <w:rFonts w:ascii="Wingdings" w:cs="Wingdings" w:eastAsia="Wingdings" w:hAnsi="Wingdings"/>
          <w:sz w:val="18"/>
          <w:szCs w:val="18"/>
          <w:b w:val="1"/>
          <w:bCs w:val="1"/>
          <w:color w:val="auto"/>
        </w:rPr>
      </w:pPr>
    </w:p>
    <w:p>
      <w:pPr>
        <w:ind w:left="1360" w:hanging="218"/>
        <w:spacing w:after="0"/>
        <w:tabs>
          <w:tab w:leader="none" w:pos="136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360" w:hanging="218"/>
        <w:spacing w:after="0"/>
        <w:tabs>
          <w:tab w:leader="none" w:pos="1360" w:val="left"/>
        </w:tabs>
        <w:numPr>
          <w:ilvl w:val="1"/>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6" w:lineRule="exact"/>
        <w:rPr>
          <w:rFonts w:ascii="Wingdings" w:cs="Wingdings" w:eastAsia="Wingdings" w:hAnsi="Wingdings"/>
          <w:sz w:val="18"/>
          <w:szCs w:val="18"/>
          <w:b w:val="1"/>
          <w:bCs w:val="1"/>
          <w:color w:val="auto"/>
        </w:rPr>
      </w:pPr>
    </w:p>
    <w:p>
      <w:pPr>
        <w:ind w:left="1020" w:hanging="21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1020" w:hanging="21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020" w:hanging="216"/>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three-year term of the ABL as interest expense.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2024, the Company entered into a third amendment (the “Third Amendment”) to that certain credit agreement, initially entered into by and among the Company and its subsidiaries and JPMorgan Chase Bank, N.A., as administrative agent for the Lender and a lender (the “Administrative Agent” or “Lender”), on November 12, 2021 (the “Credit Agreement”). The Third Amendment to the Credit Agreement amended, among other things, (i) the defined term “Aggregate Revolving Commitment” to mean $15,000,000, and (ii) extended the maturity date to “November 8, 2027 or any earlier date on which the Revolving Commitments are reduced to zero or otherwise terminated pursuant to the terms hereof.” The borrowing rate is SOFR plus 2.25% to 2.50% depending on utilization of the borrowing availability.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outstanding amount of the ABL, which was classified as long-term revolving loan payable, including interest payable, was $4,042,400. As of June 30, 2024, the outstanding amount of the revolving loan payable, net of debt discount and including interest payable, was $5,500,739.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three and six months ended December 31, 2024 and 2023:</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utilization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debt discount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32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292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66,025</w:t>
            </w:r>
          </w:p>
        </w:tc>
        <w:tc>
          <w:tcPr>
            <w:tcW w:w="220" w:type="dxa"/>
            <w:vAlign w:val="bottom"/>
          </w:tcPr>
          <w:p>
            <w:pPr>
              <w:spacing w:after="0"/>
              <w:rPr>
                <w:sz w:val="16"/>
                <w:szCs w:val="16"/>
                <w:color w:val="auto"/>
              </w:rPr>
            </w:pPr>
          </w:p>
        </w:tc>
        <w:tc>
          <w:tcPr>
            <w:tcW w:w="34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67,689</w:t>
            </w:r>
          </w:p>
        </w:tc>
        <w:tc>
          <w:tcPr>
            <w:tcW w:w="22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18"/>
                <w:szCs w:val="18"/>
                <w:color w:val="auto"/>
              </w:rPr>
              <w:t>109,170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201,304</w:t>
            </w:r>
          </w:p>
        </w:tc>
        <w:tc>
          <w:tcPr>
            <w:tcW w:w="10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36,065</w:t>
            </w:r>
          </w:p>
        </w:tc>
      </w:tr>
      <w:tr>
        <w:trPr>
          <w:trHeight w:val="234"/>
        </w:trPr>
        <w:tc>
          <w:tcPr>
            <w:tcW w:w="1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59,602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125,906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132,609</w:t>
            </w:r>
          </w:p>
        </w:tc>
        <w:tc>
          <w:tcPr>
            <w:tcW w:w="10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369,978</w:t>
            </w:r>
          </w:p>
        </w:tc>
        <w:tc>
          <w:tcPr>
            <w:tcW w:w="10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020" w:space="720"/>
            <w:col w:w="6500"/>
          </w:cols>
          <w:pgMar w:left="320" w:top="101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 of December 31, 2024, the Company was in compliance with the ABL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In August 2023, the Company paid the third installment of $875,000. In February 2024, the Company paid the fourth installment of $875,000. For the six months ended December 31, 2024, the Company recorded accrued interest of $0 and amortization of note premium of $0. For the six months ended December 31, 2023, the Company recorded accrued interest of $32,813 and amortization of note premium of $25,157. For the year ended June 30, 2024, the Company recorded accrued interest of $39,429 and amortization of note premium of $31,602. In February 2024, the note premium was fully amortized, and the outstanding balance of the principal and accrued interest of $275,679 was fully paid off. As of December 31, 2024 and June 30, 2024, the total outstanding balance of the Purchase Note was $0.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loan payable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 million from White Cherry and repaid $1 million on July 31, 2023 and $1 million on January 31, 2024. For the three and six months ended December 31, 2024, the Company recorded accrued interest of $0. For the three and six months ended December 31, 2023, the Company recorded accrued interest of $26,128 and $32,189, respectively. As of December 31, 2024, the outstanding balance of the On-demand Loan was fully paid off.</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2024, the Company entered into an agreement with an unrelated accredited investor (the “Investor”) for an on-demand, unsecured and subordinated loan (“On-demand Loan 2”). Pursuant to the agreement, the Investor agreed to loan the Company the amount requested. The On-demand Loan 2 bears interest at the rate of the Secured Overnight Financing Rate, or SOFR, plus 1.5% per annum. The On-demand Loan 2 is due in 30 days upon receipt of the Investor’s notice of repayment. For the three and six months ended December 31, 2024, the Company recorded interest expense of $0 and $3,733, respectively. As of June 30, 2024, the outstanding balance of the On-demand Loan 2, including accrued interest of $7,615, was $491,214. As of December 31, 2024, the On-demand Loan 2 had been fully paid off.</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(“RP Loan”) from an entity owned by Mr. Allan Huang, one of the majority shareholders of the Company. The RP Loan bears no interest and is due upon receipt of request of repayment. As of December 31, 2024 and June 30, 2024, the outstanding balance of the RP Loan was $350,000.</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2024, the Company borrowed $350,000 short-term loan from an entity owned by Mr. Allan Huang, one of the majority shareholders of the Company. See Note 10 above for details.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June 30, 2024, the Company started selling products through MII Strategy Inc. (“MII”), a company owned by the Company’s CEO, Mr. Chenlong Tan. As of December 31, 2024 and June 30, 2024, the total amount due from MII was $0 and $56,406.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2023, the Company entered into an agreement with White Cherry for an on demand loan. See Note 10 above for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corporate income taxes in the United States, upon completion of the acquisition of Anivia in February 2022, the Company is subject to corporate income taxes in People’s Republic of China (“PRC”). Anivia and its subsidiaries are subject to BVI or Hong Kong income taxes but did not have any operations for the year ended June 30, 2022 in those jurisdictions. DHS, the operating VIE of Anivia, is considered a Controlled Foreign Corporation (CFC) defined under IRC Sec. 957(a) since the Company indirectly owns more than 50% voting control of DHS as a result of the Transfer Agreement. Therefore, DHS is subject to the Global Intangible Low-Taxed Income (or GILTI) Tax. DHS is subject to 5% tax rate in PRC until December 31, 2027. Since DHS had losses during the six months ended December 31, 2024 and 2023 and the year ended June 30, 2024, no GILTI tax was recorded as of December 31, 2024 and June 30, 2024. The Company is not eligible for the GILTI high-tax exclusion. In addition, as a result of the acquisition, the Company recognized goodwill in the amount of $6,094,144. Since the acquisition was a stock acquisition, the Goodwill is not deductible for tax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2024,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three and six months ended December 31, 2024 and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6"/>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940" w:type="dxa"/>
            <w:vAlign w:val="bottom"/>
            <w:gridSpan w:val="6"/>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14,042</w:t>
            </w:r>
          </w:p>
        </w:tc>
        <w:tc>
          <w:tcPr>
            <w:tcW w:w="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1,705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14,042</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17,460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(904)</w:t>
            </w:r>
          </w:p>
        </w:tc>
        <w:tc>
          <w:tcPr>
            <w:tcW w:w="160" w:type="dxa"/>
            <w:vAlign w:val="bottom"/>
          </w:tcPr>
          <w:p>
            <w:pPr>
              <w:spacing w:after="0"/>
              <w:rPr>
                <w:sz w:val="18"/>
                <w:szCs w:val="18"/>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25,869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11,566</w:t>
            </w: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31,502</w:t>
            </w:r>
          </w:p>
        </w:tc>
        <w:tc>
          <w:tcPr>
            <w:tcW w:w="1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39,911</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76,153</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(555,981)</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(444,984)</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(840,629)</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12,856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(133,943)</w:t>
            </w:r>
          </w:p>
        </w:tc>
        <w:tc>
          <w:tcPr>
            <w:tcW w:w="16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(110,928)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(200,567)</w:t>
            </w:r>
          </w:p>
        </w:tc>
        <w:tc>
          <w:tcPr>
            <w:tcW w:w="0" w:type="dxa"/>
            <w:vAlign w:val="bottom"/>
          </w:tcPr>
          <w:p>
            <w:pPr>
              <w:spacing w:after="0"/>
              <w:rPr>
                <w:sz w:val="1"/>
                <w:szCs w:val="1"/>
                <w:color w:val="auto"/>
              </w:rPr>
            </w:pPr>
          </w:p>
        </w:tc>
      </w:tr>
      <w:tr>
        <w:trPr>
          <w:trHeight w:val="230"/>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64,809</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89,009</w:t>
            </w:r>
          </w:p>
        </w:tc>
        <w:tc>
          <w:tcPr>
            <w:tcW w:w="1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(689,740</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(555,912</w:t>
            </w:r>
          </w:p>
        </w:tc>
        <w:tc>
          <w:tcPr>
            <w:tcW w:w="180" w:type="dxa"/>
            <w:vAlign w:val="bottom"/>
            <w:tcBorders>
              <w:bottom w:val="single" w:sz="8" w:color="EEEEEE"/>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(976,387</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7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120,511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(688,939)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(516,001)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(964,821)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2019 to 2023 remain open to examination by the major taxing jurisdictions to which the Company is subject.</w:t>
      </w:r>
    </w:p>
    <w:p>
      <w:pPr>
        <w:spacing w:after="0" w:line="3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2024, The Company recorded income tax expense (benefit) of $120,511 and $(516,001), respectively, reflecting an effective tax rate of 35.85% and (22.12)%, respectively. For the three and six months ended December 31, 2023, The Company recorded income tax (benefit) of $(688,939) and $(964,821), respectively, with effective tax rates of (26.43)% and (23.13)%,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three and six months ended December 31, 2024 and 2023 differ from the federal statutory rate of 21%, primarily due to U.S. state income tax deduction, other permanent differences and the impact of foreign jurisdictions subject to a full valuation allowance.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prepaid income taxes to US tax authorities and income tax payable to Chinese tax authorities was $16,687 and $274,946.97, respectively. As of June 30, 2024, prepaid income taxes to US tax authorities and income tax payable to Chinese tax authorities was $31,496 and $276,158,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taxes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263A calculation</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253,451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291,354</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248,254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171,942</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4,840</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91,025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155,860</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 / liabilities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110,391</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2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2,152,198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2,190,589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258,352</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448,167</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341,591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(64,897)</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Allowance for credit loss</w:t>
            </w:r>
          </w:p>
        </w:tc>
        <w:tc>
          <w:tcPr>
            <w:tcW w:w="2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496,434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40,067</w:t>
            </w:r>
          </w:p>
        </w:tc>
      </w:tr>
      <w:tr>
        <w:trPr>
          <w:trHeight w:val="210"/>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58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3,957,282</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3,500,089</w:t>
            </w:r>
          </w:p>
        </w:tc>
        <w:tc>
          <w:tcPr>
            <w:tcW w:w="100" w:type="dxa"/>
            <w:vAlign w:val="bottom"/>
            <w:tcBorders>
              <w:bottom w:val="single" w:sz="8" w:color="EEEEEE"/>
            </w:tcBorders>
          </w:tcPr>
          <w:p>
            <w:pPr>
              <w:spacing w:after="0"/>
              <w:rPr>
                <w:sz w:val="18"/>
                <w:szCs w:val="18"/>
                <w:color w:val="auto"/>
              </w:rPr>
            </w:pPr>
          </w:p>
        </w:tc>
      </w:tr>
      <w:tr>
        <w:trPr>
          <w:trHeight w:val="210"/>
        </w:trPr>
        <w:tc>
          <w:tcPr>
            <w:tcW w:w="508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(64,656)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(77,287)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(891,109)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(977,197)</w:t>
            </w:r>
          </w:p>
        </w:tc>
      </w:tr>
      <w:tr>
        <w:trPr>
          <w:trHeight w:val="210"/>
        </w:trPr>
        <w:tc>
          <w:tcPr>
            <w:tcW w:w="50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5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(955,765)</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(1,054,484)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3,001,517</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2,445,605</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25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2024 and 2023, the Company recorded $30,816 and $66,104 of valuation allowance to reduce deferred tax assets for the losses incurred by DHS.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4"/>
                <w:szCs w:val="24"/>
                <w:color w:val="auto"/>
              </w:rPr>
            </w:pPr>
          </w:p>
        </w:tc>
        <w:tc>
          <w:tcPr>
            <w:tcW w:w="2920" w:type="dxa"/>
            <w:vAlign w:val="bottom"/>
            <w:gridSpan w:val="6"/>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218,819</w:t>
            </w:r>
          </w:p>
        </w:tc>
        <w:tc>
          <w:tcPr>
            <w:tcW w:w="540" w:type="dxa"/>
            <w:vAlign w:val="bottom"/>
            <w:gridSpan w:val="2"/>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(1,914,828)</w:t>
            </w:r>
          </w:p>
        </w:tc>
        <w:tc>
          <w:tcPr>
            <w:tcW w:w="220" w:type="dxa"/>
            <w:vAlign w:val="bottom"/>
            <w:shd w:val="clear" w:color="auto" w:fill="EEEEEE"/>
          </w:tcPr>
          <w:p>
            <w:pPr>
              <w:spacing w:after="0"/>
              <w:rPr>
                <w:sz w:val="21"/>
                <w:szCs w:val="21"/>
                <w:color w:val="auto"/>
              </w:rPr>
            </w:pP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(1,810,462)</w:t>
            </w:r>
          </w:p>
        </w:tc>
        <w:tc>
          <w:tcPr>
            <w:tcW w:w="520" w:type="dxa"/>
            <w:vAlign w:val="bottom"/>
            <w:gridSpan w:val="2"/>
            <w:shd w:val="clear" w:color="auto" w:fill="EEEEEE"/>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(3,201,343)</w:t>
            </w: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31,437,517</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29,790,242</w:t>
            </w:r>
          </w:p>
        </w:tc>
        <w:tc>
          <w:tcPr>
            <w:tcW w:w="220" w:type="dxa"/>
            <w:vAlign w:val="bottom"/>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31,427,360</w:t>
            </w:r>
          </w:p>
        </w:tc>
        <w:tc>
          <w:tcPr>
            <w:tcW w:w="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29,777,378</w:t>
            </w:r>
          </w:p>
        </w:tc>
        <w:tc>
          <w:tcPr>
            <w:tcW w:w="0" w:type="dxa"/>
            <w:vAlign w:val="bottom"/>
          </w:tcPr>
          <w:p>
            <w:pPr>
              <w:spacing w:after="0"/>
              <w:rPr>
                <w:sz w:val="1"/>
                <w:szCs w:val="1"/>
                <w:color w:val="auto"/>
              </w:rPr>
            </w:pPr>
          </w:p>
        </w:tc>
      </w:tr>
      <w:tr>
        <w:trPr>
          <w:trHeight w:val="197"/>
        </w:trPr>
        <w:tc>
          <w:tcPr>
            <w:tcW w:w="474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Losses per share of ordinary shares - basic and diluted</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EEEEEE"/>
              <w:bottom w:val="single" w:sz="8" w:color="EEEEEE"/>
            </w:tcBorders>
            <w:shd w:val="clear" w:color="auto" w:fill="EEEEEE"/>
          </w:tcPr>
          <w:p>
            <w:pPr>
              <w:spacing w:after="0"/>
              <w:rPr>
                <w:sz w:val="17"/>
                <w:szCs w:val="17"/>
                <w:color w:val="auto"/>
              </w:rPr>
            </w:pP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320" w:type="dxa"/>
            <w:vAlign w:val="bottom"/>
            <w:tcBorders>
              <w:top w:val="single" w:sz="8" w:color="auto"/>
              <w:bottom w:val="single" w:sz="8" w:color="auto"/>
            </w:tcBorders>
            <w:shd w:val="clear" w:color="auto" w:fill="EEEEEE"/>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20" w:hanging="112"/>
        <w:spacing w:after="0" w:line="266" w:lineRule="auto"/>
        <w:tabs>
          <w:tab w:leader="none" w:pos="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anti-dilutive effect, the computation of basic and diluted EPS did not include the shares underlying the exercise of warrants, options, and unvested RSUs as the Company had a net loss/or the warrants and options were out of the money (the exercise price is higher than the market price) for the three and six months ended December 31, 2024 and 2023.</w:t>
      </w:r>
    </w:p>
    <w:p>
      <w:pPr>
        <w:spacing w:after="0" w:line="175" w:lineRule="exact"/>
        <w:rPr>
          <w:rFonts w:ascii="Times New Roman" w:cs="Times New Roman" w:eastAsia="Times New Roman" w:hAnsi="Times New Roman"/>
          <w:sz w:val="18"/>
          <w:szCs w:val="18"/>
          <w:color w:val="auto"/>
        </w:rPr>
      </w:pPr>
    </w:p>
    <w:p>
      <w:pPr>
        <w:jc w:val="both"/>
        <w:ind w:left="120" w:hanging="112"/>
        <w:spacing w:after="0" w:line="266" w:lineRule="auto"/>
        <w:tabs>
          <w:tab w:leader="none" w:pos="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December 31, 2024, 89,199 and 107,347 vested but unissued shares of restricted stock units under the 2020 Equity Incentive Plan (as discussed in Note 14) are considered issued shares and therefore are included in the computation of basic losses per share when the shares are fully vested.</w:t>
      </w:r>
    </w:p>
    <w:p>
      <w:pPr>
        <w:spacing w:after="0" w:line="175" w:lineRule="exact"/>
        <w:rPr>
          <w:rFonts w:ascii="Times New Roman" w:cs="Times New Roman" w:eastAsia="Times New Roman" w:hAnsi="Times New Roman"/>
          <w:sz w:val="18"/>
          <w:szCs w:val="18"/>
          <w:color w:val="auto"/>
        </w:rPr>
      </w:pPr>
    </w:p>
    <w:p>
      <w:pPr>
        <w:jc w:val="both"/>
        <w:ind w:left="120" w:hanging="112"/>
        <w:spacing w:after="0" w:line="266" w:lineRule="auto"/>
        <w:tabs>
          <w:tab w:leader="none" w:pos="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December 31, 2023, 40,981 and 107,347 vested but unissued shares of restricted stock units under the 2020 Equity Incentive Plan (as discussed in Note 16) are considered issued shares and therefore are included in the computation of basic losses per share when the shares are fully vested.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authorized shares of capital stock were 200,000,000 shares consisting of 180,000,000 shares of Common Stock (“Common Stock”) and 20,000,000 shares of preferred stock (the “Preferred Stock”), each with a par value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June 30, 2024, the Company issued 107,293 shares of restricted Common Stock for RSUs vested.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On June 18, 2024, the Company closed on a registered direct offering (the “Registered Direct”) of 2,083,334 shares of common stock (the “Shares”) and a concurrent private placement (“Private Placement,” and together with the Registered Direct, the “Offering”) of warrants (the “Warrants”) to purchase 2,083,334 shares of common stock (the “Warrant Shares”), which were sold for gross aggregate proceeds of $5,000,002. The Shares were sold pursuant to a prospectus supplement, filed on June 18, 2024, to the Registration Statement on Form S-3, originally filed on September 25, 2023, with the SEC (File No. 333-274665) and declared effective by the SEC on September 29, 2023. The Warrants, which were issued pursuant to an exemption from registration pursuant to Section 4(a)(2) or Regulation D on the Securities Act, have a term of five years and are immediately exercisable at $2.40 per share. The Shares and Warrants were sold to a purchaser pursuant to a securities purchase agreement, dated June 16, 2024, between the Company and the purchaser (the “Purchase Agreement”). Roth Capital Partners, LLC (the “Placement Agent”) acted as placement agent, pursuant to a placement agency agreement between the Company and the Placement Agent dated June 16, 2024 (the “Placement Agency Agreement”). The Company paid the Placement Agent as compensation a cash fee equal to 6.5% of the gross proceeds of the Offering plus reimbursement of certain expenses and legal fees. The net proceeds of the Offering, after deducting $456,913, the Placement Agent’s fees and expenses and other direct offering costs paid by the Company, was $4,543,089.</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calculated the fair value of the Warrants at $3.1 million at the grant date, with a relative fair value of $1.7 million after allocation of the fair value of the Shares, using the Black-Scholes Model with the following variables:</w:t>
      </w:r>
    </w:p>
    <w:p>
      <w:pPr>
        <w:spacing w:after="0" w:line="16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$2.00</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$2.40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–5 years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4.24%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Warrant agreement, except for some fundamental transactions within the Company’s control, in no event shall the Company be required to net cash settle the Warrants. The Company considered and followed the rules and guidelines under ASC 480-10 and ASC 815 and concluded that the Warrants should be classified and recorded as equity. Further, as the warrants were issued as part of the Offering, the relative fair value of the Warrants was included in the gross proceeds and recorded as additional paid-in capital.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2024, as disclosed in Note 17 below, in order to recoup the settlement payment made to Boustead Securities, LLC, the Company’s Chief Executive Officer and co-founder, Lawrence Tan, along with co-founder Allan Huang, returned a total of 541,667 shares to the Company for cancellation (the “Share Cancellation”). The Share Cancellation was completed in June 2024 and the par value of $542 was reduced against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June 30, 2024, there were 31,359,899 shares of Common Stock issued and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December 31, 2024 and June 30, 2024, respectively, there were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was subsequently amended on December 6, 2022 and September 15, 2023 and November 22,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completion of the IPO on May 11, 2021, pursuant to their letter agreements, the Company awarded 46,546 restricted stock units (“RSUs”) under the Plan to its independent directors, its Chief Financial Officer, and certain other employees and consultants, all of which vested over 12 months following the grant date and were subject to other restrictions until the filing of a Registration Statement on Form S-8 registering the shares. The fair value of the RSUs was determined based on $5.00 per share, the initial listing price of the Company’s Common Stock on the grant date. During the six months ended December 31, 2024, the Company granted an additional 71,427 shares of RSUs. For the three and six months ended December 31, 2024, the Company recorded $22,500 and $54,288 of stock-based compensation expense. There was no forfeiture of RSUs occurred during the six months ended December 31, 2024 and 2023. As of December 31, 2024 and June 30, 2024, the unvested number of RSUs was 29,763 and 3,250 and the unamortized expense was $37,500 and $1,788, respectively.</w:t>
      </w:r>
    </w:p>
    <w:p>
      <w:pPr>
        <w:sectPr>
          <w:pgSz w:w="11900" w:h="16838" w:orient="portrait"/>
          <w:cols w:equalWidth="0" w:num="1">
            <w:col w:w="11240"/>
          </w:cols>
          <w:pgMar w:left="320" w:top="796" w:right="3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Market Value of</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RSUs Issued as</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38"/>
        </w:trPr>
        <w:tc>
          <w:tcPr>
            <w:tcW w:w="19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6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(1)</w:t>
            </w:r>
          </w:p>
        </w:tc>
      </w:tr>
      <w:tr>
        <w:trPr>
          <w:trHeight w:val="191"/>
        </w:trPr>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8"/>
        </w:trPr>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of the 375,068 vested RSUs, 285,869 shares of Common Stock were issued, and 89,199 shares were to be issued in the near future.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Stock Option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exercisable to purchase (i) 3,000,000 shares of Common Stock to Chenlong Tan, CEO and (ii) 330,000 shares of Common Stock to Mr. Vassily. The Option Grants, which were issued on May 13, 2022, have an exercise price of $1.12,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achievement status of the operational milestones as of December 31, 2024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Revenue in Fiscal Year</w:t>
            </w:r>
          </w:p>
        </w:tc>
        <w:tc>
          <w:tcPr>
            <w:tcW w:w="1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color w:val="auto"/>
              </w:rPr>
              <w:t>Operating Income in Fiscal Year</w:t>
            </w:r>
          </w:p>
        </w:tc>
      </w:tr>
      <w:tr>
        <w:trPr>
          <w:trHeight w:val="191"/>
        </w:trPr>
        <w:tc>
          <w:tcPr>
            <w:tcW w:w="21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Milestone</w:t>
            </w: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2"/>
          </w:tcPr>
          <w:p>
            <w:pPr>
              <w:jc w:val="right"/>
              <w:ind w:right="1140"/>
              <w:spacing w:after="0" w:line="191" w:lineRule="exact"/>
              <w:rPr>
                <w:sz w:val="20"/>
                <w:szCs w:val="20"/>
                <w:color w:val="auto"/>
              </w:rPr>
            </w:pPr>
            <w:r>
              <w:rPr>
                <w:rFonts w:ascii="Times New Roman" w:cs="Times New Roman" w:eastAsia="Times New Roman" w:hAnsi="Times New Roman"/>
                <w:sz w:val="18"/>
                <w:szCs w:val="18"/>
                <w:color w:val="auto"/>
              </w:rPr>
              <w:t>Milestone</w:t>
            </w:r>
          </w:p>
        </w:tc>
        <w:tc>
          <w:tcPr>
            <w:tcW w:w="2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Achievement</w:t>
            </w:r>
          </w:p>
        </w:tc>
      </w:tr>
      <w:tr>
        <w:trPr>
          <w:trHeight w:val="234"/>
        </w:trPr>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Status</w:t>
            </w:r>
          </w:p>
        </w:tc>
        <w:tc>
          <w:tcPr>
            <w:tcW w:w="460" w:type="dxa"/>
            <w:vAlign w:val="bottom"/>
          </w:tcPr>
          <w:p>
            <w:pPr>
              <w:spacing w:after="0"/>
              <w:rPr>
                <w:sz w:val="20"/>
                <w:szCs w:val="20"/>
                <w:color w:val="auto"/>
              </w:rPr>
            </w:pPr>
          </w:p>
        </w:tc>
        <w:tc>
          <w:tcPr>
            <w:tcW w:w="23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(in Millions)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Status</w:t>
            </w:r>
          </w:p>
        </w:tc>
      </w:tr>
      <w:tr>
        <w:trPr>
          <w:trHeight w:val="209"/>
        </w:trPr>
        <w:tc>
          <w:tcPr>
            <w:tcW w:w="2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r>
      <w:tr>
        <w:trPr>
          <w:trHeight w:val="216"/>
        </w:trPr>
        <w:tc>
          <w:tcPr>
            <w:tcW w:w="2120" w:type="dxa"/>
            <w:vAlign w:val="bottom"/>
            <w:shd w:val="clear" w:color="auto" w:fill="EEEEEE"/>
          </w:tcPr>
          <w:p>
            <w:pPr>
              <w:jc w:val="right"/>
              <w:ind w:right="19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90</w:t>
            </w:r>
          </w:p>
        </w:tc>
        <w:tc>
          <w:tcPr>
            <w:tcW w:w="60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center"/>
              <w:ind w:right="780"/>
              <w:spacing w:after="0"/>
              <w:rPr>
                <w:sz w:val="20"/>
                <w:szCs w:val="20"/>
                <w:color w:val="auto"/>
              </w:rPr>
            </w:pPr>
            <w:r>
              <w:rPr>
                <w:rFonts w:ascii="Times New Roman" w:cs="Times New Roman" w:eastAsia="Times New Roman" w:hAnsi="Times New Roman"/>
                <w:sz w:val="18"/>
                <w:szCs w:val="18"/>
                <w:color w:val="auto"/>
                <w:w w:val="99"/>
              </w:rPr>
              <w:t>Probable</w:t>
            </w:r>
          </w:p>
        </w:tc>
        <w:tc>
          <w:tcPr>
            <w:tcW w:w="46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23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21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spacing w:after="0"/>
              <w:rPr>
                <w:sz w:val="18"/>
                <w:szCs w:val="18"/>
                <w:color w:val="auto"/>
              </w:rPr>
            </w:pPr>
          </w:p>
        </w:tc>
        <w:tc>
          <w:tcPr>
            <w:tcW w:w="21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Probable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2120" w:type="dxa"/>
            <w:vAlign w:val="bottom"/>
            <w:shd w:val="clear" w:color="auto" w:fill="EEEEEE"/>
          </w:tcPr>
          <w:p>
            <w:pPr>
              <w:jc w:val="right"/>
              <w:ind w:right="19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125</w:t>
            </w:r>
          </w:p>
        </w:tc>
        <w:tc>
          <w:tcPr>
            <w:tcW w:w="60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center"/>
              <w:ind w:right="780"/>
              <w:spacing w:after="0"/>
              <w:rPr>
                <w:sz w:val="20"/>
                <w:szCs w:val="20"/>
                <w:color w:val="auto"/>
              </w:rPr>
            </w:pPr>
            <w:r>
              <w:rPr>
                <w:rFonts w:ascii="Times New Roman" w:cs="Times New Roman" w:eastAsia="Times New Roman" w:hAnsi="Times New Roman"/>
                <w:sz w:val="18"/>
                <w:szCs w:val="18"/>
                <w:color w:val="auto"/>
                <w:w w:val="99"/>
              </w:rPr>
              <w:t>Probable</w:t>
            </w:r>
          </w:p>
        </w:tc>
        <w:tc>
          <w:tcPr>
            <w:tcW w:w="46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23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21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w:t>
            </w:r>
          </w:p>
        </w:tc>
        <w:tc>
          <w:tcPr>
            <w:tcW w:w="600" w:type="dxa"/>
            <w:vAlign w:val="bottom"/>
          </w:tcPr>
          <w:p>
            <w:pPr>
              <w:spacing w:after="0"/>
              <w:rPr>
                <w:sz w:val="18"/>
                <w:szCs w:val="18"/>
                <w:color w:val="auto"/>
              </w:rPr>
            </w:pPr>
          </w:p>
        </w:tc>
        <w:tc>
          <w:tcPr>
            <w:tcW w:w="21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Probable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2120" w:type="dxa"/>
            <w:vAlign w:val="bottom"/>
            <w:shd w:val="clear" w:color="auto" w:fill="EEEEEE"/>
          </w:tcPr>
          <w:p>
            <w:pPr>
              <w:jc w:val="right"/>
              <w:ind w:right="19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center"/>
              <w:ind w:right="780"/>
              <w:spacing w:after="0"/>
              <w:rPr>
                <w:sz w:val="20"/>
                <w:szCs w:val="20"/>
                <w:color w:val="auto"/>
              </w:rPr>
            </w:pPr>
            <w:r>
              <w:rPr>
                <w:rFonts w:ascii="Times New Roman" w:cs="Times New Roman" w:eastAsia="Times New Roman" w:hAnsi="Times New Roman"/>
                <w:sz w:val="18"/>
                <w:szCs w:val="18"/>
                <w:color w:val="auto"/>
                <w:w w:val="99"/>
              </w:rPr>
              <w:t>Probable</w:t>
            </w:r>
          </w:p>
        </w:tc>
        <w:tc>
          <w:tcPr>
            <w:tcW w:w="46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23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1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w:t>
            </w:r>
          </w:p>
        </w:tc>
        <w:tc>
          <w:tcPr>
            <w:tcW w:w="600" w:type="dxa"/>
            <w:vAlign w:val="bottom"/>
          </w:tcPr>
          <w:p>
            <w:pPr>
              <w:spacing w:after="0"/>
              <w:rPr>
                <w:sz w:val="20"/>
                <w:szCs w:val="20"/>
                <w:color w:val="auto"/>
              </w:rPr>
            </w:pPr>
          </w:p>
        </w:tc>
        <w:tc>
          <w:tcPr>
            <w:tcW w:w="21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95.65%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–10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2.93%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total fair value of the Option Grants was $3.2 million of which, at December 31, 2023, $2.3 million is deemed probable of vesting.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quarter ended December 31, 2024, the Company reassessed the expected timing of meeting the performance conditions. According to ASC 718-10-55-78, since the number of awards expected to vest and the fair value remained unchanged with the new estimate, the adjustment only affected the recognition timing. Therefore, the Company will apply the prospective approach to record the adjustment. As of December 31, 2024, none of the options had vested. For the three and six months ended December 31, 2024, the Company recorded $75,302 and $185,684 of stock-based compensation expense related to the Option Grants. For the three and six months ended December 31, 2023, the Company recorded $110,382 and $220,764 of stock-based compensation expense related to the Option Grants. As of December 31, 2024, unrecognized compensation cost related to tranches probable of vesting is approximately $1.1 million and will be recognized over two years to nine years, depending on the tranche.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29, 2024, the board of directors (the “Board”) of the Company, based on the recommendation of the compensation committee of the Board, approved a grant of 1,200,000 stock options (the “2024 Stock Options”) issuable to Chenlong Tan, the Company’s Chief Executive Officer, pursuant to the terms of the iPower Inc. Amended and Restated 2020 Equity Incentive Plan (the “Plan”). Following the Board’s approval, Mr. Tan and the Company entered into a stock option award agreement (the "Stock Option Award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Stock Option Award Agreement, and subject to the terms and conditions of the Stock Option Award Agreement and the Plan, upon vesting of the 2024 Stock Options, Mr. Tan will have the option to purchase common stock, par value $0.001 per share of the Company, at an exercise price of $1.43 per share (which is 110% of the Fair Market Value of the stock on the grant date). The 2024 Stock Options have a term of 10 years and will vest as follows: 30,000 2024 Stock Options vested on the grant date (August 29, 2024), and 32,500 2024 Stock Options will vest on the first day of each month from September 1, 2024, to August 1,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grant date, a Black-Scholes Model was used to determine the fair value of the 2024 Stock Options with the following inputs: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$1.30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 $1.43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101%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–5.71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3.66%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the 2024 Stock Options was $1.22 million as of the grant date. For the three and six months ended December 31, 2024, 97,500 and 160,000 stock options were vested and the Company recorded $99,512 and $163,302 as stock compensation expense. As of December 31, 2024, the unrecognized compensation cost of the 2024 Stock Options was approximately $1.06 million and will be recognized monthly through August 1,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warrants held by the Convertible Note investors were reclassified to additional paid in capital as the terms became fixed upon closing of the IPO. Through December 31, 2023, none of the private placement investors exercised any of their warrants and the warrants expired in May 2024. As such, there were no warrants outstanding as of December 31, 2024 and June 30,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16 -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June 30, 2024, $2,877,457 and $7,377,837, respectively, were deposited with various major financial institutions in the United States and PRC. Accounts at each institution in the United States are insured by the Federal Deposit Insurance Corporation (FDIC) for up to $250,000. The Company had approximately $1.4 million and $5.8 million, respectively, in excess of the FDIC insurance limit, as of December 31, 2024 and June 30,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DHS, the Company’s VIE, may be impacted by Chinese economic conditions, changes in regulations and laws, and other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2024 and 2023, Amazon Vendor and Amazon Seller customers accounted for 91% and 95% of the Company's total revenues, respectively. As of December 31, 2024 and June 30, 2024, accounts receivable from Amazon Vendor and Amazon Seller accounted for 80% and 91% of the Company’s total accounts receivable.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2024 and 2023, one supplier accounted for 8% and 11% of the Company's total purchases, respectively. As of December 31, 2024 and June 30, 2024, accounts payable to one supplier accounted for 12% and 42% of the Company’s total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 On December 21, 2023, the lease expired without renewal.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2020, in addition to the primary fulfillment center, the Company leased a second fulfillment center in City of Industry, California. The base rental fee was $27,921 to $29,910 per month through October 31, 2023. On October 31, 2023, the lease expired without renewal.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an operating lease for offices located in the People’s Republic of China. In July 2023, the Company renewed the lease contract for its existing office plus additional office space. The lease term is for three years expiring on July 14, 2026. The total base rental fee for these offices is approximately $19,406 per month. In September 2024, the Company terminated the lease contract of the office space.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The lease did not start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is $114,249, increasing gradually over time to $140,079 per month through the expiration date of May 31, 2028.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2022, the Company leased another fulfillment center in Duarte, California. The base rental fee is $56,000 to $59,410 per month through April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2024, DHS entered into a sublease agreement with a third-party entity for office space in Shenzhen. The lease term is for one year from October 1, 2024 to September 30, 2025. The lease is treated as short-term lease and the base rental fee is approximately $10,000 per month.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commitment for the full term of these leases is $12,651,376. The financial statements reflected $4,757,429 and $6,124,163, respectively, of operating lease right-of-use assets, and $5,153,380 and $6,549,110, respectively, of operating lease liabilities as of December 31, 2024 and June 30,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December 31, 2024 and 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5"/>
        </w:trPr>
        <w:tc>
          <w:tcPr>
            <w:tcW w:w="7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cost</w:t>
            </w:r>
          </w:p>
        </w:tc>
        <w:tc>
          <w:tcPr>
            <w:tcW w:w="220" w:type="dxa"/>
            <w:vAlign w:val="bottom"/>
            <w:tcBorders>
              <w:bottom w:val="single" w:sz="8" w:color="EEEEE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20" w:type="dxa"/>
            <w:vAlign w:val="bottom"/>
            <w:tcBorders>
              <w:bottom w:val="single" w:sz="8" w:color="EEEEE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12/31/2023</w:t>
            </w:r>
          </w:p>
        </w:tc>
      </w:tr>
      <w:tr>
        <w:trPr>
          <w:trHeight w:val="210"/>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534,836</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739,557</w:t>
            </w: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6"/>
        </w:trPr>
        <w:tc>
          <w:tcPr>
            <w:tcW w:w="132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9"/>
              </w:rPr>
              <w:t>Other information</w:t>
            </w:r>
          </w:p>
        </w:tc>
        <w:tc>
          <w:tcPr>
            <w:tcW w:w="61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420" w:type="dxa"/>
            <w:vAlign w:val="bottom"/>
            <w:tcBorders>
              <w:bottom w:val="single" w:sz="8" w:color="EEEEEE"/>
            </w:tcBorders>
            <w:shd w:val="clear" w:color="auto" w:fill="EEEEEE"/>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544,820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742,427</w:t>
            </w: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0.33 – 3.42</w:t>
            </w: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1.33 – 4.42</w:t>
            </w: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5 - 6%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5 - 8%</w:t>
            </w:r>
          </w:p>
        </w:tc>
      </w:tr>
      <w:tr>
        <w:trPr>
          <w:trHeight w:val="41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 months Ended December 31, 2024 and 2023: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Lease cost</w:t>
            </w:r>
          </w:p>
        </w:tc>
        <w:tc>
          <w:tcPr>
            <w:tcW w:w="220" w:type="dxa"/>
            <w:vAlign w:val="bottom"/>
            <w:tcBorders>
              <w:bottom w:val="single" w:sz="8" w:color="EE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100" w:type="dxa"/>
            <w:vAlign w:val="bottom"/>
            <w:tcBorders>
              <w:bottom w:val="single" w:sz="8" w:color="auto"/>
            </w:tcBorders>
          </w:tcPr>
          <w:p>
            <w:pPr>
              <w:spacing w:after="0"/>
              <w:rPr>
                <w:sz w:val="20"/>
                <w:szCs w:val="20"/>
                <w:color w:val="auto"/>
              </w:rPr>
            </w:pPr>
          </w:p>
        </w:tc>
      </w:tr>
      <w:tr>
        <w:trPr>
          <w:trHeight w:val="210"/>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1,264,477</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1,532,546</w:t>
            </w:r>
          </w:p>
        </w:tc>
      </w:tr>
      <w:tr>
        <w:trPr>
          <w:trHeight w:val="216"/>
        </w:trPr>
        <w:tc>
          <w:tcPr>
            <w:tcW w:w="13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32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9"/>
              </w:rPr>
              <w:t>Other information</w:t>
            </w:r>
          </w:p>
        </w:tc>
        <w:tc>
          <w:tcPr>
            <w:tcW w:w="61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1,285,143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1,529,857</w:t>
            </w:r>
          </w:p>
        </w:tc>
      </w:tr>
      <w:tr>
        <w:trPr>
          <w:trHeight w:val="216"/>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0.33 – 3.42</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1.33 – 4.42</w:t>
            </w:r>
          </w:p>
        </w:tc>
      </w:tr>
      <w:tr>
        <w:trPr>
          <w:trHeight w:val="234"/>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5 - 6%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r>
      <w:tr>
        <w:trPr>
          <w:trHeight w:val="6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bottom w:val="single" w:sz="8" w:color="EEEEE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6/30/2024</w:t>
            </w:r>
          </w:p>
        </w:tc>
        <w:tc>
          <w:tcPr>
            <w:tcW w:w="100" w:type="dxa"/>
            <w:vAlign w:val="bottom"/>
            <w:tcBorders>
              <w:bottom w:val="single" w:sz="8" w:color="auto"/>
            </w:tcBorders>
          </w:tcPr>
          <w:p>
            <w:pPr>
              <w:spacing w:after="0"/>
              <w:rPr>
                <w:sz w:val="24"/>
                <w:szCs w:val="24"/>
                <w:color w:val="auto"/>
              </w:rPr>
            </w:pPr>
          </w:p>
        </w:tc>
      </w:tr>
      <w:tr>
        <w:trPr>
          <w:trHeight w:val="223"/>
        </w:trPr>
        <w:tc>
          <w:tcPr>
            <w:tcW w:w="74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asset - non-current</w:t>
            </w:r>
          </w:p>
        </w:tc>
        <w:tc>
          <w:tcPr>
            <w:tcW w:w="220" w:type="dxa"/>
            <w:vAlign w:val="bottom"/>
            <w:shd w:val="clear" w:color="auto" w:fill="EEEEEE"/>
          </w:tcPr>
          <w:p>
            <w:pPr>
              <w:spacing w:after="0"/>
              <w:rPr>
                <w:sz w:val="19"/>
                <w:szCs w:val="19"/>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4,757,429</w:t>
            </w:r>
          </w:p>
        </w:tc>
        <w:tc>
          <w:tcPr>
            <w:tcW w:w="220" w:type="dxa"/>
            <w:vAlign w:val="bottom"/>
            <w:shd w:val="clear" w:color="auto" w:fill="EEEEEE"/>
          </w:tcPr>
          <w:p>
            <w:pPr>
              <w:spacing w:after="0"/>
              <w:rPr>
                <w:sz w:val="19"/>
                <w:szCs w:val="19"/>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6,124,163</w:t>
            </w:r>
          </w:p>
        </w:tc>
      </w:tr>
      <w:tr>
        <w:trPr>
          <w:trHeight w:val="20"/>
        </w:trPr>
        <w:tc>
          <w:tcPr>
            <w:tcW w:w="13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Lease Liability –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operating lease liabilities</w:t>
      </w:r>
    </w:p>
    <w:p>
      <w:pPr>
        <w:spacing w:after="0" w:line="20" w:lineRule="exact"/>
        <w:rPr>
          <w:sz w:val="20"/>
          <w:szCs w:val="20"/>
          <w:color w:val="auto"/>
        </w:rPr>
      </w:pPr>
      <w:r>
        <w:rPr>
          <w:sz w:val="20"/>
          <w:szCs w:val="20"/>
          <w:color w:val="auto"/>
        </w:rPr>
        <w:br w:type="column"/>
      </w:r>
    </w:p>
    <w:p>
      <w:pPr>
        <w:jc w:val="both"/>
        <w:ind w:left="860"/>
        <w:spacing w:after="0"/>
        <w:tabs>
          <w:tab w:leader="none" w:pos="2740" w:val="left"/>
        </w:tabs>
        <w:rPr>
          <w:sz w:val="20"/>
          <w:szCs w:val="20"/>
          <w:color w:val="auto"/>
        </w:rPr>
      </w:pPr>
      <w:r>
        <w:rPr>
          <w:rFonts w:ascii="Times New Roman" w:cs="Times New Roman" w:eastAsia="Times New Roman" w:hAnsi="Times New Roman"/>
          <w:sz w:val="18"/>
          <w:szCs w:val="18"/>
          <w:color w:val="auto"/>
        </w:rPr>
        <w:t>1,540,624</w:t>
      </w:r>
      <w:r>
        <w:rPr>
          <w:sz w:val="20"/>
          <w:szCs w:val="20"/>
          <w:color w:val="auto"/>
        </w:rPr>
        <w:tab/>
      </w:r>
      <w:r>
        <w:rPr>
          <w:rFonts w:ascii="Times New Roman" w:cs="Times New Roman" w:eastAsia="Times New Roman" w:hAnsi="Times New Roman"/>
          <w:sz w:val="18"/>
          <w:szCs w:val="18"/>
          <w:color w:val="auto"/>
        </w:rPr>
        <w:t>2,039,301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both"/>
        <w:ind w:left="860"/>
        <w:spacing w:after="0"/>
        <w:tabs>
          <w:tab w:leader="none" w:pos="2740" w:val="left"/>
        </w:tabs>
        <w:rPr>
          <w:sz w:val="20"/>
          <w:szCs w:val="20"/>
          <w:color w:val="auto"/>
        </w:rPr>
      </w:pPr>
      <w:r>
        <w:rPr>
          <w:rFonts w:ascii="Times New Roman" w:cs="Times New Roman" w:eastAsia="Times New Roman" w:hAnsi="Times New Roman"/>
          <w:sz w:val="18"/>
          <w:szCs w:val="18"/>
          <w:color w:val="auto"/>
        </w:rPr>
        <w:t>3,612,756</w:t>
      </w:r>
      <w:r>
        <w:rPr>
          <w:sz w:val="20"/>
          <w:szCs w:val="20"/>
          <w:color w:val="auto"/>
        </w:rPr>
        <w:tab/>
      </w:r>
      <w:r>
        <w:rPr>
          <w:rFonts w:ascii="Times New Roman" w:cs="Times New Roman" w:eastAsia="Times New Roman" w:hAnsi="Times New Roman"/>
          <w:sz w:val="18"/>
          <w:szCs w:val="18"/>
          <w:color w:val="auto"/>
        </w:rPr>
        <w:t>4,509,809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14605</wp:posOffset>
            </wp:positionV>
            <wp:extent cx="71323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tabs>
          <w:tab w:leader="none" w:pos="840" w:val="left"/>
          <w:tab w:leader="none" w:pos="1880" w:val="left"/>
          <w:tab w:leader="none" w:pos="2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5,153,380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6,549,110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22028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are as follows: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9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Operating</w:t>
            </w:r>
          </w:p>
        </w:tc>
      </w:tr>
      <w:tr>
        <w:trPr>
          <w:trHeight w:val="234"/>
        </w:trPr>
        <w:tc>
          <w:tcPr>
            <w:tcW w:w="95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Lease</w:t>
            </w:r>
          </w:p>
        </w:tc>
      </w:tr>
      <w:tr>
        <w:trPr>
          <w:trHeight w:val="209"/>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For Year ending June 30:</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990,690</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1,533,918</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1,586,572</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1,459,409</w:t>
            </w:r>
          </w:p>
        </w:tc>
      </w:tr>
      <w:tr>
        <w:trPr>
          <w:trHeight w:val="229"/>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interest/present value discount</w:t>
            </w:r>
          </w:p>
        </w:tc>
        <w:tc>
          <w:tcPr>
            <w:tcW w:w="2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(417,209)</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5,153,380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As of December 31, 2023, the Company cannot reasonably estimate the amount of potential exposure.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2024, the Company and D.A. Davidson &amp; Co entered into a settlement agreement and mutual release (the “Settlement Agreement”) with Boustead Securities, LLC (“Boustead”) and its current and former employees, officers, directors, partners, agents and affiliates, pursuant to which all parties agreed to release all claims in exchange for the Company’s payment of $1.3 million (the “Settlement Amount”) to Boustead. The Settlement Agreement was entered into for purposes of settling in full the FINRA Arbitration (FINRA Case No. 22-01133) which had been brought by Boustead against the Company and D.A. Davidson after the Company opted not to complete its initial public offering with Boustead but instead engaged and completed its initial public offering with D.A. Davidson. Pursuant to the terms of the Settlement Agreement, the Company is required to pay the Settlement Amount in four equal installments of $325,000 on each of April 3, 2024, May 3, 2024, June 3, 2024 and July 3, 2024. Within five days of its receipt of the final payment, or by July 8, 2024, Boustead will be obligated to dismiss the FINRA Arbitration against the Company, with prejudice, after which time the Company will be required to dismiss, with prejudice, all counterclaims brought by the Company against Boustead. For the year ended June 30, 2024, the Company considered and concluded that the Settlement Amount of $1.3 million was incremental costs directly associated with the IPO under ASC 340-10-S99-1 and so recorded as offering costs against additional paid-in capital. As of June 30, 2024, the outstanding balance of the Settlement Amount was $325,000. As of December 31, 2024, the Settlement Amount had been paid off and the parties have formally withdrawn all of the complaints that were before FINRA, with prejudice, and the matter is settled in full.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entry into the Settlement Agreement, the Company’s CEO and co-founder, Chenlong Tan, and Allan Huang, also a co-founder of the Company, entered into a pledge agreement (the “Pledge Agreement”) with the Company pursuant to which they each pledged 1,300,000 shares of their iPower common stock, for a total of 2,600,000 shares (the “Pledged Shares”), in order that the Company may, from time to time, sell such Pledged Shares into the market on behalf of Messrs. Tan and Huang in order to recoup the Settlement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2024, calculating the shares at $2.40, Messrs. Tan and Huang returned a total of 541,667 shares as indemnification payment to the Company for cancellation (the “Share Cancellation”). The Share Cancellation was completed in June 2024.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and the resulting inventory level increase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2020, the Company entered into an agreement with Royal Business Bank (the “Lender”) for a total amount of $175,500, pursuant to a promissory note issued by the Company to the Lender (the “PPP Note”). The loan was made pursuant to the Payroll Protection Program established as part of the Coronavirus Aid, Relief and Economic Security Act (the “CARES Act”). On March 22, 2021, the $175,500 PPP Note due to Royal Business Bank was fully forgiven by the Small Business Administration (“SBA”).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unaudited condensed consolidated financial statements were available to be issued. Other than as set forth below, there were no material subsequent events that required recognition or additional disclosure in the unaudited condensed consolidated financial statements presented.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2025, the Company received a letter from the Nasdaq Listing Qualifications Staff of The Nasdaq Stock Market LLC (“Nasdaq”) stating that for the 30 consecutive business day period between November 15, 2024 to December 31, 2024,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July 1, 2025 (the “Compliance Period”), to regain compliance with the Minimum Bid Price Requirement. To regain compliance, the closing bid price of the Company’s common stock must meet or exceed $1.00 per share for a minimum of ten consecutive trading days, unless such period is extended by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(the “MD&amp;A”) should be read in conjunction with our unaudited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Driven by technology and data, iPower Inc. (“iPower,” “we,” “us,” or “the Company”) is an online supplier of consumer goods, including hydroponics equipment, general gardening supplies and consumer home goods. Through the operations of our e-commerce platforms and channel partners, and our combined 121,000 sq. ft. of fulfillment centers in Rancho Cucamonga and Los Angeles,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customer base as well as brand and product development. iPower has developed a set of methodologies driven by proprietary data formulas to effectively bring products to market and sales.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are actively developing our in-house branded products and through supply chain partners, which to date include the </w:t>
      </w:r>
      <w:r>
        <w:rPr>
          <w:rFonts w:ascii="Times New Roman" w:cs="Times New Roman" w:eastAsia="Times New Roman" w:hAnsi="Times New Roman"/>
          <w:sz w:val="18"/>
          <w:szCs w:val="18"/>
          <w:b w:val="1"/>
          <w:bCs w:val="1"/>
          <w:color w:val="auto"/>
        </w:rPr>
        <w:t>iPower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Simple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Deluxe </w:t>
      </w:r>
      <w:r>
        <w:rPr>
          <w:rFonts w:ascii="Times New Roman" w:cs="Times New Roman" w:eastAsia="Times New Roman" w:hAnsi="Times New Roman"/>
          <w:sz w:val="18"/>
          <w:szCs w:val="18"/>
          <w:color w:val="auto"/>
        </w:rPr>
        <w:t>brands and more, some of which have been designated as Amazon best seller product leaders and Amazon Choice products,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increase investments in product and brand development. We actively evaluate potential acquisition opportunities of companies and product brand names that can complement our product catalog and improve our existing products and supply chain efficiencies.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Disruption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conflicts between Russia and Ukraine and Israel and Hamas may nonetheless increase the likelihood of supply chain disruptions and hinder our ability to find the materials we need to make our products. Thus far, as a result of the general global economic disruptions, we have experienced a decrease in the speed with which we are able to purchase new inventory, as well as an increase in costs due to delays in shipping, as well as a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Among our suite of products, 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Demand for our products could be impacted by changes in the regulatory environment with respect to such industries and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December 31, 2024 and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8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20"/>
                <w:szCs w:val="20"/>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6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 – product sales</w:t>
            </w:r>
          </w:p>
        </w:tc>
        <w:tc>
          <w:tcPr>
            <w:tcW w:w="1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17,606,889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16,800,122</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Revenues – service income</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1,465,682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19,072,571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16,800,122</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 – product costs</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9,461,119</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9,481,882</w:t>
            </w:r>
          </w:p>
        </w:tc>
        <w:tc>
          <w:tcPr>
            <w:tcW w:w="15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service costs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1,221,566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10,682,685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9,481,882</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8,389,886</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7,318,240</w:t>
            </w: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7,706,279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9,870,587</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09"/>
        </w:trPr>
        <w:tc>
          <w:tcPr>
            <w:tcW w:w="6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683,607</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(2,552,347)</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347,432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54,575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536.6%</w:t>
            </w:r>
          </w:p>
        </w:tc>
      </w:tr>
      <w:tr>
        <w:trPr>
          <w:trHeight w:val="210"/>
        </w:trPr>
        <w:tc>
          <w:tcPr>
            <w:tcW w:w="6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336,175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(2,606,922)</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(benefit)</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120,511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(688,939)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r>
      <w:tr>
        <w:trPr>
          <w:trHeight w:val="209"/>
        </w:trPr>
        <w:tc>
          <w:tcPr>
            <w:tcW w:w="6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215,664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(1,917,983)</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6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1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218,819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(1,914,828)</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156,130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(160,255)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r>
      <w:tr>
        <w:trPr>
          <w:trHeight w:val="209"/>
        </w:trPr>
        <w:tc>
          <w:tcPr>
            <w:tcW w:w="6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iPower Inc.</w:t>
            </w:r>
          </w:p>
        </w:tc>
        <w:tc>
          <w:tcPr>
            <w:tcW w:w="1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374,949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(2,075,083)</w:t>
            </w:r>
          </w:p>
        </w:tc>
        <w:tc>
          <w:tcPr>
            <w:tcW w:w="3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43.6%</w:t>
            </w: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 % of revenues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 of revenues</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December 31, 2024 increased 13.5% to $19,072,571 as compared to $16,800,122 for the three months ended December 31, 2023. While pricing remained stable and with the additional logistics service income, the increase mainly resulted from an increase in sales volume during the three months ended December 31, 2024 as compared to the three months ended December 31, 2023. This was further enhanced by growth in the Company’s SuperSuite supply chain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goods sold for the three months ended December 31, 2024 increased 12.7% to $10,682,685 as compared to $9,481,882 for the three months ended December 31, 2023. The increase was primarily due to the combination of an increase in the costs related to the logistics service income and a decrease in freight costs and lowered product costs resulted from management’s efforts on supply chain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December 31, 2024 was $8,389,886 as compared to $7,318,240 for the three months ended December 31, 2023. The gross profit ratio of the product sales revenues increased to 44.0% for the three months ended December 31, 2024 from 43.6% for the three months ended December 31, 2023. The increase in the gross profit ratio was mainly driven by the decrease in freight costs and lowered product costs resulted from management’s efforts on supply chain management during the three months ended December 31, 2024, as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8"/>
          <w:szCs w:val="18"/>
          <w:color w:val="auto"/>
        </w:rPr>
        <w:t>Operating expenses for the three months ended December 31, 2024 decreased 21.9% to $7,706,279 as compared to $9,870,587 for the three months ended December 31, 2023. The decrease was mainly due to the combination of a decrease in selling and fulfillment expenses of $2.3 million as a result of decreased costs related to advertising, merchant fees, rental expenses and delivery fees, and an increase in general and administrative expenses of $0.1 million, which included payroll expenses, stock-based compensation expense, insurance expenses, travel expenses and other operating expenses. Specifically the decrease in merchant fees was resulted from sales to different amazon vendor account mix. However, we cannot guarantee that this trend will continue.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p>
      <w:pPr>
        <w:spacing w:after="0" w:line="229"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Income (loss) from operations was $683,607 for the three months ended December 31, 2024 as compared to $(2,552,347) for the three months ended December 31, 2023. The increase in income was resulted from the combination of the increase in gross profit and the decrease in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expenses consist of interest expense and other non-operating income (expenses). Other expenses for the three months ended December 31, 2024 was $347,432 as compared to $54,575 for the three months ended December 31, 2023. The increase in other expenses was mainly due to the combination of an increase in other non-operating expenses of $334,796, including a foreign currency exchange loss of 45,580, and a decrease in interest, including amortization of debt discount, on the revolving loan of $41,940 during the three months ended December 31, 2024 resulted from the decreasing loan balance.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iPower Inc.</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Net income (loss) attributable to iPower Inc. for the three months ended December 31, 2024 was $218,819 as compared to $(1,914,828) for the three months ended December 31, 2023, representing an increase in net income of $2,133,647. The increase was primarily due to the combination of a decrease in the operating expenses and an increase in gross profit ratio as discussed above.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attributable to iPower Inc. for the three months ended December 31, 2024 was $374,949 as compared to $(2,075,083) for the three months ended December 31, 2023, representing an increase in comprehensive income of $2,450,032. The increase was due to the reasons discussed above, along with an increase in other comprehensive income of $316,384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December 31, 2024 and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15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54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15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0"/>
                <w:szCs w:val="20"/>
                <w:color w:val="auto"/>
              </w:rPr>
            </w:pPr>
          </w:p>
        </w:tc>
        <w:tc>
          <w:tcPr>
            <w:tcW w:w="14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 – product sales</w:t>
            </w:r>
          </w:p>
        </w:tc>
        <w:tc>
          <w:tcPr>
            <w:tcW w:w="15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35,882,301</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43,308,496</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Revenues – service income</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2,198,791</w:t>
            </w:r>
          </w:p>
        </w:tc>
        <w:tc>
          <w:tcPr>
            <w:tcW w:w="12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0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38,081,092</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43,308,496</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 – product costs</w:t>
            </w:r>
          </w:p>
        </w:tc>
        <w:tc>
          <w:tcPr>
            <w:tcW w:w="1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81"/>
              <w:spacing w:after="0"/>
              <w:rPr>
                <w:sz w:val="20"/>
                <w:szCs w:val="20"/>
                <w:color w:val="auto"/>
              </w:rPr>
            </w:pPr>
            <w:r>
              <w:rPr>
                <w:rFonts w:ascii="Times New Roman" w:cs="Times New Roman" w:eastAsia="Times New Roman" w:hAnsi="Times New Roman"/>
                <w:sz w:val="18"/>
                <w:szCs w:val="18"/>
                <w:color w:val="auto"/>
              </w:rPr>
              <w:t>19,378,567</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24,231,411</w:t>
            </w: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 service costs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1,824,742</w:t>
            </w:r>
          </w:p>
        </w:tc>
        <w:tc>
          <w:tcPr>
            <w:tcW w:w="12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0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21,203,309</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24,231,411</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81"/>
              <w:spacing w:after="0"/>
              <w:rPr>
                <w:sz w:val="20"/>
                <w:szCs w:val="20"/>
                <w:color w:val="auto"/>
              </w:rPr>
            </w:pPr>
            <w:r>
              <w:rPr>
                <w:rFonts w:ascii="Times New Roman" w:cs="Times New Roman" w:eastAsia="Times New Roman" w:hAnsi="Times New Roman"/>
                <w:sz w:val="18"/>
                <w:szCs w:val="18"/>
                <w:color w:val="auto"/>
              </w:rPr>
              <w:t>16,877,783</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19,077,085</w:t>
            </w: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18,940,610</w:t>
            </w:r>
          </w:p>
        </w:tc>
        <w:tc>
          <w:tcPr>
            <w:tcW w:w="12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22,898,109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1"/>
              <w:spacing w:after="0"/>
              <w:rPr>
                <w:sz w:val="20"/>
                <w:szCs w:val="20"/>
                <w:color w:val="auto"/>
              </w:rPr>
            </w:pPr>
            <w:r>
              <w:rPr>
                <w:rFonts w:ascii="Times New Roman" w:cs="Times New Roman" w:eastAsia="Times New Roman" w:hAnsi="Times New Roman"/>
                <w:sz w:val="18"/>
                <w:szCs w:val="18"/>
                <w:color w:val="auto"/>
              </w:rPr>
              <w:t>(2,062,827)</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(3,821,024)</w:t>
            </w:r>
          </w:p>
        </w:tc>
        <w:tc>
          <w:tcPr>
            <w:tcW w:w="14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269,627</w:t>
            </w:r>
          </w:p>
        </w:tc>
        <w:tc>
          <w:tcPr>
            <w:tcW w:w="12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351,131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(2,332,454)</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(4,172,155)</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(516,001)</w:t>
            </w:r>
          </w:p>
        </w:tc>
        <w:tc>
          <w:tcPr>
            <w:tcW w:w="12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(964,821)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(1,816,453)</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(3,207,334)</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(5,991)</w:t>
            </w:r>
          </w:p>
        </w:tc>
        <w:tc>
          <w:tcPr>
            <w:tcW w:w="12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(5,991)</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5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(1,810,462)</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(3,201,343)</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101,076</w:t>
            </w:r>
          </w:p>
        </w:tc>
        <w:tc>
          <w:tcPr>
            <w:tcW w:w="12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(160,962)</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162.8%</w:t>
            </w: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5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(1,709,386</w:t>
            </w:r>
          </w:p>
        </w:tc>
        <w:tc>
          <w:tcPr>
            <w:tcW w:w="360" w:type="dxa"/>
            <w:vAlign w:val="bottom"/>
            <w:tcBorders>
              <w:top w:val="single" w:sz="8" w:color="EEEEEE"/>
            </w:tcBorders>
            <w:shd w:val="clear" w:color="auto" w:fill="EEEEEE"/>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(3,362,305</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81"/>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44.0%</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 of revenues</w:t>
            </w:r>
          </w:p>
        </w:tc>
        <w:tc>
          <w:tcPr>
            <w:tcW w:w="1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six months ended December 31, 2024 decreased 12.1% to $38,081,092 as compared to $43,308,496 for the six months ended December 31, 2023. While pricing remained stable and with the additional logistics service income, the decreased revenue mainly resulted from a decrease in sales volume during the six months ended December 31, 2024 as the Company offered less promotions and clearance activities due to lower inventory level as compared to the six months ended December 31, 2023. This was partially offset by growth in the Company’s SuperSuite supply chain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goods sold for the six months ended December 31, 2024 decreased 12.5% to $21,203,309 as compared to $24,231,411 for the six months ended December 31, 2023. The decrease was primarily due to a combination of the costs related to the logistics service income and the decrease in sales, freight costs, and lowered product costs resulted from management’s efforts on supply chain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$16,877,783 for the six months ended December 31, 2024 as compared to $19,077,085 for the six months ended December 31, 2023. The gross profit ratio of the product sales revenues increased to 46.0% for the six months ended December 31, 2024 from 44.0% for the six months ended December 31, 2023. The increase in the gross profit ratio was mainly driven by the decrease in costs of goods sold during the six months ended December 31, 2024, as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expenses for the six months ended December 31, 2024 decreased 17.3% to $18,940,610 as compared to $22,898,109 for the six months ended December 31, 2023. The decrease was mainly due to the combination of a decrease in selling and fulfillment expenses of $6.5 million as a result of decreased costs related to advertising, merchant fees, rental expenses and delivery fees, and an increase in general and administrative expenses of $2.5 million, which included payroll expenses, stock-based compensation expense, insurance expenses, allowance for credit losses, travel expenses and other operating expenses. The increase in general and administrative expenses was mainly due to the expansion of our vendor network and development of the SuperSuite platform and an increased allowance for credit loss and inventory reserves of $1.8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Loss from operations was $2,062,827 for the six months ended December 31, 2024 as compared to $3,821,024 for the six months ended December 31, 2023. The decrease in loss from operations resulted from the decrease in operating expenses being greater than the decrease in gross profit with the improved gross profit ratio.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expenses for the six months ended December 31, 2024 was $269,627 as compared to $351,131 for the six months ended December 31, 2023. The decrease in other expenses was mainly due to the decrease in other non-operating income of $48,944, and the decrease in interest expenses, including amortization of debt discount, on the revolving loan of $130,343 during the six months ended December 31, 2024 as a result of the decreasing balance on the revolving loan.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Net loss attributable to iPower Inc. for the six months ended December 31, 2024 was $1,810,462 as compared to $3,201,343 for the six months ended December 31, 2023, representing a decrease in net loss of $1,390,881. The decrease was primarily due to the decrease in operating expenses being greater than the decrease in gross profit resulting in the improved gross profit ratio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six months ended December 31, 2024 was $1,709,386 as compared to $3,362,305 for the six months ended December 31, 2023, representing a decrease in comprehensive loss of $1,652,919. The decrease was due to the reasons discussed above, along with an increase in other comprehensive income of $262,037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six months ended December 31, 2024, we primarily funded our operations with cash and cash equivalents generated from operations, as well as through borrowing under our credit facility from JPMorgan Chase Bank (“JPM”). Additionally, on June 18, 2024, we closed on a registered direct offering of 2,083,334 shares of common stock (the “Shares”) and a concurrent private placement of warrants to purchase up to 2,083,334 shares of common stock (the “Warrants”), which Shares and Warrants were sold for aggregate gross proceeds of $5,000,002. As of December 31, 2024, we had cash and cash equivalents of $2,877,457, representing a $4,500,380 decrease from $7,377,837 in cash as of June 30, 2024. The cash decrease was primarily due to the result of cash used in operating activities and financing activities resulting from our payments to pay down the short-term loans - related party and the JPM revolving line of credit.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plans, we believe that our existing cash and cash equivalents and cash flows from operations will be sufficient to finance our operations during the next 12 months.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of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 operations normalize and new suppliers we are bringing online transition to credit terms more favorable to us. In addition, we plan to increase the size of our in-house product catalog, which will have a net beneficial impact to our margin profile and ability to generate cash. Currently, we have approximately $11.0 million in unused credit under the revolving line with JPM.</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Given our current working capital position and available funding from our revolving credit line and proceeds from our June registered direct offering, we believe we will be able to work through the current challenges by managing payment terms with customers and vendors.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June 30, 2024, our working capital was $13.8 million and $11.2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Our largest source of cash provided by operations is from sales of products. Our primary uses of cash from operating activities include payments to suppliers for products, to employees for compensation, and other general expenses. Net cash (used in) provided by operating activities for the six months ended December 31, 2024 and 2023 was $(1,387,926) and $5,045,731, respectively. The decrease in cash provided by operating activities mainly resulted from a decrease in cash received from customers and an increase in cash paid for costs of revenues and operating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December 31, 2024 and 2023 was $(664,366) and $0, respectively. The increase was due to the prepayments made for software developments during the six months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$2,558,389 and $7,175,000, respectively, for the six months ended December 31, 2024 and 2023. The decrease in net cash used in financing activities was primarily due to a decrease in payments on the revolving loan.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GAAP, and pursuant to the rules and regulations of the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revenues from service and product sales,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or completion of service, therefore, revenue from product sales is recognized when it is shipped to the customer and the revenue from services is recognized upon completion of services.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and the Company has discretion in establishing the price, revenue is recorded at gross.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sales are recorded.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which includes the amount withheld by sales channel partners and refundable to the Company. Based on historical an expected loss rate and status of negotiations with the sales channel partner, management reviews its accounts receivable balances each reporting period to determine if an allowance for credit loss is required.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and</w:t>
      </w:r>
    </w:p>
    <w:p>
      <w:pPr>
        <w:spacing w:after="0" w:line="225" w:lineRule="exact"/>
        <w:rPr>
          <w:rFonts w:ascii="Times New Roman" w:cs="Times New Roman" w:eastAsia="Times New Roman" w:hAnsi="Times New Roman"/>
          <w:sz w:val="18"/>
          <w:szCs w:val="18"/>
          <w:color w:val="auto"/>
        </w:rPr>
      </w:pPr>
    </w:p>
    <w:p>
      <w:pPr>
        <w:ind w:left="460" w:hanging="223"/>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overall economic conditions on our customers’ industry and businesses and their ability to pay our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 In late October 2024, the Company determined that the collectability of certain refundable amount withheld by sales channel partners was remote so the Company recorded additional allowance for credit losses of $41,346 and $1,516,940 for the three and six months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and fulfillment expenses. The Company regularly reviews inventory and considers forecasts of future demand, market conditions and product obsolescence.</w:t>
      </w:r>
    </w:p>
    <w:p>
      <w:pPr>
        <w:spacing w:after="0" w:line="16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which run for a term of 10 years from February 2022 to February 2032,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2024 and 2023, the Company performed a qualitative goodwill impairment analysis following the steps laid out in ASC 350-20-35-3C and noted no goodwill impairment. As of December 31, 2024 and June 30, 2024, the goodwill balance amounted to $3,034,110.</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December 31, 2024 include a covenant not to compete, supplier relationships and software recognized as part of the acquisition of Anivia. Intangible assets are recorded at the estimated fair value of these items at the date of acquisition, February 15, 2022. Intangible assets are amortized on a straight-line basis over their estimated useful life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Borders>
              <w:bottom w:val="single" w:sz="8" w:color="EEEEEE"/>
            </w:tcBorders>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09"/>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3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31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December 31, 2024 and 2023, there were no indicators of impairment.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quarter ended December 31, 2024 that have materially affected, or are reasonably likely to materially affect, our internal controls over financial reporting.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UHY LLP, our independent registered public accounting firm, is not required to and has not provided an assessment concerning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We are not presently party to any pending or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18"/>
          <w:szCs w:val="18"/>
          <w:color w:val="auto"/>
        </w:rPr>
        <w:t>We refer to Part I, Item 1A, Risk Factors, of our Annual Report for a detailed description of our significant risk factors. Other than the risk factor disclosed in this Item 1A below, there have been no significant changes to these risk factors during the quarter ended December 31, 2024.</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 2025, the Company received a letter from the Nasdaq Listing Qualifications Staff of The Nasdaq Stock Market LLC (“Nasdaq”) stating that for the 30 consecutive business day period between November 15, 2024 to December 31, 2024,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July 1, 2025 (the “Compliance Period”), to regain compliance with the Minimum Bid Price Requirement. To regain compliance, the closing bid price of the Company’s common stock must meet or exceed $1.00 per share for a minimum of ten consecutive trading days, unless such period is extended by Nasdaq.</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does not regain compliance with the Minimum Bid Price Requirement by July 1, 2025, the Company may be eligible for additional time. To qualify, the Company will be required to meet the continued listing requirement for market value of publicly held shares and all other initial listing standards for The Nasdaq Capital Market, with the exception of the Minimum Bid Price Requirement, and will need to provide written notice of its intention to cure the deficiency during the second compliance period by effecting a reverse stock split, if necessary.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cannot regain compliance during the Compliance Period or any subsequently granted compliance period, Nasdaq will provide the Company with notice that its common stock will be subject to delisting. At that time, the Company may appeal the Nasdaq’s delisting determination to a Nasdaq Hearings Panel. While Nasdaq’s notice to the Company of noncompliance has no immediate effect on the listing of our common stock and our common stock will continue to be listed on The Nasdaq Capital Market under the symbol “IPW,” there can be no assurance that we will regain compliance with the Minimum Bid Price Requirement or maintain compliance with any of the other Nasdaq continued listing requirements. We will continue to monitor the closing bid price of our common stock and may, if appropriate, consider available options to regain compliance with the Minimum Bid Price Requirement.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significant tariffs or other restrictions are placed on imports to the U.S., including tariffs and/or import restrictions from China, or if any retaliatory trade measures are taken by China or other countries, our business and results of operations could be materially and adversely affected.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products are manufactured and supplied by unaffiliated third parties, most of which are located in China. This concentration exposes us to risks associated with doing business globally, including risks related to changes in tariffs or the imposition of other trade barriers. Any alteration of trade agreements and terms between China and the U.S., including limiting trade with China, imposing additional tariffs on imports from China and potentially imposing other restrictions on imports from other countries to the U.S., may result in further or higher tariffs, or retaliatory trade measures by China, all of which could have a material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our fiscal quarter ended December 31, 2024, none of our directors or officers informed us of the adoption or termination of a “Rule 10b5-1 trading arrangement” or “non-Rule 10b5-1 trading arrangement” as those terms are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60" w:type="dxa"/>
            <w:vAlign w:val="bottom"/>
          </w:tcPr>
          <w:p>
            <w:pPr>
              <w:spacing w:after="0"/>
              <w:rPr>
                <w:sz w:val="17"/>
                <w:szCs w:val="17"/>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7"/>
                <w:szCs w:val="17"/>
                <w:color w:val="auto"/>
              </w:rPr>
            </w:pPr>
          </w:p>
        </w:tc>
        <w:tc>
          <w:tcPr>
            <w:tcW w:w="10000" w:type="dxa"/>
            <w:vAlign w:val="bottom"/>
            <w:gridSpan w:val="6"/>
          </w:tcPr>
          <w:p>
            <w:pPr>
              <w:ind w:left="20"/>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 xml:space="preserve">Sixth Amended and Restated Articles of Incorporation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May 5, 2021).</w:t>
            </w:r>
          </w:p>
        </w:tc>
        <w:tc>
          <w:tcPr>
            <w:tcW w:w="4880" w:type="dxa"/>
            <w:vAlign w:val="bottom"/>
            <w:gridSpan w:val="2"/>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6"/>
                <w:szCs w:val="16"/>
                <w:color w:val="auto"/>
              </w:rPr>
            </w:pPr>
          </w:p>
        </w:tc>
        <w:tc>
          <w:tcPr>
            <w:tcW w:w="10000" w:type="dxa"/>
            <w:vAlign w:val="bottom"/>
            <w:gridSpan w:val="6"/>
          </w:tcPr>
          <w:p>
            <w:pPr>
              <w:ind w:left="20"/>
              <w:spacing w:after="0" w:line="194"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 xml:space="preserve">Second Amended and Restated Bylaws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2 the Registration</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Statement on Form S-1 filed April 27, 2021).</w:t>
            </w:r>
          </w:p>
        </w:tc>
        <w:tc>
          <w:tcPr>
            <w:tcW w:w="5980" w:type="dxa"/>
            <w:vAlign w:val="bottom"/>
            <w:gridSpan w:val="3"/>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16"/>
                <w:szCs w:val="16"/>
                <w:color w:val="auto"/>
              </w:rPr>
            </w:pPr>
          </w:p>
        </w:tc>
        <w:tc>
          <w:tcPr>
            <w:tcW w:w="1000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8"/>
                <w:szCs w:val="18"/>
                <w:color w:val="0000EE"/>
              </w:rPr>
              <w:t xml:space="preserve">Certification of Chief Executive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2860" w:type="dxa"/>
            <w:vAlign w:val="bottom"/>
            <w:tcBorders>
              <w:left w:val="single" w:sz="8" w:color="0000EE"/>
            </w:tcBorders>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7"/>
                <w:szCs w:val="17"/>
                <w:color w:val="auto"/>
              </w:rPr>
            </w:pPr>
          </w:p>
        </w:tc>
        <w:tc>
          <w:tcPr>
            <w:tcW w:w="100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Certification of Chief Financial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80" w:type="dxa"/>
            <w:vAlign w:val="bottom"/>
            <w:gridSpan w:val="4"/>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17"/>
                <w:szCs w:val="17"/>
                <w:color w:val="auto"/>
              </w:rPr>
            </w:pPr>
          </w:p>
        </w:tc>
        <w:tc>
          <w:tcPr>
            <w:tcW w:w="1000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5"/>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17"/>
                <w:szCs w:val="17"/>
                <w:color w:val="auto"/>
              </w:rPr>
            </w:pPr>
          </w:p>
        </w:tc>
        <w:tc>
          <w:tcPr>
            <w:tcW w:w="1000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5"/>
          </w:tcPr>
          <w:p>
            <w:pPr>
              <w:spacing w:after="0" w:line="20" w:lineRule="exact"/>
              <w:rPr>
                <w:sz w:val="1"/>
                <w:szCs w:val="1"/>
                <w:color w:val="auto"/>
              </w:rPr>
            </w:pP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Data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100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24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2025</w:t>
            </w:r>
          </w:p>
        </w:tc>
        <w:tc>
          <w:tcPr>
            <w:tcW w:w="24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Chenlong Tan</w:t>
            </w:r>
          </w:p>
        </w:tc>
      </w:tr>
      <w:tr>
        <w:trPr>
          <w:trHeight w:val="191"/>
        </w:trPr>
        <w:tc>
          <w:tcPr>
            <w:tcW w:w="2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Chenlong Tan</w:t>
            </w:r>
          </w:p>
        </w:tc>
      </w:tr>
      <w:tr>
        <w:trPr>
          <w:trHeight w:val="234"/>
        </w:trPr>
        <w:tc>
          <w:tcPr>
            <w:tcW w:w="2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2025</w:t>
            </w:r>
          </w:p>
        </w:tc>
        <w:tc>
          <w:tcPr>
            <w:tcW w:w="2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Vassily</w:t>
            </w:r>
          </w:p>
        </w:tc>
      </w:tr>
      <w:tr>
        <w:trPr>
          <w:trHeight w:val="191"/>
        </w:trPr>
        <w:tc>
          <w:tcPr>
            <w:tcW w:w="2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Kevin Vassily</w:t>
            </w:r>
          </w:p>
        </w:tc>
      </w:tr>
      <w:tr>
        <w:trPr>
          <w:trHeight w:val="234"/>
        </w:trPr>
        <w:tc>
          <w:tcPr>
            <w:tcW w:w="2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firstLine="526"/>
        <w:spacing w:after="0" w:line="282" w:lineRule="auto"/>
        <w:tabs>
          <w:tab w:leader="none" w:pos="7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December 31, 2024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Kevin Vassily, certify that:</w:t>
      </w:r>
    </w:p>
    <w:p>
      <w:pPr>
        <w:spacing w:after="0" w:line="225" w:lineRule="exact"/>
        <w:rPr>
          <w:sz w:val="20"/>
          <w:szCs w:val="20"/>
          <w:color w:val="auto"/>
        </w:rPr>
      </w:pPr>
    </w:p>
    <w:p>
      <w:pPr>
        <w:ind w:firstLine="526"/>
        <w:spacing w:after="0" w:line="282" w:lineRule="auto"/>
        <w:tabs>
          <w:tab w:leader="none" w:pos="7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December 31, 2024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Vassily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iPower Inc. (the “Company”) on Form 10-Q pursuant to Rule 15d-2 Under the Securities Exchange Act of 1934 for the period ended December 31, 2024,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58" w:lineRule="exact"/>
        <w:rPr>
          <w:sz w:val="20"/>
          <w:szCs w:val="20"/>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14, 2025</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pursuant to Rule 15d-2 Under the Securities Exchange Act of 1934 for the period ended December 31, 2024,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14, 2025</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Ø"/>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9" Type="http://schemas.openxmlformats.org/officeDocument/2006/relationships/hyperlink" Target="https://www.sec.gov/Archives/edgar/data/1830072/000168316821001774/ipower_ex0303.htm" TargetMode="External"/><Relationship Id="rId70" Type="http://schemas.openxmlformats.org/officeDocument/2006/relationships/hyperlink" Target="https://www.sec.gov/Archives/edgar/data/1830072/000168316821001556/ipower_ex03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2025-02-14T09:23:46Z</dcterms:created>
  <dcterms:modified xsi:type="dcterms:W3CDTF">2025-02-14T09:23:46Z</dcterms:modified>
</cp:coreProperties>
</file>