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800" w:right="2280" w:hanging="3725"/>
        <w:spacing w:after="0" w:line="500" w:lineRule="auto"/>
        <w:tabs>
          <w:tab w:leader="none" w:pos="2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December 31,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2260" w:hanging="3085"/>
        <w:spacing w:after="0" w:line="500" w:lineRule="auto"/>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1"/>
        </w:trPr>
        <w:tc>
          <w:tcPr>
            <w:tcW w:w="5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5"/>
              </w:rPr>
              <w:t>8798 9</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Street</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Rancho Cucamonga, CA 91730</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(626) 863-7344</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5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6"/>
              </w:rPr>
              <w:t>IPW</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February 14, 2024 was 29,818,286.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00" w:type="dxa"/>
            <w:vAlign w:val="bottom"/>
            <w:gridSpan w:val="9"/>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12"/>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740" w:type="dxa"/>
            <w:vAlign w:val="bottom"/>
            <w:gridSpan w:val="14"/>
          </w:tcPr>
          <w:p>
            <w:pPr>
              <w:jc w:val="center"/>
              <w:ind w:right="2360"/>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0000EE"/>
              </w:rPr>
              <w:t>Unaudited Condensed Consolidated Financial Statements.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1006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December 31, 2023 and June 30, 2023</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EEEEEE"/>
          </w:tcPr>
          <w:p>
            <w:pPr>
              <w:spacing w:after="0"/>
              <w:rPr>
                <w:sz w:val="15"/>
                <w:szCs w:val="15"/>
                <w:color w:val="auto"/>
              </w:rPr>
            </w:pPr>
          </w:p>
        </w:tc>
        <w:tc>
          <w:tcPr>
            <w:tcW w:w="1006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 for the three and six months ended</w:t>
            </w:r>
          </w:p>
        </w:tc>
        <w:tc>
          <w:tcPr>
            <w:tcW w:w="6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Borders>
              <w:top w:val="single" w:sz="8" w:color="EEEEEE"/>
            </w:tcBorders>
            <w:shd w:val="clear" w:color="auto" w:fill="EEEEEE"/>
          </w:tcPr>
          <w:p>
            <w:pPr>
              <w:spacing w:after="0"/>
              <w:rPr>
                <w:sz w:val="18"/>
                <w:szCs w:val="18"/>
                <w:color w:val="auto"/>
              </w:rPr>
            </w:pPr>
          </w:p>
        </w:tc>
        <w:tc>
          <w:tcPr>
            <w:tcW w:w="9540" w:type="dxa"/>
            <w:vAlign w:val="bottom"/>
            <w:tcBorders>
              <w:top w:val="single" w:sz="8" w:color="0000EE"/>
            </w:tcBorders>
            <w:gridSpan w:val="21"/>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December 31, 2023 and 2022</w:t>
            </w:r>
          </w:p>
        </w:tc>
        <w:tc>
          <w:tcPr>
            <w:tcW w:w="520" w:type="dxa"/>
            <w:vAlign w:val="bottom"/>
            <w:tcBorders>
              <w:top w:val="single" w:sz="8" w:color="EEEEEE"/>
            </w:tcBorders>
            <w:gridSpan w:val="2"/>
            <w:shd w:val="clear" w:color="auto" w:fill="EEEEEE"/>
          </w:tcPr>
          <w:p>
            <w:pPr>
              <w:spacing w:after="0"/>
              <w:rPr>
                <w:sz w:val="18"/>
                <w:szCs w:val="18"/>
                <w:color w:val="auto"/>
              </w:rPr>
            </w:pPr>
          </w:p>
        </w:tc>
        <w:tc>
          <w:tcPr>
            <w:tcW w:w="600" w:type="dxa"/>
            <w:vAlign w:val="bottom"/>
            <w:tcBorders>
              <w:top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tcBorders>
              <w:bottom w:val="single" w:sz="8" w:color="EEEEEE"/>
            </w:tcBorders>
            <w:shd w:val="clear" w:color="auto" w:fill="EEEEEE"/>
          </w:tcPr>
          <w:p>
            <w:pPr>
              <w:spacing w:after="0"/>
              <w:rPr>
                <w:sz w:val="15"/>
                <w:szCs w:val="15"/>
                <w:color w:val="auto"/>
              </w:rPr>
            </w:pPr>
          </w:p>
        </w:tc>
        <w:tc>
          <w:tcPr>
            <w:tcW w:w="9620" w:type="dxa"/>
            <w:vAlign w:val="bottom"/>
            <w:tcBorders>
              <w:bottom w:val="single" w:sz="8" w:color="0000EE"/>
            </w:tcBorders>
            <w:gridSpan w:val="2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Equity for the three and six months ended December 31,</w:t>
            </w:r>
          </w:p>
        </w:tc>
        <w:tc>
          <w:tcPr>
            <w:tcW w:w="440" w:type="dxa"/>
            <w:vAlign w:val="bottom"/>
            <w:tcBorders>
              <w:bottom w:val="single" w:sz="8" w:color="EEEEEE"/>
            </w:tcBorders>
            <w:shd w:val="clear" w:color="auto" w:fill="EEEEEE"/>
          </w:tcPr>
          <w:p>
            <w:pPr>
              <w:spacing w:after="0"/>
              <w:rPr>
                <w:sz w:val="15"/>
                <w:szCs w:val="15"/>
                <w:color w:val="auto"/>
              </w:rPr>
            </w:pPr>
          </w:p>
        </w:tc>
        <w:tc>
          <w:tcPr>
            <w:tcW w:w="600" w:type="dxa"/>
            <w:vAlign w:val="bottom"/>
            <w:tcBorders>
              <w:bottom w:val="single" w:sz="8" w:color="EEEEEE"/>
            </w:tcBorders>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shd w:val="clear" w:color="auto" w:fill="EEEEEE"/>
          </w:tcPr>
          <w:p>
            <w:pPr>
              <w:spacing w:after="0"/>
              <w:rPr>
                <w:sz w:val="18"/>
                <w:szCs w:val="18"/>
                <w:color w:val="auto"/>
              </w:rPr>
            </w:pPr>
          </w:p>
        </w:tc>
        <w:tc>
          <w:tcPr>
            <w:tcW w:w="10060" w:type="dxa"/>
            <w:vAlign w:val="bottom"/>
            <w:gridSpan w:val="23"/>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2023 and 2022</w:t>
            </w:r>
          </w:p>
        </w:tc>
        <w:tc>
          <w:tcPr>
            <w:tcW w:w="600" w:type="dxa"/>
            <w:vAlign w:val="bottom"/>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1006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December 31, 2023 and 2022</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1006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0000EE"/>
              </w:rPr>
              <w:t>Controls and Procedures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5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6160" w:type="dxa"/>
            <w:vAlign w:val="bottom"/>
            <w:gridSpan w:val="12"/>
            <w:shd w:val="clear" w:color="auto" w:fill="EEEEEE"/>
          </w:tcPr>
          <w:p>
            <w:pPr>
              <w:jc w:val="center"/>
              <w:ind w:right="396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6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2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0000EE"/>
              </w:rPr>
              <w:t>Legal Proceedings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w:t>
            </w:r>
            <w:r>
              <w:rPr>
                <w:rFonts w:ascii="Times New Roman" w:cs="Times New Roman" w:eastAsia="Times New Roman" w:hAnsi="Times New Roman"/>
                <w:sz w:val="18"/>
                <w:szCs w:val="18"/>
                <w:color w:val="0000EE"/>
              </w:rPr>
              <w:t>Risk Factors</w:t>
            </w:r>
          </w:p>
        </w:tc>
        <w:tc>
          <w:tcPr>
            <w:tcW w:w="6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1A.</w:t>
            </w:r>
          </w:p>
        </w:tc>
        <w:tc>
          <w:tcPr>
            <w:tcW w:w="900" w:type="dxa"/>
            <w:vAlign w:val="bottom"/>
            <w:tcBorders>
              <w:top w:val="single" w:sz="8" w:color="0000EE"/>
            </w:tcBorders>
            <w:gridSpan w:val="3"/>
            <w:shd w:val="clear" w:color="auto" w:fill="EEEEEE"/>
          </w:tcPr>
          <w:p>
            <w:pPr>
              <w:spacing w:after="0"/>
              <w:rPr>
                <w:sz w:val="20"/>
                <w:szCs w:val="20"/>
                <w:color w:val="auto"/>
              </w:rPr>
            </w:pPr>
          </w:p>
        </w:tc>
        <w:tc>
          <w:tcPr>
            <w:tcW w:w="9160" w:type="dxa"/>
            <w:vAlign w:val="bottom"/>
            <w:tcBorders>
              <w:top w:val="single" w:sz="8" w:color="EEEEEE"/>
            </w:tcBorders>
            <w:gridSpan w:val="20"/>
            <w:shd w:val="clear" w:color="auto" w:fill="EEEEEE"/>
          </w:tcPr>
          <w:p>
            <w:pPr>
              <w:spacing w:after="0"/>
              <w:rPr>
                <w:sz w:val="20"/>
                <w:szCs w:val="20"/>
                <w:color w:val="auto"/>
              </w:rPr>
            </w:pPr>
          </w:p>
        </w:tc>
        <w:tc>
          <w:tcPr>
            <w:tcW w:w="6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0000EE"/>
              </w:rPr>
              <w:t>Unregistered Sale of Equity Securities and Use of Proceeds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0000EE"/>
              </w:rPr>
              <w:t>Defaults Upon Senior Securities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0000EE"/>
              </w:rPr>
              <w:t>Mine Safety Disclosures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color w:val="0000EE"/>
              </w:rPr>
              <w:t>Other Information</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0000EE"/>
              </w:rPr>
              <w:t>Exhibits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5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460" w:type="dxa"/>
            <w:vAlign w:val="bottom"/>
            <w:tcBorders>
              <w:top w:val="single" w:sz="8" w:color="EEEEEE"/>
            </w:tcBorders>
          </w:tcPr>
          <w:p>
            <w:pPr>
              <w:spacing w:after="0"/>
              <w:rPr>
                <w:sz w:val="18"/>
                <w:szCs w:val="18"/>
                <w:color w:val="auto"/>
              </w:rPr>
            </w:pPr>
          </w:p>
        </w:tc>
        <w:tc>
          <w:tcPr>
            <w:tcW w:w="1580" w:type="dxa"/>
            <w:vAlign w:val="bottom"/>
            <w:tcBorders>
              <w:top w:val="single" w:sz="8" w:color="EEEEEE"/>
            </w:tcBorders>
          </w:tcPr>
          <w:p>
            <w:pPr>
              <w:spacing w:after="0"/>
              <w:rPr>
                <w:sz w:val="18"/>
                <w:szCs w:val="18"/>
                <w:color w:val="auto"/>
              </w:rPr>
            </w:pPr>
          </w:p>
        </w:tc>
        <w:tc>
          <w:tcPr>
            <w:tcW w:w="10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EEEEEE"/>
          </w:tcPr>
          <w:p>
            <w:pPr>
              <w:spacing w:after="0"/>
              <w:rPr>
                <w:sz w:val="15"/>
                <w:szCs w:val="15"/>
                <w:color w:val="auto"/>
              </w:rPr>
            </w:pPr>
          </w:p>
        </w:tc>
        <w:tc>
          <w:tcPr>
            <w:tcW w:w="1006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5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13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58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December 31, 2023 and 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December 31,</w:t>
            </w:r>
          </w:p>
        </w:tc>
        <w:tc>
          <w:tcPr>
            <w:tcW w:w="300" w:type="dxa"/>
            <w:vAlign w:val="bottom"/>
          </w:tcPr>
          <w:p>
            <w:pPr>
              <w:spacing w:after="0"/>
              <w:rPr>
                <w:sz w:val="18"/>
                <w:szCs w:val="18"/>
                <w:color w:val="auto"/>
              </w:rPr>
            </w:pPr>
          </w:p>
        </w:tc>
        <w:tc>
          <w:tcPr>
            <w:tcW w:w="13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June 30,</w:t>
            </w:r>
          </w:p>
        </w:tc>
      </w:tr>
      <w:tr>
        <w:trPr>
          <w:trHeight w:val="216"/>
        </w:trPr>
        <w:tc>
          <w:tcPr>
            <w:tcW w:w="6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600" w:type="dxa"/>
            <w:vAlign w:val="bottom"/>
            <w:tcBorders>
              <w:bottom w:val="single" w:sz="8" w:color="auto"/>
            </w:tcBorders>
            <w:shd w:val="clear" w:color="auto" w:fill="EEEEEE"/>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6940" w:type="dxa"/>
            <w:vAlign w:val="bottom"/>
            <w:tcBorders>
              <w:bottom w:val="single" w:sz="8" w:color="EEEEEE"/>
            </w:tcBorders>
            <w:gridSpan w:val="2"/>
            <w:shd w:val="clear" w:color="auto" w:fill="EEEEEE"/>
          </w:tcPr>
          <w:p>
            <w:pPr>
              <w:spacing w:after="0"/>
              <w:rPr>
                <w:sz w:val="15"/>
                <w:szCs w:val="15"/>
                <w:color w:val="auto"/>
              </w:rPr>
            </w:pPr>
          </w:p>
        </w:tc>
        <w:tc>
          <w:tcPr>
            <w:tcW w:w="120" w:type="dxa"/>
            <w:vAlign w:val="bottom"/>
            <w:tcBorders>
              <w:bottom w:val="single" w:sz="8" w:color="EEEEEE"/>
            </w:tcBorders>
            <w:shd w:val="clear" w:color="auto" w:fill="EEEEEE"/>
          </w:tcPr>
          <w:p>
            <w:pPr>
              <w:spacing w:after="0"/>
              <w:rPr>
                <w:sz w:val="15"/>
                <w:szCs w:val="15"/>
                <w:color w:val="auto"/>
              </w:rPr>
            </w:pPr>
          </w:p>
        </w:tc>
        <w:tc>
          <w:tcPr>
            <w:tcW w:w="220" w:type="dxa"/>
            <w:vAlign w:val="bottom"/>
            <w:tcBorders>
              <w:bottom w:val="single" w:sz="8" w:color="EEEEEE"/>
            </w:tcBorders>
            <w:shd w:val="clear" w:color="auto" w:fill="EEEEEE"/>
          </w:tcPr>
          <w:p>
            <w:pPr>
              <w:spacing w:after="0"/>
              <w:rPr>
                <w:sz w:val="15"/>
                <w:szCs w:val="15"/>
                <w:color w:val="auto"/>
              </w:rPr>
            </w:pPr>
          </w:p>
        </w:tc>
        <w:tc>
          <w:tcPr>
            <w:tcW w:w="1360" w:type="dxa"/>
            <w:vAlign w:val="bottom"/>
            <w:tcBorders>
              <w:bottom w:val="single" w:sz="8" w:color="EEEEEE"/>
            </w:tcBorders>
            <w:shd w:val="clear" w:color="auto" w:fill="EEEEEE"/>
          </w:tcPr>
          <w:p>
            <w:pPr>
              <w:spacing w:after="0"/>
              <w:rPr>
                <w:sz w:val="15"/>
                <w:szCs w:val="15"/>
                <w:color w:val="auto"/>
              </w:rPr>
            </w:pPr>
          </w:p>
        </w:tc>
        <w:tc>
          <w:tcPr>
            <w:tcW w:w="320" w:type="dxa"/>
            <w:vAlign w:val="bottom"/>
            <w:tcBorders>
              <w:bottom w:val="single" w:sz="8" w:color="EEEEEE"/>
            </w:tcBorders>
            <w:shd w:val="clear" w:color="auto" w:fill="EEEEEE"/>
          </w:tcPr>
          <w:p>
            <w:pPr>
              <w:spacing w:after="0"/>
              <w:rPr>
                <w:sz w:val="15"/>
                <w:szCs w:val="15"/>
                <w:color w:val="auto"/>
              </w:rPr>
            </w:pPr>
          </w:p>
        </w:tc>
        <w:tc>
          <w:tcPr>
            <w:tcW w:w="300" w:type="dxa"/>
            <w:vAlign w:val="bottom"/>
            <w:tcBorders>
              <w:bottom w:val="single" w:sz="8" w:color="EEEEEE"/>
            </w:tcBorders>
            <w:shd w:val="clear" w:color="auto" w:fill="EEEEEE"/>
          </w:tcPr>
          <w:p>
            <w:pPr>
              <w:spacing w:after="0"/>
              <w:rPr>
                <w:sz w:val="15"/>
                <w:szCs w:val="15"/>
                <w:color w:val="auto"/>
              </w:rPr>
            </w:pPr>
          </w:p>
        </w:tc>
        <w:tc>
          <w:tcPr>
            <w:tcW w:w="1280" w:type="dxa"/>
            <w:vAlign w:val="bottom"/>
            <w:tcBorders>
              <w:bottom w:val="single" w:sz="8" w:color="EEEEEE"/>
            </w:tcBorders>
            <w:shd w:val="clear" w:color="auto" w:fill="EEEEEE"/>
          </w:tcPr>
          <w:p>
            <w:pPr>
              <w:spacing w:after="0"/>
              <w:rPr>
                <w:sz w:val="15"/>
                <w:szCs w:val="15"/>
                <w:color w:val="auto"/>
              </w:rPr>
            </w:pPr>
          </w:p>
        </w:tc>
        <w:tc>
          <w:tcPr>
            <w:tcW w:w="20" w:type="dxa"/>
            <w:vAlign w:val="bottom"/>
            <w:tcBorders>
              <w:bottom w:val="single" w:sz="8" w:color="EEEEEE"/>
            </w:tcBorders>
            <w:shd w:val="clear" w:color="auto" w:fill="EEEEEE"/>
          </w:tcPr>
          <w:p>
            <w:pPr>
              <w:spacing w:after="0"/>
              <w:rPr>
                <w:sz w:val="15"/>
                <w:szCs w:val="15"/>
                <w:color w:val="auto"/>
              </w:rPr>
            </w:pPr>
          </w:p>
        </w:tc>
        <w:tc>
          <w:tcPr>
            <w:tcW w:w="80" w:type="dxa"/>
            <w:vAlign w:val="bottom"/>
            <w:tcBorders>
              <w:bottom w:val="single" w:sz="8" w:color="EEEEEE"/>
            </w:tcBorders>
            <w:shd w:val="clear" w:color="auto" w:fill="EEEEEE"/>
          </w:tcPr>
          <w:p>
            <w:pPr>
              <w:spacing w:after="0"/>
              <w:rPr>
                <w:sz w:val="15"/>
                <w:szCs w:val="15"/>
                <w:color w:val="auto"/>
              </w:rPr>
            </w:pPr>
          </w:p>
        </w:tc>
      </w:tr>
      <w:tr>
        <w:trPr>
          <w:trHeight w:val="203"/>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1,488,027</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3,735,642</w:t>
            </w: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11,765,833</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14,071,543</w:t>
            </w: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15,782,322</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20,593,889</w:t>
            </w:r>
          </w:p>
        </w:tc>
        <w:tc>
          <w:tcPr>
            <w:tcW w:w="80" w:type="dxa"/>
            <w:vAlign w:val="bottom"/>
            <w:shd w:val="clear" w:color="auto" w:fill="EEEEEE"/>
          </w:tcPr>
          <w:p>
            <w:pPr>
              <w:spacing w:after="0"/>
              <w:rPr>
                <w:sz w:val="17"/>
                <w:szCs w:val="17"/>
                <w:color w:val="auto"/>
              </w:rPr>
            </w:pPr>
          </w:p>
        </w:tc>
      </w:tr>
      <w:tr>
        <w:trPr>
          <w:trHeight w:val="21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1,483,209</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2,858,196</w:t>
            </w:r>
          </w:p>
        </w:tc>
        <w:tc>
          <w:tcPr>
            <w:tcW w:w="80" w:type="dxa"/>
            <w:vAlign w:val="bottom"/>
          </w:tcPr>
          <w:p>
            <w:pPr>
              <w:spacing w:after="0"/>
              <w:rPr>
                <w:sz w:val="18"/>
                <w:szCs w:val="18"/>
                <w:color w:val="auto"/>
              </w:rPr>
            </w:pPr>
          </w:p>
        </w:tc>
      </w:tr>
      <w:tr>
        <w:trPr>
          <w:trHeight w:val="19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30,519,391</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41,259,270</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Right of use - non-current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7,141,633</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7,837,345</w:t>
            </w: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456,006</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536,418</w:t>
            </w: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3,122,363</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2,155,250</w:t>
            </w: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Non-current prepayments</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390,612</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531,456</w:t>
            </w: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3,034,110</w:t>
            </w:r>
          </w:p>
        </w:tc>
        <w:tc>
          <w:tcPr>
            <w:tcW w:w="30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3,034,110</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31,287</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33,113</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3,955,385</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4,280,071</w:t>
            </w:r>
          </w:p>
        </w:tc>
        <w:tc>
          <w:tcPr>
            <w:tcW w:w="80" w:type="dxa"/>
            <w:vAlign w:val="bottom"/>
          </w:tcPr>
          <w:p>
            <w:pPr>
              <w:spacing w:after="0"/>
              <w:rPr>
                <w:sz w:val="17"/>
                <w:szCs w:val="17"/>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419,289</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427,254</w:t>
            </w:r>
          </w:p>
        </w:tc>
        <w:tc>
          <w:tcPr>
            <w:tcW w:w="80" w:type="dxa"/>
            <w:vAlign w:val="bottom"/>
            <w:shd w:val="clear" w:color="auto" w:fill="EEEEEE"/>
          </w:tcPr>
          <w:p>
            <w:pPr>
              <w:spacing w:after="0"/>
              <w:rPr>
                <w:sz w:val="18"/>
                <w:szCs w:val="18"/>
                <w:color w:val="auto"/>
              </w:rPr>
            </w:pPr>
          </w:p>
        </w:tc>
      </w:tr>
      <w:tr>
        <w:trPr>
          <w:trHeight w:val="196"/>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non-current assets</w:t>
            </w:r>
          </w:p>
        </w:tc>
        <w:tc>
          <w:tcPr>
            <w:tcW w:w="12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18,550,685</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18,835,017</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66"/>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49,070,076</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60,094,287</w:t>
            </w:r>
          </w:p>
        </w:tc>
        <w:tc>
          <w:tcPr>
            <w:tcW w:w="80" w:type="dxa"/>
            <w:vAlign w:val="bottom"/>
          </w:tcPr>
          <w:p>
            <w:pPr>
              <w:spacing w:after="0"/>
              <w:rPr>
                <w:sz w:val="23"/>
                <w:szCs w:val="23"/>
                <w:color w:val="auto"/>
              </w:rPr>
            </w:pPr>
          </w:p>
        </w:tc>
      </w:tr>
      <w:tr>
        <w:trPr>
          <w:trHeight w:val="186"/>
        </w:trPr>
        <w:tc>
          <w:tcPr>
            <w:tcW w:w="600" w:type="dxa"/>
            <w:vAlign w:val="bottom"/>
            <w:tcBorders>
              <w:top w:val="single" w:sz="8" w:color="EEEEEE"/>
            </w:tcBorders>
            <w:shd w:val="clear" w:color="auto" w:fill="EEEEEE"/>
          </w:tcPr>
          <w:p>
            <w:pPr>
              <w:spacing w:after="0"/>
              <w:rPr>
                <w:sz w:val="16"/>
                <w:szCs w:val="16"/>
                <w:color w:val="auto"/>
              </w:rPr>
            </w:pPr>
          </w:p>
        </w:tc>
        <w:tc>
          <w:tcPr>
            <w:tcW w:w="2720" w:type="dxa"/>
            <w:vAlign w:val="bottom"/>
            <w:tcBorders>
              <w:top w:val="single" w:sz="8" w:color="EEEEEE"/>
            </w:tcBorders>
            <w:shd w:val="clear" w:color="auto" w:fill="EEEEEE"/>
          </w:tcPr>
          <w:p>
            <w:pPr>
              <w:spacing w:after="0"/>
              <w:rPr>
                <w:sz w:val="16"/>
                <w:szCs w:val="16"/>
                <w:color w:val="auto"/>
              </w:rPr>
            </w:pPr>
          </w:p>
        </w:tc>
        <w:tc>
          <w:tcPr>
            <w:tcW w:w="422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136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300" w:type="dxa"/>
            <w:vAlign w:val="bottom"/>
            <w:tcBorders>
              <w:top w:val="single" w:sz="8" w:color="auto"/>
            </w:tcBorders>
            <w:shd w:val="clear" w:color="auto" w:fill="EEEEEE"/>
          </w:tcPr>
          <w:p>
            <w:pPr>
              <w:spacing w:after="0"/>
              <w:rPr>
                <w:sz w:val="16"/>
                <w:szCs w:val="16"/>
                <w:color w:val="auto"/>
              </w:rPr>
            </w:pPr>
          </w:p>
        </w:tc>
        <w:tc>
          <w:tcPr>
            <w:tcW w:w="1280" w:type="dxa"/>
            <w:vAlign w:val="bottom"/>
            <w:tcBorders>
              <w:top w:val="single" w:sz="8" w:color="auto"/>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EEEEEE"/>
            </w:tcBorders>
            <w:shd w:val="clear" w:color="auto" w:fill="EEEEEE"/>
          </w:tcPr>
          <w:p>
            <w:pPr>
              <w:spacing w:after="0"/>
              <w:rPr>
                <w:sz w:val="16"/>
                <w:szCs w:val="16"/>
                <w:color w:val="auto"/>
              </w:rPr>
            </w:pPr>
          </w:p>
        </w:tc>
      </w:tr>
      <w:tr>
        <w:trPr>
          <w:trHeight w:val="162"/>
        </w:trPr>
        <w:tc>
          <w:tcPr>
            <w:tcW w:w="754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272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13,931,800</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13,244,957</w:t>
            </w:r>
          </w:p>
        </w:tc>
        <w:tc>
          <w:tcPr>
            <w:tcW w:w="80" w:type="dxa"/>
            <w:vAlign w:val="bottom"/>
          </w:tcPr>
          <w:p>
            <w:pPr>
              <w:spacing w:after="0"/>
              <w:rPr>
                <w:sz w:val="18"/>
                <w:szCs w:val="18"/>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Credit cards payable</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340,912</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366,781</w:t>
            </w: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Customer deposit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340,876</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350,595</w:t>
            </w: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3,715,996</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4,831,067</w:t>
            </w: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Advance from shareholders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87,305</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85,200</w:t>
            </w: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Lease liability - current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2,065,177</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2,159,173</w:t>
            </w: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Short-term loan payable - related party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1,032,189</w:t>
            </w:r>
          </w:p>
        </w:tc>
        <w:tc>
          <w:tcPr>
            <w:tcW w:w="30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Long-term promissory note payable - current portion</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1,150,508</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2,017,852</w:t>
            </w:r>
          </w:p>
        </w:tc>
        <w:tc>
          <w:tcPr>
            <w:tcW w:w="80" w:type="dxa"/>
            <w:vAlign w:val="bottom"/>
            <w:shd w:val="clear" w:color="auto" w:fill="EEEEEE"/>
          </w:tcPr>
          <w:p>
            <w:pPr>
              <w:spacing w:after="0"/>
              <w:rPr>
                <w:sz w:val="17"/>
                <w:szCs w:val="17"/>
                <w:color w:val="auto"/>
              </w:rPr>
            </w:pPr>
          </w:p>
        </w:tc>
      </w:tr>
      <w:tr>
        <w:trPr>
          <w:trHeight w:val="202"/>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Revolving loan payable,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2,862,857</w:t>
            </w:r>
          </w:p>
        </w:tc>
        <w:tc>
          <w:tcPr>
            <w:tcW w:w="300" w:type="dxa"/>
            <w:vAlign w:val="bottom"/>
          </w:tcPr>
          <w:p>
            <w:pPr>
              <w:spacing w:after="0"/>
              <w:rPr>
                <w:sz w:val="17"/>
                <w:szCs w:val="17"/>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283,519</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276,683</w:t>
            </w:r>
          </w:p>
        </w:tc>
        <w:tc>
          <w:tcPr>
            <w:tcW w:w="80" w:type="dxa"/>
            <w:vAlign w:val="bottom"/>
            <w:shd w:val="clear" w:color="auto" w:fill="EEEEEE"/>
          </w:tcPr>
          <w:p>
            <w:pPr>
              <w:spacing w:after="0"/>
              <w:rPr>
                <w:sz w:val="18"/>
                <w:szCs w:val="18"/>
                <w:color w:val="auto"/>
              </w:rPr>
            </w:pPr>
          </w:p>
        </w:tc>
      </w:tr>
      <w:tr>
        <w:trPr>
          <w:trHeight w:val="196"/>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25,811,139</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23,332,308</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75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Long-term revolving loan payable, net</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9,791,191</w:t>
            </w:r>
          </w:p>
        </w:tc>
        <w:tc>
          <w:tcPr>
            <w:tcW w:w="80" w:type="dxa"/>
            <w:vAlign w:val="bottom"/>
            <w:shd w:val="clear" w:color="auto" w:fill="EEEEEE"/>
          </w:tcPr>
          <w:p>
            <w:pPr>
              <w:spacing w:after="0"/>
              <w:rPr>
                <w:sz w:val="17"/>
                <w:szCs w:val="17"/>
                <w:color w:val="auto"/>
              </w:rPr>
            </w:pPr>
          </w:p>
        </w:tc>
      </w:tr>
      <w:tr>
        <w:trPr>
          <w:trHeight w:val="21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Lease liability - non-current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5,503,365</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6,106,047</w:t>
            </w:r>
          </w:p>
        </w:tc>
        <w:tc>
          <w:tcPr>
            <w:tcW w:w="80" w:type="dxa"/>
            <w:vAlign w:val="bottom"/>
          </w:tcPr>
          <w:p>
            <w:pPr>
              <w:spacing w:after="0"/>
              <w:rPr>
                <w:sz w:val="18"/>
                <w:szCs w:val="18"/>
                <w:color w:val="auto"/>
              </w:rPr>
            </w:pPr>
          </w:p>
        </w:tc>
      </w:tr>
      <w:tr>
        <w:trPr>
          <w:trHeight w:val="19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spacing w:after="0"/>
              <w:rPr>
                <w:sz w:val="17"/>
                <w:szCs w:val="17"/>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5,503,365</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15,897,238</w:t>
            </w: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31,314,504</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39,229,546</w:t>
            </w:r>
          </w:p>
        </w:tc>
        <w:tc>
          <w:tcPr>
            <w:tcW w:w="80" w:type="dxa"/>
            <w:vAlign w:val="bottom"/>
            <w:shd w:val="clear" w:color="auto" w:fill="EEEEEE"/>
          </w:tcPr>
          <w:p>
            <w:pPr>
              <w:spacing w:after="0"/>
              <w:rPr>
                <w:sz w:val="18"/>
                <w:szCs w:val="18"/>
                <w:color w:val="auto"/>
              </w:rPr>
            </w:pPr>
          </w:p>
        </w:tc>
      </w:tr>
      <w:tr>
        <w:trPr>
          <w:trHeight w:val="199"/>
        </w:trPr>
        <w:tc>
          <w:tcPr>
            <w:tcW w:w="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Commitments and contingency</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189"/>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20,000,000 shares authorized; 0 shares issued and outstanding at December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31, 2023 and June 30, 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2"/>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180,000,000 shares authorized; 29,710,939 and 29,710,939 shares issued and</w:t>
            </w:r>
          </w:p>
        </w:tc>
        <w:tc>
          <w:tcPr>
            <w:tcW w:w="1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36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r>
      <w:tr>
        <w:trPr>
          <w:trHeight w:val="216"/>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outstanding at December 31, 2023 and June 30, 2023</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29,712</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6"/>
                <w:szCs w:val="16"/>
                <w:color w:val="auto"/>
              </w:rPr>
              <w:t>29,712</w:t>
            </w:r>
          </w:p>
        </w:tc>
        <w:tc>
          <w:tcPr>
            <w:tcW w:w="80" w:type="dxa"/>
            <w:vAlign w:val="bottom"/>
            <w:shd w:val="clear" w:color="auto" w:fill="EEEEEE"/>
          </w:tcPr>
          <w:p>
            <w:pPr>
              <w:spacing w:after="0"/>
              <w:rPr>
                <w:sz w:val="18"/>
                <w:szCs w:val="18"/>
                <w:color w:val="auto"/>
              </w:rPr>
            </w:pP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29,883,647</w:t>
            </w:r>
          </w:p>
        </w:tc>
        <w:tc>
          <w:tcPr>
            <w:tcW w:w="30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29,624,520</w:t>
            </w:r>
          </w:p>
        </w:tc>
        <w:tc>
          <w:tcPr>
            <w:tcW w:w="80" w:type="dxa"/>
            <w:vAlign w:val="bottom"/>
          </w:tcPr>
          <w:p>
            <w:pPr>
              <w:spacing w:after="0"/>
              <w:rPr>
                <w:sz w:val="17"/>
                <w:szCs w:val="17"/>
                <w:color w:val="auto"/>
              </w:rPr>
            </w:pPr>
          </w:p>
        </w:tc>
      </w:tr>
      <w:tr>
        <w:trPr>
          <w:trHeight w:val="203"/>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Accumulated deficits</w:t>
            </w: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(11,903,785)</w:t>
            </w:r>
          </w:p>
        </w:tc>
        <w:tc>
          <w:tcPr>
            <w:tcW w:w="300" w:type="dxa"/>
            <w:vAlign w:val="bottom"/>
            <w:shd w:val="clear" w:color="auto" w:fill="EEEEEE"/>
          </w:tcPr>
          <w:p>
            <w:pPr>
              <w:spacing w:after="0"/>
              <w:rPr>
                <w:sz w:val="17"/>
                <w:szCs w:val="17"/>
                <w:color w:val="auto"/>
              </w:rPr>
            </w:pPr>
          </w:p>
        </w:tc>
        <w:tc>
          <w:tcPr>
            <w:tcW w:w="13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(8,702,442)</w:t>
            </w:r>
          </w:p>
        </w:tc>
      </w:tr>
      <w:tr>
        <w:trPr>
          <w:trHeight w:val="203"/>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(30,906)</w:t>
            </w:r>
          </w:p>
        </w:tc>
        <w:tc>
          <w:tcPr>
            <w:tcW w:w="30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(24,915)</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(223,096)</w:t>
            </w:r>
          </w:p>
        </w:tc>
        <w:tc>
          <w:tcPr>
            <w:tcW w:w="3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(62,134)</w:t>
            </w:r>
          </w:p>
        </w:tc>
      </w:tr>
      <w:tr>
        <w:trPr>
          <w:trHeight w:val="196"/>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EEEEEE"/>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17,755,572</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20,864,741</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600" w:type="dxa"/>
            <w:vAlign w:val="bottom"/>
            <w:shd w:val="clear" w:color="auto" w:fill="EEEEEE"/>
          </w:tcPr>
          <w:p>
            <w:pPr>
              <w:spacing w:after="0"/>
              <w:rPr>
                <w:sz w:val="17"/>
                <w:szCs w:val="17"/>
                <w:color w:val="auto"/>
              </w:rPr>
            </w:pPr>
          </w:p>
        </w:tc>
        <w:tc>
          <w:tcPr>
            <w:tcW w:w="2720" w:type="dxa"/>
            <w:vAlign w:val="bottom"/>
            <w:shd w:val="clear" w:color="auto" w:fill="EEEEEE"/>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26"/>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49,070,076</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60,094,287</w:t>
            </w:r>
          </w:p>
        </w:tc>
        <w:tc>
          <w:tcPr>
            <w:tcW w:w="80" w:type="dxa"/>
            <w:vAlign w:val="bottom"/>
          </w:tcPr>
          <w:p>
            <w:pPr>
              <w:spacing w:after="0"/>
              <w:rPr>
                <w:sz w:val="19"/>
                <w:szCs w:val="19"/>
                <w:color w:val="auto"/>
              </w:rPr>
            </w:pPr>
          </w:p>
        </w:tc>
      </w:tr>
      <w:tr>
        <w:trPr>
          <w:trHeight w:val="20"/>
        </w:trPr>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65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Six Months Ended December 31, 2023 and 2022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60" w:type="dxa"/>
            <w:vAlign w:val="bottom"/>
          </w:tcPr>
          <w:p>
            <w:pPr>
              <w:spacing w:after="0"/>
              <w:rPr>
                <w:sz w:val="18"/>
                <w:szCs w:val="18"/>
                <w:color w:val="auto"/>
              </w:rPr>
            </w:pPr>
          </w:p>
        </w:tc>
        <w:tc>
          <w:tcPr>
            <w:tcW w:w="2840" w:type="dxa"/>
            <w:vAlign w:val="bottom"/>
            <w:gridSpan w:val="6"/>
          </w:tcPr>
          <w:p>
            <w:pPr>
              <w:jc w:val="right"/>
              <w:ind w:right="521"/>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230"/>
        </w:trPr>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right"/>
              <w:ind w:right="1101"/>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19"/>
                <w:szCs w:val="19"/>
                <w:color w:val="auto"/>
              </w:rPr>
            </w:pPr>
          </w:p>
        </w:tc>
        <w:tc>
          <w:tcPr>
            <w:tcW w:w="2840" w:type="dxa"/>
            <w:vAlign w:val="bottom"/>
            <w:gridSpan w:val="6"/>
          </w:tcPr>
          <w:p>
            <w:pPr>
              <w:jc w:val="right"/>
              <w:ind w:right="961"/>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28"/>
        </w:trPr>
        <w:tc>
          <w:tcPr>
            <w:tcW w:w="5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r>
      <w:tr>
        <w:trPr>
          <w:trHeight w:val="198"/>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16,800,122</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19,254,590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43,308,496</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45,277,263</w:t>
            </w:r>
          </w:p>
        </w:tc>
      </w:tr>
      <w:tr>
        <w:trPr>
          <w:trHeight w:val="229"/>
        </w:trPr>
        <w:tc>
          <w:tcPr>
            <w:tcW w:w="508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0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16,800,122</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19,254,590</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43,308,496</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45,277,263</w:t>
            </w: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9,481,882</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11,285,064</w:t>
            </w:r>
          </w:p>
        </w:tc>
        <w:tc>
          <w:tcPr>
            <w:tcW w:w="1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24,231,411</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27,322,021</w:t>
            </w:r>
          </w:p>
        </w:tc>
      </w:tr>
      <w:tr>
        <w:trPr>
          <w:trHeight w:val="229"/>
        </w:trPr>
        <w:tc>
          <w:tcPr>
            <w:tcW w:w="508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1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7,318,240</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7,969,526</w:t>
            </w:r>
          </w:p>
        </w:tc>
        <w:tc>
          <w:tcPr>
            <w:tcW w:w="22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19,077,085</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17,955,242</w:t>
            </w:r>
          </w:p>
        </w:tc>
        <w:tc>
          <w:tcPr>
            <w:tcW w:w="100" w:type="dxa"/>
            <w:vAlign w:val="bottom"/>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fulfillment</w:t>
            </w:r>
          </w:p>
        </w:tc>
        <w:tc>
          <w:tcPr>
            <w:tcW w:w="18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6,936,980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9,338,737</w:t>
            </w:r>
          </w:p>
        </w:tc>
        <w:tc>
          <w:tcPr>
            <w:tcW w:w="16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17,000,451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17,757,549</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2,933,607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2,713,355</w:t>
            </w:r>
          </w:p>
        </w:tc>
        <w:tc>
          <w:tcPr>
            <w:tcW w:w="1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5,897,658</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5,813,531</w:t>
            </w: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 - goodwill</w:t>
            </w:r>
          </w:p>
        </w:tc>
        <w:tc>
          <w:tcPr>
            <w:tcW w:w="18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3,060,034</w:t>
            </w:r>
          </w:p>
        </w:tc>
      </w:tr>
      <w:tr>
        <w:trPr>
          <w:trHeight w:val="209"/>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9,870,587</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12,052,092</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22,898,109</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26,631,114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(2,552,347)</w:t>
            </w:r>
          </w:p>
        </w:tc>
        <w:tc>
          <w:tcPr>
            <w:tcW w:w="1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(4,082,566)</w:t>
            </w:r>
          </w:p>
        </w:tc>
        <w:tc>
          <w:tcPr>
            <w:tcW w:w="1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(3,821,024)</w:t>
            </w: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(8,675,872)</w:t>
            </w:r>
          </w:p>
        </w:tc>
      </w:tr>
      <w:tr>
        <w:trPr>
          <w:trHeight w:val="209"/>
        </w:trPr>
        <w:tc>
          <w:tcPr>
            <w:tcW w:w="50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w:t>
            </w:r>
          </w:p>
        </w:tc>
        <w:tc>
          <w:tcPr>
            <w:tcW w:w="1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(314,119)</w:t>
            </w:r>
          </w:p>
        </w:tc>
        <w:tc>
          <w:tcPr>
            <w:tcW w:w="160" w:type="dxa"/>
            <w:vAlign w:val="bottom"/>
          </w:tcPr>
          <w:p>
            <w:pPr>
              <w:spacing w:after="0"/>
              <w:rPr>
                <w:sz w:val="18"/>
                <w:szCs w:val="18"/>
                <w:color w:val="auto"/>
              </w:rPr>
            </w:pP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(410,977)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(562,160)</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(3,938)</w:t>
            </w:r>
          </w:p>
        </w:tc>
        <w:tc>
          <w:tcPr>
            <w:tcW w:w="1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(7,328)</w:t>
            </w: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18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128,838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59,600</w:t>
            </w:r>
          </w:p>
        </w:tc>
        <w:tc>
          <w:tcPr>
            <w:tcW w:w="160" w:type="dxa"/>
            <w:vAlign w:val="bottom"/>
          </w:tcPr>
          <w:p>
            <w:pPr>
              <w:spacing w:after="0"/>
              <w:rPr>
                <w:sz w:val="19"/>
                <w:szCs w:val="19"/>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61,672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271,360</w:t>
            </w:r>
          </w:p>
        </w:tc>
      </w:tr>
      <w:tr>
        <w:trPr>
          <w:trHeight w:val="209"/>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160" w:type="dxa"/>
            <w:vAlign w:val="bottom"/>
            <w:tcBorders>
              <w:top w:val="single" w:sz="8" w:color="EEEEEE"/>
            </w:tcBorders>
            <w:shd w:val="clear" w:color="auto" w:fill="EEEEEE"/>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(258,457</w:t>
            </w:r>
          </w:p>
        </w:tc>
        <w:tc>
          <w:tcPr>
            <w:tcW w:w="220" w:type="dxa"/>
            <w:vAlign w:val="bottom"/>
            <w:tcBorders>
              <w:top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(351,131</w:t>
            </w:r>
          </w:p>
        </w:tc>
        <w:tc>
          <w:tcPr>
            <w:tcW w:w="140" w:type="dxa"/>
            <w:vAlign w:val="bottom"/>
            <w:tcBorders>
              <w:top w:val="single" w:sz="8" w:color="EEEEEE"/>
            </w:tcBorders>
            <w:shd w:val="clear" w:color="auto" w:fill="EEEEEE"/>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(298,128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(2,606,922)</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(4,341,023)</w:t>
            </w:r>
          </w:p>
        </w:tc>
        <w:tc>
          <w:tcPr>
            <w:tcW w:w="1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(4,172,155)</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(8,974,000)</w:t>
            </w:r>
          </w:p>
        </w:tc>
      </w:tr>
      <w:tr>
        <w:trPr>
          <w:trHeight w:val="216"/>
        </w:trPr>
        <w:tc>
          <w:tcPr>
            <w:tcW w:w="5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(688,939)</w:t>
            </w:r>
          </w:p>
        </w:tc>
        <w:tc>
          <w:tcPr>
            <w:tcW w:w="1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(1,047,749)</w:t>
            </w:r>
          </w:p>
        </w:tc>
        <w:tc>
          <w:tcPr>
            <w:tcW w:w="1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(964,821)</w:t>
            </w: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(1,495,545)</w:t>
            </w: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(3,293,274)</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(7,478,455)</w:t>
            </w: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(2,835)</w:t>
            </w:r>
          </w:p>
        </w:tc>
        <w:tc>
          <w:tcPr>
            <w:tcW w:w="160" w:type="dxa"/>
            <w:vAlign w:val="bottom"/>
          </w:tcPr>
          <w:p>
            <w:pPr>
              <w:spacing w:after="0"/>
              <w:rPr>
                <w:sz w:val="18"/>
                <w:szCs w:val="18"/>
                <w:color w:val="auto"/>
              </w:rPr>
            </w:pPr>
          </w:p>
        </w:tc>
        <w:tc>
          <w:tcPr>
            <w:tcW w:w="13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(5,640)</w:t>
            </w:r>
          </w:p>
        </w:tc>
      </w:tr>
      <w:tr>
        <w:trPr>
          <w:trHeight w:val="230"/>
        </w:trPr>
        <w:tc>
          <w:tcPr>
            <w:tcW w:w="5080" w:type="dxa"/>
            <w:vAlign w:val="bottom"/>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16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(3,290,439)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(7,472,815)</w:t>
            </w: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(160,255)</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47,149</w:t>
            </w:r>
          </w:p>
        </w:tc>
        <w:tc>
          <w:tcPr>
            <w:tcW w:w="1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(160,962)</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(64,326)</w:t>
            </w:r>
          </w:p>
        </w:tc>
      </w:tr>
      <w:tr>
        <w:trPr>
          <w:trHeight w:val="229"/>
        </w:trPr>
        <w:tc>
          <w:tcPr>
            <w:tcW w:w="508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508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(2,075,083</w:t>
            </w:r>
          </w:p>
        </w:tc>
        <w:tc>
          <w:tcPr>
            <w:tcW w:w="160" w:type="dxa"/>
            <w:vAlign w:val="bottom"/>
            <w:tcBorders>
              <w:bottom w:val="single" w:sz="8" w:color="EEEEEE"/>
            </w:tcBorders>
            <w:shd w:val="clear" w:color="auto" w:fill="EEEEEE"/>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(3,243,290</w:t>
            </w:r>
          </w:p>
        </w:tc>
        <w:tc>
          <w:tcPr>
            <w:tcW w:w="220" w:type="dxa"/>
            <w:vAlign w:val="bottom"/>
            <w:tcBorders>
              <w:bottom w:val="single" w:sz="8" w:color="EEEEEE"/>
            </w:tcBorders>
            <w:shd w:val="clear" w:color="auto" w:fill="EEEEEE"/>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(3,362,305</w:t>
            </w:r>
          </w:p>
        </w:tc>
        <w:tc>
          <w:tcPr>
            <w:tcW w:w="140" w:type="dxa"/>
            <w:vAlign w:val="bottom"/>
            <w:tcBorders>
              <w:bottom w:val="single" w:sz="8" w:color="EEEEEE"/>
            </w:tcBorders>
            <w:shd w:val="clear" w:color="auto" w:fill="EEEEEE"/>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(7,537,141</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NUMBER OF COMMON STOCK</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4"/>
                <w:szCs w:val="24"/>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29,790,242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29,742,620</w:t>
            </w:r>
          </w:p>
        </w:tc>
        <w:tc>
          <w:tcPr>
            <w:tcW w:w="160" w:type="dxa"/>
            <w:vAlign w:val="bottom"/>
          </w:tcPr>
          <w:p>
            <w:pPr>
              <w:spacing w:after="0"/>
              <w:rPr>
                <w:sz w:val="24"/>
                <w:szCs w:val="24"/>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29,777,378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29,687,878</w:t>
            </w:r>
          </w:p>
        </w:tc>
      </w:tr>
      <w:tr>
        <w:trPr>
          <w:trHeight w:val="196"/>
        </w:trPr>
        <w:tc>
          <w:tcPr>
            <w:tcW w:w="50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8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4"/>
                <w:szCs w:val="24"/>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29,790,242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29,742,620</w:t>
            </w:r>
          </w:p>
        </w:tc>
        <w:tc>
          <w:tcPr>
            <w:tcW w:w="160" w:type="dxa"/>
            <w:vAlign w:val="bottom"/>
          </w:tcPr>
          <w:p>
            <w:pPr>
              <w:spacing w:after="0"/>
              <w:rPr>
                <w:sz w:val="24"/>
                <w:szCs w:val="24"/>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29,777,378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29,687,878</w:t>
            </w:r>
          </w:p>
        </w:tc>
      </w:tr>
      <w:tr>
        <w:trPr>
          <w:trHeight w:val="196"/>
        </w:trPr>
        <w:tc>
          <w:tcPr>
            <w:tcW w:w="50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LOSSES PER SHARE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EEEEEE"/>
          </w:tcPr>
          <w:p>
            <w:pPr>
              <w:jc w:val="right"/>
              <w:ind w:right="1"/>
              <w:spacing w:after="0"/>
              <w:rPr>
                <w:sz w:val="20"/>
                <w:szCs w:val="20"/>
                <w:color w:val="auto"/>
              </w:rPr>
            </w:pPr>
            <w:r>
              <w:rPr>
                <w:rFonts w:ascii="Times New Roman" w:cs="Times New Roman" w:eastAsia="Times New Roman" w:hAnsi="Times New Roman"/>
                <w:sz w:val="18"/>
                <w:szCs w:val="18"/>
                <w:color w:val="auto"/>
              </w:rPr>
              <w:t>(0.11)</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EEEEEE"/>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413"/>
        </w:trPr>
        <w:tc>
          <w:tcPr>
            <w:tcW w:w="9720" w:type="dxa"/>
            <w:vAlign w:val="bottom"/>
            <w:gridSpan w:val="11"/>
          </w:tcPr>
          <w:p>
            <w:pPr>
              <w:ind w:left="16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5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Six Months Ended December 31, 2023 and 2022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279"/>
              <w:spacing w:after="0"/>
              <w:rPr>
                <w:sz w:val="20"/>
                <w:szCs w:val="20"/>
                <w:color w:val="auto"/>
              </w:rPr>
            </w:pPr>
            <w:r>
              <w:rPr>
                <w:rFonts w:ascii="Times New Roman" w:cs="Times New Roman" w:eastAsia="Times New Roman" w:hAnsi="Times New Roman"/>
                <w:sz w:val="14"/>
                <w:szCs w:val="14"/>
                <w:color w:val="auto"/>
              </w:rPr>
              <w:t>Non-</w:t>
            </w:r>
          </w:p>
        </w:tc>
        <w:tc>
          <w:tcPr>
            <w:tcW w:w="110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320" w:type="dxa"/>
            <w:vAlign w:val="bottom"/>
            <w:gridSpan w:val="6"/>
            <w:vMerge w:val="restart"/>
          </w:tcPr>
          <w:p>
            <w:pPr>
              <w:jc w:val="right"/>
              <w:ind w:right="820"/>
              <w:spacing w:after="0"/>
              <w:rPr>
                <w:sz w:val="20"/>
                <w:szCs w:val="20"/>
                <w:color w:val="auto"/>
              </w:rPr>
            </w:pPr>
            <w:r>
              <w:rPr>
                <w:rFonts w:ascii="Times New Roman" w:cs="Times New Roman" w:eastAsia="Times New Roman" w:hAnsi="Times New Roman"/>
                <w:sz w:val="14"/>
                <w:szCs w:val="14"/>
                <w:color w:val="auto"/>
              </w:rPr>
              <w:t>Common Stock</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960" w:type="dxa"/>
            <w:vAlign w:val="bottom"/>
            <w:gridSpan w:val="2"/>
          </w:tcPr>
          <w:p>
            <w:pPr>
              <w:jc w:val="center"/>
              <w:ind w:right="319"/>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8"/>
              <w:spacing w:after="0" w:line="149" w:lineRule="exact"/>
              <w:rPr>
                <w:sz w:val="20"/>
                <w:szCs w:val="20"/>
                <w:color w:val="auto"/>
              </w:rPr>
            </w:pPr>
            <w:r>
              <w:rPr>
                <w:rFonts w:ascii="Times New Roman" w:cs="Times New Roman" w:eastAsia="Times New Roman" w:hAnsi="Times New Roman"/>
                <w:sz w:val="14"/>
                <w:szCs w:val="14"/>
                <w:color w:val="auto"/>
                <w:w w:val="97"/>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0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02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color w:val="auto"/>
              </w:rPr>
              <w:t>controlling</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04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3"/>
                <w:szCs w:val="13"/>
                <w:color w:val="auto"/>
              </w:rPr>
            </w:pPr>
          </w:p>
        </w:tc>
        <w:tc>
          <w:tcPr>
            <w:tcW w:w="11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Paid in Capital</w:t>
            </w:r>
          </w:p>
        </w:tc>
        <w:tc>
          <w:tcPr>
            <w:tcW w:w="140" w:type="dxa"/>
            <w:vAlign w:val="bottom"/>
          </w:tcPr>
          <w:p>
            <w:pPr>
              <w:spacing w:after="0"/>
              <w:rPr>
                <w:sz w:val="13"/>
                <w:szCs w:val="13"/>
                <w:color w:val="auto"/>
              </w:rPr>
            </w:pPr>
          </w:p>
        </w:tc>
        <w:tc>
          <w:tcPr>
            <w:tcW w:w="960" w:type="dxa"/>
            <w:vAlign w:val="bottom"/>
            <w:gridSpan w:val="2"/>
          </w:tcPr>
          <w:p>
            <w:pPr>
              <w:jc w:val="center"/>
              <w:ind w:right="319"/>
              <w:spacing w:after="0" w:line="155" w:lineRule="exact"/>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3"/>
                <w:szCs w:val="13"/>
                <w:color w:val="auto"/>
              </w:rPr>
            </w:pPr>
          </w:p>
        </w:tc>
        <w:tc>
          <w:tcPr>
            <w:tcW w:w="1020" w:type="dxa"/>
            <w:vAlign w:val="bottom"/>
            <w:gridSpan w:val="2"/>
          </w:tcPr>
          <w:p>
            <w:pPr>
              <w:jc w:val="center"/>
              <w:ind w:right="279"/>
              <w:spacing w:after="0" w:line="155" w:lineRule="exact"/>
              <w:rPr>
                <w:sz w:val="20"/>
                <w:szCs w:val="20"/>
                <w:color w:val="auto"/>
              </w:rPr>
            </w:pPr>
            <w:r>
              <w:rPr>
                <w:rFonts w:ascii="Times New Roman" w:cs="Times New Roman" w:eastAsia="Times New Roman" w:hAnsi="Times New Roman"/>
                <w:sz w:val="14"/>
                <w:szCs w:val="14"/>
                <w:color w:val="auto"/>
              </w:rPr>
              <w:t>interest</w:t>
            </w:r>
          </w:p>
        </w:tc>
        <w:tc>
          <w:tcPr>
            <w:tcW w:w="1100" w:type="dxa"/>
            <w:vAlign w:val="bottom"/>
            <w:gridSpan w:val="3"/>
          </w:tcPr>
          <w:p>
            <w:pPr>
              <w:jc w:val="center"/>
              <w:ind w:right="168"/>
              <w:spacing w:after="0" w:line="155" w:lineRule="exact"/>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Pr>
          <w:p>
            <w:pPr>
              <w:spacing w:after="0"/>
              <w:rPr>
                <w:sz w:val="13"/>
                <w:szCs w:val="13"/>
                <w:color w:val="auto"/>
              </w:rPr>
            </w:pPr>
          </w:p>
        </w:tc>
        <w:tc>
          <w:tcPr>
            <w:tcW w:w="84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350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bottom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29,712</w:t>
            </w:r>
          </w:p>
        </w:tc>
        <w:tc>
          <w:tcPr>
            <w:tcW w:w="2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bottom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29,624,520</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(8,702,442</w:t>
            </w:r>
          </w:p>
        </w:tc>
        <w:tc>
          <w:tcPr>
            <w:tcW w:w="200" w:type="dxa"/>
            <w:vAlign w:val="bottom"/>
            <w:tcBorders>
              <w:top w:val="single" w:sz="8" w:color="EEEEEE"/>
            </w:tcBorders>
            <w:shd w:val="clear" w:color="auto" w:fill="EEEEEE"/>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(24,915</w:t>
            </w:r>
          </w:p>
        </w:tc>
        <w:tc>
          <w:tcPr>
            <w:tcW w:w="220" w:type="dxa"/>
            <w:vAlign w:val="bottom"/>
            <w:tcBorders>
              <w:top w:val="single" w:sz="8" w:color="EEEEEE"/>
            </w:tcBorders>
            <w:shd w:val="clear" w:color="auto" w:fill="EEEEEE"/>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(62,134</w:t>
            </w:r>
          </w:p>
        </w:tc>
        <w:tc>
          <w:tcPr>
            <w:tcW w:w="220" w:type="dxa"/>
            <w:vAlign w:val="bottom"/>
            <w:tcBorders>
              <w:top w:val="single" w:sz="8" w:color="EEEEEE"/>
            </w:tcBorders>
            <w:shd w:val="clear" w:color="auto" w:fill="EEEEEE"/>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20,864,741</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(1,286,515)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(2,836)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(1,289,351)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0" w:type="dxa"/>
            <w:vAlign w:val="bottom"/>
          </w:tcPr>
          <w:p>
            <w:pPr>
              <w:spacing w:after="0"/>
              <w:rPr>
                <w:sz w:val="1"/>
                <w:szCs w:val="1"/>
                <w:color w:val="auto"/>
              </w:rPr>
            </w:pPr>
          </w:p>
        </w:tc>
      </w:tr>
      <w:tr>
        <w:trPr>
          <w:trHeight w:val="162"/>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42"/>
        </w:trPr>
        <w:tc>
          <w:tcPr>
            <w:tcW w:w="350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2023, unaudited</w:t>
            </w: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bottom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29,712</w:t>
            </w:r>
          </w:p>
        </w:tc>
        <w:tc>
          <w:tcPr>
            <w:tcW w:w="2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bottom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29,742,402</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(9,988,957</w:t>
            </w:r>
          </w:p>
        </w:tc>
        <w:tc>
          <w:tcPr>
            <w:tcW w:w="200" w:type="dxa"/>
            <w:vAlign w:val="bottom"/>
            <w:tcBorders>
              <w:top w:val="single" w:sz="8" w:color="EEEEEE"/>
            </w:tcBorders>
            <w:shd w:val="clear" w:color="auto" w:fill="EEEEEE"/>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(27,751</w:t>
            </w:r>
          </w:p>
        </w:tc>
        <w:tc>
          <w:tcPr>
            <w:tcW w:w="220" w:type="dxa"/>
            <w:vAlign w:val="bottom"/>
            <w:tcBorders>
              <w:top w:val="single" w:sz="8" w:color="EEEEEE"/>
            </w:tcBorders>
            <w:shd w:val="clear" w:color="auto" w:fill="EEEEEE"/>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(62,841</w:t>
            </w:r>
          </w:p>
        </w:tc>
        <w:tc>
          <w:tcPr>
            <w:tcW w:w="220" w:type="dxa"/>
            <w:vAlign w:val="bottom"/>
            <w:tcBorders>
              <w:top w:val="single" w:sz="8" w:color="EEEEEE"/>
            </w:tcBorders>
            <w:shd w:val="clear" w:color="auto" w:fill="EEEEEE"/>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19,692,565</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(1,914,828)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(3,155)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(1,917,983)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141,245</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141,245</w:t>
            </w:r>
          </w:p>
        </w:tc>
        <w:tc>
          <w:tcPr>
            <w:tcW w:w="0" w:type="dxa"/>
            <w:vAlign w:val="bottom"/>
          </w:tcPr>
          <w:p>
            <w:pPr>
              <w:spacing w:after="0"/>
              <w:rPr>
                <w:sz w:val="1"/>
                <w:szCs w:val="1"/>
                <w:color w:val="auto"/>
              </w:rPr>
            </w:pPr>
          </w:p>
        </w:tc>
      </w:tr>
      <w:tr>
        <w:trPr>
          <w:trHeight w:val="162"/>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(160,255)</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(160,255)</w:t>
            </w:r>
          </w:p>
        </w:tc>
        <w:tc>
          <w:tcPr>
            <w:tcW w:w="0" w:type="dxa"/>
            <w:vAlign w:val="bottom"/>
          </w:tcPr>
          <w:p>
            <w:pPr>
              <w:spacing w:after="0"/>
              <w:rPr>
                <w:sz w:val="1"/>
                <w:szCs w:val="1"/>
                <w:color w:val="auto"/>
              </w:rPr>
            </w:pPr>
          </w:p>
        </w:tc>
      </w:tr>
      <w:tr>
        <w:trPr>
          <w:trHeight w:val="156"/>
        </w:trPr>
        <w:tc>
          <w:tcPr>
            <w:tcW w:w="350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2023, unaudited</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29,712</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29,883,647</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(11,903,785</w:t>
            </w:r>
          </w:p>
        </w:tc>
        <w:tc>
          <w:tcPr>
            <w:tcW w:w="200" w:type="dxa"/>
            <w:vAlign w:val="bottom"/>
            <w:tcBorders>
              <w:top w:val="single" w:sz="8" w:color="EEEEEE"/>
              <w:bottom w:val="single" w:sz="8" w:color="EEEEEE"/>
            </w:tcBorders>
            <w:shd w:val="clear" w:color="auto" w:fill="EEEEEE"/>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(30,906</w:t>
            </w:r>
          </w:p>
        </w:tc>
        <w:tc>
          <w:tcPr>
            <w:tcW w:w="220" w:type="dxa"/>
            <w:vAlign w:val="bottom"/>
            <w:tcBorders>
              <w:top w:val="single" w:sz="8" w:color="EEEEEE"/>
              <w:bottom w:val="single" w:sz="8" w:color="EEEEEE"/>
            </w:tcBorders>
            <w:shd w:val="clear" w:color="auto" w:fill="EEEEEE"/>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(223,096</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17,755,572</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June 30, 2022</w:t>
            </w:r>
          </w:p>
        </w:tc>
        <w:tc>
          <w:tcPr>
            <w:tcW w:w="10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29,572,382</w:t>
            </w:r>
          </w:p>
        </w:tc>
        <w:tc>
          <w:tcPr>
            <w:tcW w:w="280" w:type="dxa"/>
            <w:vAlign w:val="bottom"/>
            <w:gridSpan w:val="2"/>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29,573</w:t>
            </w:r>
          </w:p>
        </w:tc>
        <w:tc>
          <w:tcPr>
            <w:tcW w:w="10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29,111,863</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EEEEEE"/>
          </w:tcPr>
          <w:p>
            <w:pPr>
              <w:jc w:val="right"/>
              <w:ind w:right="159"/>
              <w:spacing w:after="0"/>
              <w:rPr>
                <w:sz w:val="20"/>
                <w:szCs w:val="20"/>
                <w:color w:val="auto"/>
              </w:rPr>
            </w:pPr>
            <w:r>
              <w:rPr>
                <w:rFonts w:ascii="Times New Roman" w:cs="Times New Roman" w:eastAsia="Times New Roman" w:hAnsi="Times New Roman"/>
                <w:sz w:val="14"/>
                <w:szCs w:val="14"/>
                <w:color w:val="auto"/>
              </w:rPr>
              <w:t>3,262,948</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EEEEEE"/>
          </w:tcPr>
          <w:p>
            <w:pPr>
              <w:jc w:val="right"/>
              <w:ind w:right="139"/>
              <w:spacing w:after="0"/>
              <w:rPr>
                <w:sz w:val="20"/>
                <w:szCs w:val="20"/>
                <w:color w:val="auto"/>
              </w:rPr>
            </w:pPr>
            <w:r>
              <w:rPr>
                <w:rFonts w:ascii="Times New Roman" w:cs="Times New Roman" w:eastAsia="Times New Roman" w:hAnsi="Times New Roman"/>
                <w:sz w:val="14"/>
                <w:szCs w:val="14"/>
                <w:color w:val="auto"/>
              </w:rPr>
              <w:t>(13,232)</w:t>
            </w:r>
          </w:p>
        </w:tc>
        <w:tc>
          <w:tcPr>
            <w:tcW w:w="18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5,678</w:t>
            </w:r>
          </w:p>
        </w:tc>
        <w:tc>
          <w:tcPr>
            <w:tcW w:w="160" w:type="dxa"/>
            <w:vAlign w:val="bottom"/>
            <w:shd w:val="clear" w:color="auto" w:fill="EEEEEE"/>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32,396,830</w:t>
            </w:r>
          </w:p>
        </w:tc>
        <w:tc>
          <w:tcPr>
            <w:tcW w:w="0" w:type="dxa"/>
            <w:vAlign w:val="bottom"/>
          </w:tcPr>
          <w:p>
            <w:pPr>
              <w:spacing w:after="0"/>
              <w:rPr>
                <w:sz w:val="1"/>
                <w:szCs w:val="1"/>
                <w:color w:val="auto"/>
              </w:rPr>
            </w:pPr>
          </w:p>
        </w:tc>
      </w:tr>
      <w:tr>
        <w:trPr>
          <w:trHeight w:val="142"/>
        </w:trPr>
        <w:tc>
          <w:tcPr>
            <w:tcW w:w="35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(4,182,376)</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(2,805)</w:t>
            </w: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(4,185,181)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137,882</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137,882</w:t>
            </w:r>
          </w:p>
        </w:tc>
        <w:tc>
          <w:tcPr>
            <w:tcW w:w="0" w:type="dxa"/>
            <w:vAlign w:val="bottom"/>
          </w:tcPr>
          <w:p>
            <w:pPr>
              <w:spacing w:after="0"/>
              <w:rPr>
                <w:sz w:val="1"/>
                <w:szCs w:val="1"/>
                <w:color w:val="auto"/>
              </w:rPr>
            </w:pPr>
          </w:p>
        </w:tc>
      </w:tr>
      <w:tr>
        <w:trPr>
          <w:trHeight w:val="162"/>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(111,475)</w:t>
            </w:r>
          </w:p>
        </w:tc>
        <w:tc>
          <w:tcPr>
            <w:tcW w:w="16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(111,475)</w:t>
            </w:r>
          </w:p>
        </w:tc>
        <w:tc>
          <w:tcPr>
            <w:tcW w:w="0" w:type="dxa"/>
            <w:vAlign w:val="bottom"/>
          </w:tcPr>
          <w:p>
            <w:pPr>
              <w:spacing w:after="0"/>
              <w:rPr>
                <w:sz w:val="1"/>
                <w:szCs w:val="1"/>
                <w:color w:val="auto"/>
              </w:rPr>
            </w:pPr>
          </w:p>
        </w:tc>
      </w:tr>
      <w:tr>
        <w:trPr>
          <w:trHeight w:val="142"/>
        </w:trPr>
        <w:tc>
          <w:tcPr>
            <w:tcW w:w="350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2022, unaudited</w:t>
            </w:r>
          </w:p>
        </w:tc>
        <w:tc>
          <w:tcPr>
            <w:tcW w:w="92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29,572,382</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bottom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29,573</w:t>
            </w:r>
          </w:p>
        </w:tc>
        <w:tc>
          <w:tcPr>
            <w:tcW w:w="2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bottom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29,249,745</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(919,428</w:t>
            </w:r>
          </w:p>
        </w:tc>
        <w:tc>
          <w:tcPr>
            <w:tcW w:w="200" w:type="dxa"/>
            <w:vAlign w:val="bottom"/>
            <w:tcBorders>
              <w:top w:val="single" w:sz="8" w:color="EEEEEE"/>
            </w:tcBorders>
            <w:shd w:val="clear" w:color="auto" w:fill="EEEEEE"/>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(16,037</w:t>
            </w:r>
          </w:p>
        </w:tc>
        <w:tc>
          <w:tcPr>
            <w:tcW w:w="220" w:type="dxa"/>
            <w:vAlign w:val="bottom"/>
            <w:tcBorders>
              <w:top w:val="single" w:sz="8" w:color="EEEEEE"/>
            </w:tcBorders>
            <w:shd w:val="clear" w:color="auto" w:fill="EEEEEE"/>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(105,797</w:t>
            </w:r>
          </w:p>
        </w:tc>
        <w:tc>
          <w:tcPr>
            <w:tcW w:w="220" w:type="dxa"/>
            <w:vAlign w:val="bottom"/>
            <w:tcBorders>
              <w:top w:val="single" w:sz="8" w:color="EEEEEE"/>
            </w:tcBorders>
            <w:shd w:val="clear" w:color="auto" w:fill="EEEEEE"/>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28,238,056</w:t>
            </w:r>
          </w:p>
        </w:tc>
        <w:tc>
          <w:tcPr>
            <w:tcW w:w="10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(3,290,439)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(3,293,274)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132,266</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92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2"/>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132,266</w:t>
            </w:r>
          </w:p>
        </w:tc>
        <w:tc>
          <w:tcPr>
            <w:tcW w:w="0" w:type="dxa"/>
            <w:vAlign w:val="bottom"/>
          </w:tcPr>
          <w:p>
            <w:pPr>
              <w:spacing w:after="0"/>
              <w:rPr>
                <w:sz w:val="1"/>
                <w:szCs w:val="1"/>
                <w:color w:val="auto"/>
              </w:rPr>
            </w:pPr>
          </w:p>
        </w:tc>
      </w:tr>
      <w:tr>
        <w:trPr>
          <w:trHeight w:val="162"/>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47,149</w:t>
            </w:r>
          </w:p>
        </w:tc>
        <w:tc>
          <w:tcPr>
            <w:tcW w:w="16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47,149</w:t>
            </w:r>
          </w:p>
        </w:tc>
        <w:tc>
          <w:tcPr>
            <w:tcW w:w="0" w:type="dxa"/>
            <w:vAlign w:val="bottom"/>
          </w:tcPr>
          <w:p>
            <w:pPr>
              <w:spacing w:after="0"/>
              <w:rPr>
                <w:sz w:val="1"/>
                <w:szCs w:val="1"/>
                <w:color w:val="auto"/>
              </w:rPr>
            </w:pPr>
          </w:p>
        </w:tc>
      </w:tr>
      <w:tr>
        <w:trPr>
          <w:trHeight w:val="155"/>
        </w:trPr>
        <w:tc>
          <w:tcPr>
            <w:tcW w:w="3500" w:type="dxa"/>
            <w:vAlign w:val="bottom"/>
            <w:tcBorders>
              <w:top w:val="single" w:sz="8" w:color="EEEEEE"/>
              <w:bottom w:val="single" w:sz="8" w:color="EEEEEE"/>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2022, unaudited</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29,572,382</w:t>
            </w: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29,573</w:t>
            </w:r>
          </w:p>
        </w:tc>
        <w:tc>
          <w:tcPr>
            <w:tcW w:w="24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auto"/>
              <w:bottom w:val="single" w:sz="8" w:color="auto"/>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29,382,011</w:t>
            </w:r>
          </w:p>
        </w:tc>
        <w:tc>
          <w:tcPr>
            <w:tcW w:w="2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(4,209,867</w:t>
            </w:r>
          </w:p>
        </w:tc>
        <w:tc>
          <w:tcPr>
            <w:tcW w:w="200" w:type="dxa"/>
            <w:vAlign w:val="bottom"/>
            <w:tcBorders>
              <w:top w:val="single" w:sz="8" w:color="EEEEEE"/>
              <w:bottom w:val="single" w:sz="8" w:color="EEEEEE"/>
            </w:tcBorders>
            <w:shd w:val="clear" w:color="auto" w:fill="EEEEEE"/>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(18,872</w:t>
            </w:r>
          </w:p>
        </w:tc>
        <w:tc>
          <w:tcPr>
            <w:tcW w:w="220" w:type="dxa"/>
            <w:vAlign w:val="bottom"/>
            <w:tcBorders>
              <w:top w:val="single" w:sz="8" w:color="EEEEEE"/>
              <w:bottom w:val="single" w:sz="8" w:color="EEEEEE"/>
            </w:tcBorders>
            <w:shd w:val="clear" w:color="auto" w:fill="EEEEEE"/>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shd w:val="clear" w:color="auto" w:fill="EEEEEE"/>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(58,648</w:t>
            </w:r>
          </w:p>
        </w:tc>
        <w:tc>
          <w:tcPr>
            <w:tcW w:w="220" w:type="dxa"/>
            <w:vAlign w:val="bottom"/>
            <w:tcBorders>
              <w:top w:val="single" w:sz="8" w:color="EEEEEE"/>
              <w:bottom w:val="single" w:sz="8" w:color="EEEEEE"/>
            </w:tcBorders>
            <w:shd w:val="clear" w:color="auto" w:fill="EEEEEE"/>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shd w:val="clear" w:color="auto" w:fill="EEEEEE"/>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Times New Roman" w:cs="Times New Roman" w:eastAsia="Times New Roman" w:hAnsi="Times New Roman"/>
                <w:sz w:val="14"/>
                <w:szCs w:val="14"/>
                <w:color w:val="auto"/>
              </w:rPr>
              <w:t>25,124,197</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December 31, 2023 and 2022</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For the Six Months Ended December 31,</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(3,207,334)</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(7,478,455)</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cash provided by operating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402,342</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393,168</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Inventory reserve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222,755</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74,998</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1,826</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7,328</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Impairment loss - goodwill</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3,060,034</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259,127</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270,148</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(966)</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30,023</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premium / discount and non-cash financing costs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107,452</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107,349</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2,305,710</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5,785,530</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4,588,812</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7,100,607</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tax assets / liabilities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(967,113)</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(1,788,694)</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1,278,027</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1,729,990</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Non-current prepayments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140,844</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215,834</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7,965</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5,420</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686,843</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2,607,691</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Credit cards payable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(25,869)</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(584,648)</w:t>
            </w:r>
          </w:p>
        </w:tc>
        <w:tc>
          <w:tcPr>
            <w:tcW w:w="0" w:type="dxa"/>
            <w:vAlign w:val="bottom"/>
          </w:tcPr>
          <w:p>
            <w:pPr>
              <w:spacing w:after="0"/>
              <w:rPr>
                <w:sz w:val="1"/>
                <w:szCs w:val="1"/>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deposit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(9,719)</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95,260</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(848,767)</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(3,844,758)</w:t>
            </w:r>
          </w:p>
        </w:tc>
        <w:tc>
          <w:tcPr>
            <w:tcW w:w="0" w:type="dxa"/>
            <w:vAlign w:val="bottom"/>
          </w:tcPr>
          <w:p>
            <w:pPr>
              <w:spacing w:after="0"/>
              <w:rPr>
                <w:sz w:val="1"/>
                <w:szCs w:val="1"/>
                <w:color w:val="auto"/>
              </w:rPr>
            </w:pPr>
          </w:p>
        </w:tc>
      </w:tr>
      <w:tr>
        <w:trPr>
          <w:trHeight w:val="21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103,796</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(8,617)</w:t>
            </w:r>
          </w:p>
        </w:tc>
        <w:tc>
          <w:tcPr>
            <w:tcW w:w="0" w:type="dxa"/>
            <w:vAlign w:val="bottom"/>
          </w:tcPr>
          <w:p>
            <w:pPr>
              <w:spacing w:after="0"/>
              <w:rPr>
                <w:sz w:val="1"/>
                <w:szCs w:val="1"/>
                <w:color w:val="auto"/>
              </w:rPr>
            </w:pPr>
          </w:p>
        </w:tc>
      </w:tr>
      <w:tr>
        <w:trPr>
          <w:trHeight w:val="199"/>
        </w:trPr>
        <w:tc>
          <w:tcPr>
            <w:tcW w:w="73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5,045,731</w:t>
            </w:r>
          </w:p>
        </w:tc>
        <w:tc>
          <w:tcPr>
            <w:tcW w:w="3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7,778,208</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equipment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(127,367)</w:t>
            </w:r>
          </w:p>
        </w:tc>
        <w:tc>
          <w:tcPr>
            <w:tcW w:w="0" w:type="dxa"/>
            <w:vAlign w:val="bottom"/>
          </w:tcPr>
          <w:p>
            <w:pPr>
              <w:spacing w:after="0"/>
              <w:rPr>
                <w:sz w:val="1"/>
                <w:szCs w:val="1"/>
                <w:color w:val="auto"/>
              </w:rPr>
            </w:pPr>
          </w:p>
        </w:tc>
      </w:tr>
      <w:tr>
        <w:trPr>
          <w:trHeight w:val="199"/>
        </w:trPr>
        <w:tc>
          <w:tcPr>
            <w:tcW w:w="732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(127,367)</w:t>
            </w: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related parties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94,409</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Payments to related parties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(82,500)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short-term loans - related party</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2,000,000</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31,385</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 on investment payable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(1,500,000)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short-term loans - related party</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(1,000,000)</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Payments on short-term loans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(875,000)</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(906,385)</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long-term loans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3,022,655</w:t>
            </w: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Payments on long-term loans</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(7,300,000)</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(6,200,000)</w:t>
            </w:r>
          </w:p>
        </w:tc>
        <w:tc>
          <w:tcPr>
            <w:tcW w:w="0" w:type="dxa"/>
            <w:vAlign w:val="bottom"/>
          </w:tcPr>
          <w:p>
            <w:pPr>
              <w:spacing w:after="0"/>
              <w:rPr>
                <w:sz w:val="1"/>
                <w:szCs w:val="1"/>
                <w:color w:val="auto"/>
              </w:rPr>
            </w:pPr>
          </w:p>
        </w:tc>
      </w:tr>
      <w:tr>
        <w:trPr>
          <w:trHeight w:val="196"/>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(7,175,000)</w:t>
            </w: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(5,540,436)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(118,346)</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64,773</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CHANGES IN CASH</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(2,247,615)</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2,175,178</w:t>
            </w:r>
          </w:p>
        </w:tc>
        <w:tc>
          <w:tcPr>
            <w:tcW w:w="0" w:type="dxa"/>
            <w:vAlign w:val="bottom"/>
          </w:tcPr>
          <w:p>
            <w:pPr>
              <w:spacing w:after="0"/>
              <w:rPr>
                <w:sz w:val="1"/>
                <w:szCs w:val="1"/>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 beginning of period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3,735,642</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1,821,947</w:t>
            </w:r>
          </w:p>
        </w:tc>
        <w:tc>
          <w:tcPr>
            <w:tcW w:w="0" w:type="dxa"/>
            <w:vAlign w:val="bottom"/>
          </w:tcPr>
          <w:p>
            <w:pPr>
              <w:spacing w:after="0"/>
              <w:rPr>
                <w:sz w:val="1"/>
                <w:szCs w:val="1"/>
                <w:color w:val="auto"/>
              </w:rPr>
            </w:pPr>
          </w:p>
        </w:tc>
      </w:tr>
      <w:tr>
        <w:trPr>
          <w:trHeight w:val="199"/>
        </w:trPr>
        <w:tc>
          <w:tcPr>
            <w:tcW w:w="7320" w:type="dxa"/>
            <w:vAlign w:val="bottom"/>
            <w:tcBorders>
              <w:top w:val="single" w:sz="8" w:color="EEEEEE"/>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 end of period</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1,488,027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3,997,125</w:t>
            </w:r>
          </w:p>
        </w:tc>
        <w:tc>
          <w:tcPr>
            <w:tcW w:w="0" w:type="dxa"/>
            <w:vAlign w:val="bottom"/>
          </w:tcPr>
          <w:p>
            <w:pPr>
              <w:spacing w:after="0"/>
              <w:rPr>
                <w:sz w:val="1"/>
                <w:szCs w:val="1"/>
                <w:color w:val="auto"/>
              </w:rPr>
            </w:pPr>
          </w:p>
        </w:tc>
      </w:tr>
      <w:tr>
        <w:trPr>
          <w:trHeight w:val="186"/>
        </w:trPr>
        <w:tc>
          <w:tcPr>
            <w:tcW w:w="7320" w:type="dxa"/>
            <w:vAlign w:val="bottom"/>
            <w:tcBorders>
              <w:top w:val="single" w:sz="8" w:color="EEEEEE"/>
            </w:tcBorders>
            <w:shd w:val="clear" w:color="auto" w:fill="EEEEEE"/>
          </w:tcPr>
          <w:p>
            <w:pPr>
              <w:spacing w:after="0"/>
              <w:rPr>
                <w:sz w:val="16"/>
                <w:szCs w:val="16"/>
                <w:color w:val="auto"/>
              </w:rPr>
            </w:pPr>
          </w:p>
        </w:tc>
        <w:tc>
          <w:tcPr>
            <w:tcW w:w="340" w:type="dxa"/>
            <w:vAlign w:val="bottom"/>
            <w:tcBorders>
              <w:top w:val="single" w:sz="8" w:color="EEEEEE"/>
            </w:tcBorders>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134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134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Cash paid for income tax</w:t>
            </w:r>
          </w:p>
        </w:tc>
        <w:tc>
          <w:tcPr>
            <w:tcW w:w="58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55,000</w:t>
            </w:r>
          </w:p>
        </w:tc>
        <w:tc>
          <w:tcPr>
            <w:tcW w:w="0" w:type="dxa"/>
            <w:vAlign w:val="bottom"/>
          </w:tcPr>
          <w:p>
            <w:pPr>
              <w:spacing w:after="0"/>
              <w:rPr>
                <w:sz w:val="1"/>
                <w:szCs w:val="1"/>
                <w:color w:val="auto"/>
              </w:rPr>
            </w:pPr>
          </w:p>
        </w:tc>
      </w:tr>
      <w:tr>
        <w:trPr>
          <w:trHeight w:val="20"/>
        </w:trPr>
        <w:tc>
          <w:tcPr>
            <w:tcW w:w="732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Borders>
              <w:top w:val="single" w:sz="8" w:color="EEEEEE"/>
              <w:bottom w:val="single" w:sz="8" w:color="EEEEEE"/>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20" w:type="dxa"/>
            <w:vAlign w:val="bottom"/>
            <w:tcBorders>
              <w:bottom w:val="single" w:sz="8" w:color="EEEEEE"/>
            </w:tcBorders>
            <w:vMerge w:val="continue"/>
          </w:tcPr>
          <w:p>
            <w:pPr>
              <w:spacing w:after="0"/>
              <w:rPr>
                <w:sz w:val="19"/>
                <w:szCs w:val="19"/>
                <w:color w:val="auto"/>
              </w:rPr>
            </w:pPr>
          </w:p>
        </w:tc>
        <w:tc>
          <w:tcPr>
            <w:tcW w:w="340" w:type="dxa"/>
            <w:vAlign w:val="bottom"/>
            <w:tcBorders>
              <w:bottom w:val="single" w:sz="8" w:color="EEEEEE"/>
            </w:tcBorders>
            <w:vMerge w:val="continue"/>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EEEEEE"/>
            </w:tcBorders>
            <w:vMerge w:val="continue"/>
          </w:tcPr>
          <w:p>
            <w:pPr>
              <w:spacing w:after="0"/>
              <w:rPr>
                <w:sz w:val="19"/>
                <w:szCs w:val="19"/>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EEEEEE"/>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73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3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TRANSACTIONS: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Right of use assets acquired under new operating leases</w:t>
            </w:r>
          </w:p>
        </w:tc>
        <w:tc>
          <w:tcPr>
            <w:tcW w:w="58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632,732</w:t>
            </w:r>
          </w:p>
        </w:tc>
        <w:tc>
          <w:tcPr>
            <w:tcW w:w="240" w:type="dxa"/>
            <w:vAlign w:val="bottom"/>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2023 and June 30, 2023 and for the Three and Six Months Ended December 31, 2023 and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 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and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2024, or for any other interim period or for any other future year. All intercompany balances and transactions have been eliminated in consolidation.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included in the Annual Report for the year ended June 30, 2023, which are included in Form 10-K filed with the SEC on September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Company’s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December 31, 2023, were translated at 7.0786 RMB to $1.00. The equity accounts were stated at their historical rates. The average translation rates applied to statements of operations and comprehensive income (loss) accounts for the six months ended December 31, 2023 was 7.2201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recognized and carried at the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the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regarding the acquisition.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regarding the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quarter ended September 30, 2022. The Company also considered the Market Capital Method, an alternative market approach, which suggested the Company’s goodwill is partially impaired.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ended December 31, 2023, in addition to a qualitative goodwill impairment analysis following the steps laid out in ASC 350-20-35-3C, the Company also performed a quantitative analysis using the Discounted Cash Flow and Market Capital Method and noted no goodwill impairment. As of December 31, 2023 and 2022, the goodwill balance amounted to $3,034,110 and $3,034,110,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December 31, 2023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EEEEEE"/>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0"/>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16"/>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December 31, 2023 and 2022, there were no indicators of impairment.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as part of the consideration paid for the acquisition of Anivia, the Company issued a two-year unsecured 6% subordinated promissory note, payable in equal semi-annual installments commencing August 15, 2022 (the “Purchase Note”). The principal amount of the Purchase Note was $3.5 million. On February 15, 2022, the Company evaluated the fair value of the Purchase Note to be $3.6 million using the following inputs: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Corporate bond yield</w:t>
            </w:r>
          </w:p>
        </w:tc>
        <w:tc>
          <w:tcPr>
            <w:tcW w:w="22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Liquidity premium</w:t>
            </w:r>
          </w:p>
        </w:tc>
        <w:tc>
          <w:tcPr>
            <w:tcW w:w="22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outstanding balance of the Purchase Note was $1,150,508, including principal due of $875,000, a premium of $6,445, and $269,063 of accrued interest.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 As a result of those measurements, we recognized an impairment charge of $3.1 million during the year ended June 30, 2023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r>
      <w:tr>
        <w:trPr>
          <w:trHeight w:val="238"/>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10"/>
        </w:trPr>
        <w:tc>
          <w:tcPr>
            <w:tcW w:w="41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97"/>
              </w:rPr>
              <w:t>3,060,034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7"/>
              </w:rPr>
              <w:t>3,060,034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with a total carrying value of $6.1 million, was written down to its fair value of $3.0 million, resulting in an impairment charge of $3,060,034, which was recorded in earnings for the year ended June 30, 2023.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advertising and promotional costs included in selling and fulfillment expenses for the three and six months ended December 31, 2023 and 2022 were as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23"/>
        </w:trPr>
        <w:tc>
          <w:tcPr>
            <w:tcW w:w="4740" w:type="dxa"/>
            <w:vAlign w:val="bottom"/>
            <w:tcBorders>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r>
      <w:tr>
        <w:trPr>
          <w:trHeight w:val="223"/>
        </w:trPr>
        <w:tc>
          <w:tcPr>
            <w:tcW w:w="47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1,139,239</w:t>
            </w:r>
          </w:p>
        </w:tc>
        <w:tc>
          <w:tcPr>
            <w:tcW w:w="34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1,306,112</w:t>
            </w:r>
          </w:p>
        </w:tc>
        <w:tc>
          <w:tcPr>
            <w:tcW w:w="3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2,709,981</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2,472,461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six months ended December 31, 2023 and 2022, sales through Amazon to Canada and other foreign countries were approximately 9.8% and 13.5% of the Company’s total sales. During the six months ended December 31, 2023, sales of hydroponic products, including ventilation and grow light systems, was approximately 19.3% of the Company’s total sales and the remaining 80.7% consisted of general gardening, home goods, and other products and accessories. During the six months ended December 31, 2022, sales of hydroponic products, including ventilation and grow light systems, were approximately 47% of the Company’s total sales and the remaining 53% consisted of general gardening, home goods and other products and accessories. As of December 31, 2023 and June 30, 2023, the Company had approximately $2.1 million and $1.6 million of inventory stored in China, respectively. The Company’s majority of long-lived assets are located in California, United States, a majority of the deferred tax assets are U.S. related, and a majority of the Company’s revenues are derived from within the 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convertible or exercisable into common stock were issued upon conversion or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its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the disclosures above on Goodwill for further details.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unaudited condensed consolidated financial statements are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 For the three and six months ended December 31, 2023 and 2022, the impact of GSM’s activities were immaterial to the Company’s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4 - Acquisition of Anivia Limited and Subsidiaries and Variable Interest Entity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consist of a management fee and a fee for services provided, as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logistics services in the PRC.</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fair value of the consideration for the transaction was $10,629,000, which was paid to White Cherry as follows: at closing, the Company (i) paid $3,500,000 in the form of a two-year unsecured 6% subordinated promissory note, payable in equal semi-annual installments commencing August 15, 2022 (the “Purchase Note”), (ii) issued 3,083,700 restricted shares of the Company’s common stock, which shares were subject to a lock-up period of 180 days and remain subject to insider trading rules, and (iii) an additional $1,500,000 in cash which was to be paid after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Fly Elephant Limited and the WFOE.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in conjunction with the Company’s entry into the Second Amendment to the Credit Agreement, the Company’s promissory note holder, White Cherry, entered into an amendment (the “Amendment”) to the subordination agreement, originally dated March 9, 2022 (the “Subordination Agreement”). The Amendment to the Subordination Agreement was amended solely for purposes of adjusting the definition of payment conditions under Section 2 of the Subordination Agreement such that “payment conditions” thereafter were to be deemed satisfied in connection with a permitted payment if</w:t>
      </w:r>
    </w:p>
    <w:p>
      <w:pPr>
        <w:spacing w:after="0" w:line="3" w:lineRule="exact"/>
        <w:rPr>
          <w:sz w:val="20"/>
          <w:szCs w:val="20"/>
          <w:color w:val="auto"/>
        </w:rPr>
      </w:pPr>
    </w:p>
    <w:p>
      <w:pPr>
        <w:ind w:firstLine="8"/>
        <w:spacing w:after="0" w:line="260"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under the credit agreement and is continuing and (b) the Company has Excess Availability in the 30 days prior to the payment (as defined in the Second Amendment to the Credit Agreement) of no less than $7,500,000.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conjunction with the closing of the transaction, the WFOE entered into an employment agreement with Li Zanyu, dated February 15, 2022 (the “Employment Agreement”), pursuant to which Mr. Li was appointed to serve as general manager of the WFOE for a term of 10 years (through February 14, 2032), with annual base compensation of up to 500,000 RMB plus bonus as may be determined by the WFOE from time to time, in its sole discretion, based on Mr. Li’s performance. During his term of employment, Mr. Li may not engage in other employment without the consent of the WFOE.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will bear joint and several liability for any direct or indirect losses suffered by the Company as a result thereof. The Company recognized approximately $6.1 million of goodwill in the transaction, which is primarily due to the subsumed assembled workforce intangible assets. Goodwill is not deductible for income tax purposes. The Company expensed with the acquisition certain legal and accounting costs of $54,702 as general and administration expenses and $50,000 paid to JPM as financing fees.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summarizes the purchase consideration and allocation of the fair values assigned to the assets at the purchase date, February 15,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Purchase Price:</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Promissory note issued</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3,600,627</w:t>
            </w:r>
          </w:p>
        </w:tc>
        <w:tc>
          <w:tcPr>
            <w:tcW w:w="80" w:type="dxa"/>
            <w:vAlign w:val="bottom"/>
          </w:tcPr>
          <w:p>
            <w:pPr>
              <w:spacing w:after="0"/>
              <w:rPr>
                <w:sz w:val="18"/>
                <w:szCs w:val="18"/>
                <w:color w:val="auto"/>
              </w:rPr>
            </w:pPr>
          </w:p>
        </w:tc>
      </w:tr>
      <w:tr>
        <w:trPr>
          <w:trHeight w:val="229"/>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Common stock issued</w:t>
            </w:r>
          </w:p>
        </w:tc>
        <w:tc>
          <w:tcPr>
            <w:tcW w:w="4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5,528,373</w:t>
            </w:r>
          </w:p>
        </w:tc>
        <w:tc>
          <w:tcPr>
            <w:tcW w:w="80" w:type="dxa"/>
            <w:vAlign w:val="bottom"/>
            <w:shd w:val="clear" w:color="auto" w:fill="EEEEEE"/>
          </w:tcPr>
          <w:p>
            <w:pPr>
              <w:spacing w:after="0"/>
              <w:rPr>
                <w:sz w:val="19"/>
                <w:szCs w:val="19"/>
                <w:color w:val="auto"/>
              </w:rPr>
            </w:pPr>
          </w:p>
        </w:tc>
      </w:tr>
      <w:tr>
        <w:trPr>
          <w:trHeight w:val="263"/>
        </w:trPr>
        <w:tc>
          <w:tcPr>
            <w:tcW w:w="95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10,629,000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95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Covenant not to compete</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3,459,120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Supplier relationship</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1,179,246</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534,591</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1,784,113</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46,548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 deposit</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52,707</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ROU asset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234,578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6,094,144</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(1,389,113)</w:t>
            </w: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(1,143,076)</w:t>
            </w:r>
          </w:p>
        </w:tc>
      </w:tr>
      <w:tr>
        <w:trPr>
          <w:trHeight w:val="230"/>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420" w:type="dxa"/>
            <w:vAlign w:val="bottom"/>
            <w:shd w:val="clear" w:color="auto" w:fill="EEEEEE"/>
          </w:tcPr>
          <w:p>
            <w:pPr>
              <w:spacing w:after="0"/>
              <w:rPr>
                <w:sz w:val="19"/>
                <w:szCs w:val="19"/>
                <w:color w:val="auto"/>
              </w:rPr>
            </w:pPr>
          </w:p>
        </w:tc>
        <w:tc>
          <w:tcPr>
            <w:tcW w:w="12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(223,858)</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2022, the $1.5 million cash portion of the consideration, which was presented as investment payable, was fully paid 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of Anivia since February 16, 2022 have been included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5 – Variable interest entity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 See Note 4 for details.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provide financial or other support to the VIE for the periods presented where the Company was not otherwise contractually required to provide such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there was no pledge or collateralization of the VIE assets that would be used to settle obligations of the VIE.</w:t>
      </w:r>
    </w:p>
    <w:p>
      <w:pPr>
        <w:spacing w:after="0" w:line="22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carrying amounts of the assets, liabilities and the results of operations of the VIE included in the Company’s unaudited condensed consolidated balance sheets and statements of operations and comprehensive income after the elimination of intercompany balances and transactions with the VIE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periods indicated:</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76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6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auto"/>
            </w:tcBorders>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397,027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341,774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327,931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664,886</w:t>
            </w:r>
          </w:p>
        </w:tc>
      </w:tr>
      <w:tr>
        <w:trPr>
          <w:trHeight w:val="216"/>
        </w:trPr>
        <w:tc>
          <w:tcPr>
            <w:tcW w:w="7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60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74,209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81,624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33,774</w:t>
            </w:r>
          </w:p>
        </w:tc>
      </w:tr>
      <w:tr>
        <w:trPr>
          <w:trHeight w:val="216"/>
        </w:trPr>
        <w:tc>
          <w:tcPr>
            <w:tcW w:w="7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60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543,307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64,510</w:t>
            </w:r>
          </w:p>
        </w:tc>
      </w:tr>
      <w:tr>
        <w:trPr>
          <w:trHeight w:val="216"/>
        </w:trPr>
        <w:tc>
          <w:tcPr>
            <w:tcW w:w="7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from shareholders</w:t>
            </w:r>
          </w:p>
        </w:tc>
        <w:tc>
          <w:tcPr>
            <w:tcW w:w="60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87,305</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85,200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256,944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w:t>
            </w:r>
          </w:p>
        </w:tc>
      </w:tr>
      <w:tr>
        <w:trPr>
          <w:trHeight w:val="216"/>
        </w:trPr>
        <w:tc>
          <w:tcPr>
            <w:tcW w:w="7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60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545,219</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6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283,519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276,683</w:t>
            </w:r>
          </w:p>
        </w:tc>
      </w:tr>
      <w:tr>
        <w:trPr>
          <w:trHeight w:val="216"/>
        </w:trPr>
        <w:tc>
          <w:tcPr>
            <w:tcW w:w="7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600" w:type="dxa"/>
            <w:vAlign w:val="bottom"/>
            <w:gridSpan w:val="2"/>
            <w:shd w:val="clear" w:color="auto" w:fill="EEEEEE"/>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526,727</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344,735</w:t>
            </w:r>
          </w:p>
        </w:tc>
      </w:tr>
      <w:tr>
        <w:trPr>
          <w:trHeight w:val="432"/>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six months ended December 31, 2023:</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09"/>
        </w:trPr>
        <w:tc>
          <w:tcPr>
            <w:tcW w:w="76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after elimination of intercompany transactions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27,461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(391,882)</w:t>
            </w:r>
          </w:p>
        </w:tc>
      </w:tr>
      <w:tr>
        <w:trPr>
          <w:trHeight w:val="41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six months ended December 31, 2022: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24"/>
                <w:szCs w:val="24"/>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w:t>
            </w:r>
          </w:p>
        </w:tc>
      </w:tr>
      <w:tr>
        <w:trPr>
          <w:trHeight w:val="209"/>
        </w:trPr>
        <w:tc>
          <w:tcPr>
            <w:tcW w:w="76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after elimination of intercompany transactions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(177,947)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(911,564)</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2023, the VIE contributed approximately $1.8 million and $3.9 million of revenue and $0.15 million and $0.2 million of net loss before elimination, respectively. For the three and six months ended December 31, 2022, the VIE contributed approximately $1.1 million and $4.3 million of revenue and $0.1 million and $0.6 million of net loss before elimination,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Accounts receivable, net</w:t>
            </w: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4"/>
                <w:szCs w:val="24"/>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09"/>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11,835,833</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14,141,543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11,765,833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14,071,543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changes in allowance for credit losses on accounts receivable are summarized below:</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209"/>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2022</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3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3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2023</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Inventories,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June 30, 2023, inventories consisted of finished goods ready for sale, net of allowance for obsolescence, amounted to $15,782,322 and $20,593,889,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2023, the Company recorded inventory reserve expense of $117,563 and $222,755, respectively. For the three and six months ended December 31, 2022, the Company recorded inventory reserve expense of $74,998 and $74,998, respectively. As of December 31, 2023 and June 30, 2023, allowance for obsolescence was $781,655 and $558,899,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8 – 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June 30, 2023, prepayments and other current assets consisted of the following:</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to suppliers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income taxes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credit losses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19685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000" w:hanging="99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750,973</w:t>
      </w:r>
    </w:p>
    <w:p>
      <w:pPr>
        <w:spacing w:after="0" w:line="2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8"/>
          <w:szCs w:val="18"/>
          <w:color w:val="auto"/>
        </w:rPr>
        <w:t>939,377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(249,128)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14605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1" w:lineRule="exact"/>
        <w:rPr>
          <w:sz w:val="20"/>
          <w:szCs w:val="20"/>
          <w:color w:val="auto"/>
        </w:rPr>
      </w:pPr>
    </w:p>
    <w:p>
      <w:pPr>
        <w:ind w:left="860" w:hanging="85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1,483,209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1002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10026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June 30, 2023</w:t>
      </w:r>
    </w:p>
    <w:p>
      <w:pPr>
        <w:spacing w:after="0" w:line="31" w:lineRule="exact"/>
        <w:rPr>
          <w:sz w:val="20"/>
          <w:szCs w:val="20"/>
          <w:color w:val="auto"/>
        </w:rPr>
      </w:pPr>
    </w:p>
    <w:p>
      <w:pPr>
        <w:ind w:left="860" w:hanging="854"/>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1,668,173</w:t>
      </w:r>
    </w:p>
    <w:p>
      <w:pPr>
        <w:spacing w:after="0" w:line="2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45,718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1,393,433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(249,128)</w:t>
      </w:r>
    </w:p>
    <w:p>
      <w:pPr>
        <w:spacing w:after="0" w:line="261" w:lineRule="exact"/>
        <w:rPr>
          <w:sz w:val="20"/>
          <w:szCs w:val="20"/>
          <w:color w:val="auto"/>
        </w:rPr>
      </w:pPr>
    </w:p>
    <w:p>
      <w:pPr>
        <w:ind w:left="860" w:hanging="854"/>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2,858,196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994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34290</wp:posOffset>
            </wp:positionV>
            <wp:extent cx="9944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720"/>
            <w:col w:w="1640" w:space="260"/>
            <w:col w:w="1680"/>
          </w:cols>
          <w:pgMar w:left="320" w:top="792" w:right="339" w:bottom="1440" w:gutter="0" w:footer="0" w:header="0"/>
          <w:type w:val="continuous"/>
        </w:sectPr>
      </w:pP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$64,831 and $165,962 and receivables from one and two unrelated parties for their use of the Company’s courier accounts at December 31, 2023 and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allowance for credit losses on other receivables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209"/>
        </w:trPr>
        <w:tc>
          <w:tcPr>
            <w:tcW w:w="5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4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2022</w:t>
            </w:r>
          </w:p>
        </w:tc>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4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2022</w:t>
            </w:r>
          </w:p>
        </w:tc>
        <w:tc>
          <w:tcPr>
            <w:tcW w:w="42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420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tcBorders>
              <w:top w:val="single" w:sz="8" w:color="EEEEEE"/>
            </w:tcBorders>
          </w:tcPr>
          <w:p>
            <w:pPr>
              <w:spacing w:after="0" w:line="20" w:lineRule="exact"/>
              <w:rPr>
                <w:sz w:val="1"/>
                <w:szCs w:val="1"/>
                <w:color w:val="auto"/>
              </w:rPr>
            </w:pPr>
          </w:p>
        </w:tc>
        <w:tc>
          <w:tcPr>
            <w:tcW w:w="42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43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249,128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September 30, 2023</w:t>
            </w:r>
          </w:p>
        </w:tc>
        <w:tc>
          <w:tcPr>
            <w:tcW w:w="4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3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42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249,128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Allowance recorded during the three months ended December 31, 2023</w:t>
            </w:r>
          </w:p>
        </w:tc>
        <w:tc>
          <w:tcPr>
            <w:tcW w:w="420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20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249,128</w:t>
            </w:r>
          </w:p>
        </w:tc>
        <w:tc>
          <w:tcPr>
            <w:tcW w:w="0" w:type="dxa"/>
            <w:vAlign w:val="bottom"/>
          </w:tcPr>
          <w:p>
            <w:pPr>
              <w:spacing w:after="0"/>
              <w:rPr>
                <w:sz w:val="1"/>
                <w:szCs w:val="1"/>
                <w:color w:val="auto"/>
              </w:rPr>
            </w:pPr>
          </w:p>
        </w:tc>
      </w:tr>
      <w:tr>
        <w:trPr>
          <w:trHeight w:val="20"/>
        </w:trPr>
        <w:tc>
          <w:tcPr>
            <w:tcW w:w="5360" w:type="dxa"/>
            <w:vAlign w:val="bottom"/>
            <w:tcBorders>
              <w:top w:val="single" w:sz="8" w:color="EEEEEE"/>
            </w:tcBorders>
          </w:tcPr>
          <w:p>
            <w:pPr>
              <w:spacing w:after="0" w:line="20" w:lineRule="exact"/>
              <w:rPr>
                <w:sz w:val="1"/>
                <w:szCs w:val="1"/>
                <w:color w:val="auto"/>
              </w:rPr>
            </w:pPr>
          </w:p>
        </w:tc>
        <w:tc>
          <w:tcPr>
            <w:tcW w:w="4200" w:type="dxa"/>
            <w:vAlign w:val="bottom"/>
            <w:tcBorders>
              <w:top w:val="single" w:sz="8" w:color="EEEEEE"/>
              <w:bottom w:val="single" w:sz="8" w:color="EEEEEE"/>
            </w:tcBorders>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3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9 – Non-current prepayments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Non-current prepayments included $356,241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$34,371 down payment on a four-year car lease. As of December 31, 2023 and June 30, 2023, total non-current prepayments were $390,612 and $531,456, respectively. For the three and six months ended December 31, 2023, the Company recorded $70,422 and $140,844 amortization of prepayments in the operating expenses, respectively. For the three and six months ended December 31, 2022, the Company recorded $107,917 and $215,834 amortization of prepayments in the operating expenses, respectively.</w:t>
      </w:r>
    </w:p>
    <w:p>
      <w:pPr>
        <w:sectPr>
          <w:pgSz w:w="11900" w:h="16838" w:orient="portrait"/>
          <w:cols w:equalWidth="0" w:num="1">
            <w:col w:w="11240"/>
          </w:cols>
          <w:pgMar w:left="320" w:top="792"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June 30, 2023,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December 31, 2023</w:t>
      </w:r>
    </w:p>
    <w:p>
      <w:pPr>
        <w:spacing w:after="0" w:line="31" w:lineRule="exact"/>
        <w:rPr>
          <w:sz w:val="20"/>
          <w:szCs w:val="20"/>
          <w:color w:val="auto"/>
        </w:rPr>
      </w:pPr>
    </w:p>
    <w:p>
      <w:pPr>
        <w:ind w:left="860" w:hanging="858"/>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(1,217,572)</w:t>
      </w:r>
    </w:p>
    <w:p>
      <w:pPr>
        <w:spacing w:after="0" w:line="31" w:lineRule="exact"/>
        <w:rPr>
          <w:sz w:val="20"/>
          <w:szCs w:val="20"/>
          <w:color w:val="auto"/>
        </w:rPr>
      </w:pPr>
    </w:p>
    <w:p>
      <w:pPr>
        <w:ind w:left="860" w:hanging="858"/>
        <w:spacing w:after="0"/>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3,955,385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0026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8"/>
          <w:szCs w:val="18"/>
          <w:b w:val="1"/>
          <w:bCs w:val="1"/>
          <w:color w:val="auto"/>
        </w:rPr>
        <w:t>June 30, 2023</w:t>
      </w:r>
    </w:p>
    <w:p>
      <w:pPr>
        <w:spacing w:after="0" w:line="31" w:lineRule="exact"/>
        <w:rPr>
          <w:sz w:val="20"/>
          <w:szCs w:val="20"/>
          <w:color w:val="auto"/>
        </w:rPr>
      </w:pPr>
    </w:p>
    <w:p>
      <w:pPr>
        <w:ind w:left="854" w:hanging="854"/>
        <w:spacing w:after="0"/>
        <w:tabs>
          <w:tab w:leader="none" w:pos="8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97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rFonts w:ascii="Times New Roman" w:cs="Times New Roman" w:eastAsia="Times New Roman" w:hAnsi="Times New Roman"/>
          <w:sz w:val="18"/>
          <w:szCs w:val="18"/>
          <w:color w:val="auto"/>
        </w:rPr>
      </w:pPr>
    </w:p>
    <w:p>
      <w:pPr>
        <w:ind w:left="9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(892,886)</w:t>
      </w:r>
    </w:p>
    <w:p>
      <w:pPr>
        <w:spacing w:after="0" w:line="31" w:lineRule="exact"/>
        <w:rPr>
          <w:sz w:val="20"/>
          <w:szCs w:val="20"/>
          <w:color w:val="auto"/>
        </w:rPr>
      </w:pPr>
    </w:p>
    <w:p>
      <w:pPr>
        <w:ind w:left="854" w:hanging="854"/>
        <w:spacing w:after="0"/>
        <w:tabs>
          <w:tab w:leader="none" w:pos="8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944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720"/>
            <w:col w:w="1640" w:space="266"/>
            <w:col w:w="1674"/>
          </w:cols>
          <w:pgMar w:left="320" w:top="792" w:right="339" w:bottom="1440" w:gutter="0" w:footer="0" w:header="0"/>
          <w:type w:val="continuous"/>
        </w:sectPr>
      </w:pP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December 31, 2023 was approximately 6.7 years. The amortization expense for the three and six months ended December 31, 2023 and 2022 was $162,343 and $324,686, respectively. The amortization expense for the three and six months ended December 31, 2022 was $162,343 and $324,686, respectively. At December 31, 2023,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280" w:type="dxa"/>
            <w:vAlign w:val="bottom"/>
          </w:tcPr>
          <w:p>
            <w:pPr>
              <w:spacing w:after="0"/>
              <w:rPr>
                <w:sz w:val="21"/>
                <w:szCs w:val="21"/>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324,686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609,277</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1,253,930</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EEEEEE"/>
              </w:rPr>
              <w:t>Intangible assets, net</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3,955,385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Other payables and accrued liabilities</w:t>
            </w: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December 31, 2023 and June 30, 2023, other payables and accrued liabilities consisted of the following:</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5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200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1,818,236</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2,948,551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851,888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915,319</w:t>
            </w:r>
          </w:p>
        </w:tc>
      </w:tr>
      <w:tr>
        <w:trPr>
          <w:trHeight w:val="216"/>
        </w:trPr>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0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382,715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448,433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226,182</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222,962</w:t>
            </w:r>
          </w:p>
        </w:tc>
      </w:tr>
      <w:tr>
        <w:trPr>
          <w:trHeight w:val="229"/>
        </w:trPr>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accrued liabilities and payables</w:t>
            </w:r>
          </w:p>
        </w:tc>
        <w:tc>
          <w:tcPr>
            <w:tcW w:w="200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436,975</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295,802</w:t>
            </w:r>
          </w:p>
        </w:tc>
      </w:tr>
      <w:tr>
        <w:trPr>
          <w:trHeight w:val="210"/>
        </w:trPr>
        <w:tc>
          <w:tcPr>
            <w:tcW w:w="5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gridSpan w:val="2"/>
            <w:shd w:val="clear" w:color="auto" w:fill="EEEEEE"/>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3,715,996</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4,831,067</w:t>
            </w:r>
          </w:p>
        </w:tc>
      </w:tr>
      <w:tr>
        <w:trPr>
          <w:trHeight w:val="20"/>
        </w:trPr>
        <w:tc>
          <w:tcPr>
            <w:tcW w:w="5660" w:type="dxa"/>
            <w:vAlign w:val="bottom"/>
            <w:tcBorders>
              <w:top w:val="single" w:sz="8" w:color="EEEEEE"/>
            </w:tcBorders>
          </w:tcPr>
          <w:p>
            <w:pPr>
              <w:spacing w:after="0" w:line="20" w:lineRule="exact"/>
              <w:rPr>
                <w:sz w:val="1"/>
                <w:szCs w:val="1"/>
                <w:color w:val="auto"/>
              </w:rPr>
            </w:pPr>
          </w:p>
        </w:tc>
        <w:tc>
          <w:tcPr>
            <w:tcW w:w="20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controlled VIE, DHS, facilitates the Company in the process of inventory procurement. During the six months ended December 31, 2023 and 2022, the Company purchased a total of $0 and $31,385, respectively, in inventories from a supplier which had a payment term of 90 days with a 2% premium on the purchase price, which was presented as financing cash flows from short term loans on the statement of cash flows. As of December 31, 2023 and June 30, 2023, the outstanding balance included in other payables to this supplier was $0 and $0.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Loans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JPMorgan Chase Bank, N.A. (“JPMorgan”),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140" w:hanging="228"/>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25" w:lineRule="exact"/>
        <w:rPr>
          <w:sz w:val="20"/>
          <w:szCs w:val="20"/>
          <w:color w:val="auto"/>
        </w:rPr>
      </w:pPr>
    </w:p>
    <w:p>
      <w:pPr>
        <w:ind w:left="1140" w:hanging="228"/>
        <w:spacing w:after="0"/>
        <w:tabs>
          <w:tab w:leader="none" w:pos="1140" w:val="left"/>
        </w:tabs>
        <w:numPr>
          <w:ilvl w:val="0"/>
          <w:numId w:val="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90% of eligible credit card receivables</w:t>
      </w:r>
    </w:p>
    <w:p>
      <w:pPr>
        <w:spacing w:after="0" w:line="27" w:lineRule="exact"/>
        <w:rPr>
          <w:rFonts w:ascii="Wingdings" w:cs="Wingdings" w:eastAsia="Wingdings" w:hAnsi="Wingdings"/>
          <w:sz w:val="18"/>
          <w:szCs w:val="18"/>
          <w:b w:val="1"/>
          <w:bCs w:val="1"/>
          <w:color w:val="auto"/>
        </w:rPr>
      </w:pPr>
    </w:p>
    <w:p>
      <w:pPr>
        <w:ind w:left="1140" w:hanging="228"/>
        <w:spacing w:after="0"/>
        <w:tabs>
          <w:tab w:leader="none" w:pos="1140" w:val="left"/>
        </w:tabs>
        <w:numPr>
          <w:ilvl w:val="0"/>
          <w:numId w:val="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Wingdings" w:cs="Wingdings" w:eastAsia="Wingdings" w:hAnsi="Wingdings"/>
          <w:sz w:val="18"/>
          <w:szCs w:val="18"/>
          <w:b w:val="1"/>
          <w:bCs w:val="1"/>
          <w:color w:val="auto"/>
        </w:rPr>
      </w:pPr>
    </w:p>
    <w:p>
      <w:pPr>
        <w:ind w:left="1140" w:hanging="228"/>
        <w:spacing w:after="0"/>
        <w:tabs>
          <w:tab w:leader="none" w:pos="1140" w:val="left"/>
        </w:tabs>
        <w:numPr>
          <w:ilvl w:val="0"/>
          <w:numId w:val="1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7" w:lineRule="exact"/>
        <w:rPr>
          <w:sz w:val="20"/>
          <w:szCs w:val="20"/>
          <w:color w:val="auto"/>
        </w:rPr>
      </w:pPr>
    </w:p>
    <w:p>
      <w:pPr>
        <w:ind w:left="1140" w:hanging="22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1140" w:hanging="22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140" w:hanging="228"/>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 year term of the ABL as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three and six months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9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23"/>
        </w:trPr>
        <w:tc>
          <w:tcPr>
            <w:tcW w:w="4740" w:type="dxa"/>
            <w:vAlign w:val="bottom"/>
            <w:tcBorders>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67,689</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207,292</w:t>
            </w: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201,304</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363,547</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20,539</w:t>
            </w: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6,824</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36,065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13,586</w:t>
            </w: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66,305</w:t>
            </w: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66,304</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132,609</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132,610</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154,533</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280,420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369,978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509,743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and June 30, 2023, the outstanding amount of the revolving loan payable, net of debt discount and including interest payable was $2,862,857 and $9,791,191, respectively.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 As of December 31, 2023, the Company was in compliance with the ABL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For the three months ended December 31, 2023, the Company recorded accrued interest of $13,125 and amortization of note premium of $12,579. For the six months ended December 31, 2023, the Company recorded accrued interest of $32,813 and amortization of note premium of $25,157. As of December 31, 2023, including $269,063 of accrued interest and $6,445 of unamortized premium, the total outstanding balance of the Purchase Note was $1,150,508, which is presented on the unaudited condensed consolidated balance sheet as a current portion of $1,150,508 and a non-current portion of $0. As of June 30, 2023, including $236,250 of accrued interest and $31,602 of unamortized premium, the total outstanding balance of the Purchase Note was $2,017,852, which is presented on the consolidated balance sheet as a current portion of $2,017,852 and a non-current portion of $0.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Short-term loan payable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and repaid $1 million on July 31, 2023. For the three and six months ended December 31, 2023, the Company recorded accrued interest of $26,128 and $32,189, respectively. As of December 31, 2023, including the accrued interest, the outstanding balance of the On-demand Loan was $1,032,189.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Starting from March 2022 to January 2023, the Company subleased 50,000 square feet of its warehouse space to Box Harmony, LLC, which is a 40% owned joint venture of the Company as disclosed in Note 1 and Note 2 above. For the three and six months ended December 31, 2023, the Company received and recorded sublease fee of $0 and $0 as other non-operating income, respectively. For the three and six months ended December 31, 2022, the Company recorded a sublease fee of $140,000 and $387,750 as other non-operating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ended December 31, 2023, the Company started selling products through MII Strategy Inc. (“MII”), a company owned by the Company’s CEO, Mr. Chenlong Tan. As of December 31, 2023, the total amount due from MII was $47,566.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the Company assumed $92,246 of advance from shareholders of DHS through acquisition of Anivia. This amount was for capital injection pending capital inspection by the local government in accordance with the PRC rules. As of December 31, 2023 and June 30, 2023, the balance of advance from shareholders was $87,305 and $85,200,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2023, the Company entered into an agreement with White Cherry for an on-demand loan. See Note 12 above for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PRC. Anivia and its subsidiaries are subject to BVI or Hong Kong income taxes but did not have any operations for the six months ended December 31, 2023 and 2022. DHS, the operating VIE of Anivia, is considered a Controlled Foreign Corporation (CFC) defined under IRC Sec. 957(a) since the Company indirectly owns more than 50% voting control of DHS as a result of the Transfer Agreement. Therefore, DHS is subject to the Global Intangible Low-Taxed Income (or GILTI) Tax. DHS is subject to 5% tax rate in PRC. The Company made an election to apply the GILTI high-tax exclusion for DHS under the Final Regulations (T.D. 9902). As the result of the election, no GILTI tax was recorded as of December 31, 2023 and 2022. In addition, as a result of the acquisition, the Company booked a $6,094,144 of goodwill. Since the acquisition was a stock acquisition, the Goodwill is not deductible for tax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December 31, 2023,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income tax provision for the three and six months ended December 31, 2023 and 2022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6"/>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60" w:type="dxa"/>
            <w:vAlign w:val="bottom"/>
          </w:tcPr>
          <w:p>
            <w:pPr>
              <w:spacing w:after="0"/>
              <w:rPr>
                <w:sz w:val="20"/>
                <w:szCs w:val="20"/>
                <w:color w:val="auto"/>
              </w:rPr>
            </w:pPr>
          </w:p>
        </w:tc>
        <w:tc>
          <w:tcPr>
            <w:tcW w:w="294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r>
      <w:tr>
        <w:trPr>
          <w:trHeight w:val="223"/>
        </w:trPr>
        <w:tc>
          <w:tcPr>
            <w:tcW w:w="4740" w:type="dxa"/>
            <w:vAlign w:val="bottom"/>
            <w:tcBorders>
              <w:bottom w:val="single" w:sz="8" w:color="EEEEE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r>
      <w:tr>
        <w:trPr>
          <w:trHeight w:val="21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1,705</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280,781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280,781</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11,566</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9,799</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280,658</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290,580</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w:t>
            </w: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2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(555,981)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(1,090,318)</w:t>
            </w:r>
          </w:p>
        </w:tc>
        <w:tc>
          <w:tcPr>
            <w:tcW w:w="16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(840,629)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(1,259,785)</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(133,943)</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(203,562)</w:t>
            </w: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(200,567)</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(306,707)</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(34,527)</w:t>
            </w:r>
          </w:p>
        </w:tc>
        <w:tc>
          <w:tcPr>
            <w:tcW w:w="160" w:type="dxa"/>
            <w:vAlign w:val="bottom"/>
          </w:tcPr>
          <w:p>
            <w:pPr>
              <w:spacing w:after="0"/>
              <w:rPr>
                <w:sz w:val="19"/>
                <w:szCs w:val="19"/>
                <w:color w:val="auto"/>
              </w:rPr>
            </w:pPr>
          </w:p>
        </w:tc>
        <w:tc>
          <w:tcPr>
            <w:tcW w:w="13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64,809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(219,633)</w:t>
            </w:r>
          </w:p>
        </w:tc>
      </w:tr>
      <w:tr>
        <w:trPr>
          <w:trHeight w:val="209"/>
        </w:trPr>
        <w:tc>
          <w:tcPr>
            <w:tcW w:w="47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(689,740</w:t>
            </w:r>
          </w:p>
        </w:tc>
        <w:tc>
          <w:tcPr>
            <w:tcW w:w="200" w:type="dxa"/>
            <w:vAlign w:val="bottom"/>
            <w:tcBorders>
              <w:top w:val="single" w:sz="8" w:color="EEEEEE"/>
            </w:tcBorders>
            <w:shd w:val="clear" w:color="auto" w:fill="EEEEEE"/>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(1,328,407</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(976,387</w:t>
            </w:r>
          </w:p>
        </w:tc>
        <w:tc>
          <w:tcPr>
            <w:tcW w:w="180" w:type="dxa"/>
            <w:vAlign w:val="bottom"/>
            <w:tcBorders>
              <w:top w:val="single" w:sz="8" w:color="EEEEEE"/>
            </w:tcBorders>
            <w:shd w:val="clear" w:color="auto" w:fill="EEEEEE"/>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(1,786,125</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(688,939)</w:t>
            </w:r>
          </w:p>
        </w:tc>
        <w:tc>
          <w:tcPr>
            <w:tcW w:w="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(1,047,749)</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(964,821)</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(1,495,545)</w:t>
            </w: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2018 to 2022 remain open to examination by the major taxing jurisdictions to which the Company is subject. The following is a reconciliation of income tax expenses at the effective rate to income tax at the calculated statutory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0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1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5.82%</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5.85%</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0.35%</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(0.33%)</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Impairment loss on goodwill -permanent difference</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effect of state income tax deduction and other</w:t>
            </w:r>
          </w:p>
        </w:tc>
        <w:tc>
          <w:tcPr>
            <w:tcW w:w="1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17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(3.89%)</w:t>
            </w: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permanent differences</w:t>
            </w:r>
          </w:p>
        </w:tc>
        <w:tc>
          <w:tcPr>
            <w:tcW w:w="170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26.43%</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prepaid income taxes to US tax authorities and income tax payable to Chinese tax authorities was $41,987 and $283,519, respectively. As of June 30, 2023, prepaid income taxes to US tax authorities and income tax payable to Chinese tax authorities was $45,718 and $276,683,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9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0"/>
                <w:szCs w:val="20"/>
                <w:color w:val="auto"/>
              </w:rPr>
            </w:pP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3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183,268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239,142</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209,655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149,907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2,619</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2,435</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253,589</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273,589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113,992</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115,125</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Operation loss</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3,002,627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2,173,221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214,299</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163,381</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277,228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207,726</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(66,104)</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5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85,596</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85,596</w:t>
            </w:r>
          </w:p>
        </w:tc>
      </w:tr>
      <w:tr>
        <w:trPr>
          <w:trHeight w:val="209"/>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80" w:type="dxa"/>
            <w:vAlign w:val="bottom"/>
            <w:tcBorders>
              <w:bottom w:val="single" w:sz="8" w:color="EEEEE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4,276,769</w:t>
            </w: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3,410,122</w:t>
            </w:r>
          </w:p>
        </w:tc>
        <w:tc>
          <w:tcPr>
            <w:tcW w:w="100" w:type="dxa"/>
            <w:vAlign w:val="bottom"/>
            <w:tcBorders>
              <w:bottom w:val="single" w:sz="8" w:color="EEEEEE"/>
            </w:tcBorders>
          </w:tcPr>
          <w:p>
            <w:pPr>
              <w:spacing w:after="0"/>
              <w:rPr>
                <w:sz w:val="18"/>
                <w:szCs w:val="18"/>
                <w:color w:val="auto"/>
              </w:rPr>
            </w:pPr>
          </w:p>
        </w:tc>
      </w:tr>
      <w:tr>
        <w:trPr>
          <w:trHeight w:val="210"/>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(91,944)</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(105,323)</w:t>
            </w: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(1,062,462)</w:t>
            </w:r>
          </w:p>
        </w:tc>
        <w:tc>
          <w:tcPr>
            <w:tcW w:w="1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(1,149,549)</w:t>
            </w:r>
          </w:p>
        </w:tc>
      </w:tr>
      <w:tr>
        <w:trPr>
          <w:trHeight w:val="209"/>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(1,154,406</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(1,254,872</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020" w:type="dxa"/>
            <w:vAlign w:val="bottom"/>
            <w:gridSpan w:val="2"/>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3,122,363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2,155,250</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2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2023, the Company recorded $66,104 of valuation allowance to reduce deferred tax assets for the losses incurred by DHS.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6"/>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w:t>
            </w:r>
          </w:p>
        </w:tc>
        <w:tc>
          <w:tcPr>
            <w:tcW w:w="140" w:type="dxa"/>
            <w:vAlign w:val="bottom"/>
          </w:tcPr>
          <w:p>
            <w:pPr>
              <w:spacing w:after="0"/>
              <w:rPr>
                <w:sz w:val="20"/>
                <w:szCs w:val="20"/>
                <w:color w:val="auto"/>
              </w:rPr>
            </w:pPr>
          </w:p>
        </w:tc>
        <w:tc>
          <w:tcPr>
            <w:tcW w:w="286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December 31,</w:t>
            </w: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(1,914,828)</w:t>
            </w:r>
          </w:p>
        </w:tc>
        <w:tc>
          <w:tcPr>
            <w:tcW w:w="38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(3,290,439)</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(3,201,343)</w:t>
            </w:r>
          </w:p>
        </w:tc>
        <w:tc>
          <w:tcPr>
            <w:tcW w:w="280" w:type="dxa"/>
            <w:vAlign w:val="bottom"/>
            <w:gridSpan w:val="2"/>
            <w:shd w:val="clear" w:color="auto" w:fill="EEEEEE"/>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(7,472,815)</w:t>
            </w: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and diluted</w:t>
            </w: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08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81"/>
              <w:spacing w:after="0"/>
              <w:rPr>
                <w:sz w:val="20"/>
                <w:szCs w:val="20"/>
                <w:color w:val="auto"/>
              </w:rPr>
            </w:pPr>
            <w:r>
              <w:rPr>
                <w:rFonts w:ascii="Times New Roman" w:cs="Times New Roman" w:eastAsia="Times New Roman" w:hAnsi="Times New Roman"/>
                <w:sz w:val="18"/>
                <w:szCs w:val="18"/>
                <w:color w:val="auto"/>
              </w:rPr>
              <w:t>29,790,242</w:t>
            </w:r>
          </w:p>
        </w:tc>
        <w:tc>
          <w:tcPr>
            <w:tcW w:w="380" w:type="dxa"/>
            <w:vAlign w:val="bottom"/>
            <w:gridSpan w:val="2"/>
            <w:shd w:val="clear" w:color="auto" w:fill="EEEEE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29,742,620</w:t>
            </w:r>
          </w:p>
        </w:tc>
        <w:tc>
          <w:tcPr>
            <w:tcW w:w="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41"/>
              <w:spacing w:after="0"/>
              <w:rPr>
                <w:sz w:val="20"/>
                <w:szCs w:val="20"/>
                <w:color w:val="auto"/>
              </w:rPr>
            </w:pPr>
            <w:r>
              <w:rPr>
                <w:rFonts w:ascii="Times New Roman" w:cs="Times New Roman" w:eastAsia="Times New Roman" w:hAnsi="Times New Roman"/>
                <w:sz w:val="18"/>
                <w:szCs w:val="18"/>
                <w:color w:val="auto"/>
              </w:rPr>
              <w:t>29,777,378</w:t>
            </w:r>
          </w:p>
        </w:tc>
        <w:tc>
          <w:tcPr>
            <w:tcW w:w="280" w:type="dxa"/>
            <w:vAlign w:val="bottom"/>
            <w:gridSpan w:val="2"/>
            <w:shd w:val="clear" w:color="auto" w:fill="EEEEEE"/>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29,687,878</w:t>
            </w:r>
          </w:p>
        </w:tc>
        <w:tc>
          <w:tcPr>
            <w:tcW w:w="8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Losses per share of ordinary shares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bottom w:val="single" w:sz="8" w:color="EEEEEE"/>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20" w:type="dxa"/>
            <w:vAlign w:val="bottom"/>
            <w:vMerge w:val="continue"/>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hanging="232"/>
        <w:spacing w:after="0" w:line="282"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effect, the computation of basic and diluted EPS did not include the shares underlying the exercise of warrants and unvested RSUs as the Company had a net loss for the three and six months ended December 31, 2023 and 2022.</w:t>
      </w:r>
    </w:p>
    <w:p>
      <w:pPr>
        <w:spacing w:after="0" w:line="161" w:lineRule="exact"/>
        <w:rPr>
          <w:rFonts w:ascii="Times New Roman" w:cs="Times New Roman" w:eastAsia="Times New Roman" w:hAnsi="Times New Roman"/>
          <w:sz w:val="18"/>
          <w:szCs w:val="18"/>
          <w:color w:val="auto"/>
        </w:rPr>
      </w:pPr>
    </w:p>
    <w:p>
      <w:pPr>
        <w:ind w:left="240" w:hanging="232"/>
        <w:spacing w:after="0" w:line="282"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diluted EPS did not include the shares underlying the exercise of options granted as none of the options were vested as December 31, 2023 and 2022.</w:t>
      </w:r>
    </w:p>
    <w:p>
      <w:pPr>
        <w:spacing w:after="0" w:line="161"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December 31, 2023, 40,981 and 107,347 vested but unissued shares of restricted stock units under the 2020 Equity Incentive Plan (as discussed in Note 16) are considered issued shares and therefore are included in the computation of basic losses per share when the shares are fully vested.</w:t>
      </w:r>
    </w:p>
    <w:p>
      <w:pPr>
        <w:spacing w:after="0" w:line="175" w:lineRule="exact"/>
        <w:rPr>
          <w:rFonts w:ascii="Times New Roman" w:cs="Times New Roman" w:eastAsia="Times New Roman" w:hAnsi="Times New Roman"/>
          <w:sz w:val="18"/>
          <w:szCs w:val="18"/>
          <w:color w:val="auto"/>
        </w:rPr>
      </w:pPr>
    </w:p>
    <w:p>
      <w:pPr>
        <w:jc w:val="both"/>
        <w:ind w:left="240" w:hanging="232"/>
        <w:spacing w:after="0" w:line="266" w:lineRule="auto"/>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December 31, 2022, 154,261 vested but unissued shares of restricted stock units under the 2020 Equity Incentive Plan (as discussed in Note 16) are considered issued shares and therefore are included in the computation of basic earnings (losses) per share when the shares are fully vested.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Note 16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a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June 30, 2023, the Company issued 138,557 shares of restricted Common Stock for RSUs vested.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and subsidiaries, as further described in Note 4, the Company issued 3,083,700 restricted shares of the Company’s common stock, valued at $2.27 per share, which was the closing price of the Company’s Common Stock as traded on Nasdaq on February 15, 2022. These shares had a lock-up period of 180 days and are subject to insider trading restrictions. The fair value of the shares was $5,528,373, calculated with a discount of lack of marketability of 21%, which was determined using the Black Scholes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June 30, 2023, there were 29,710,939 and 29,710,939 shares of Common Stock issued and outstanding,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December 31, 2023 and June 30, 2023, respectively, there were no shares of Preferred Stock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Form S-8 was subsequently amended on December 6, 2022, September 15, 2023 and November 22, 2023.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completion of the Company’s IPO on May 11, 2021, pursuant to their letter agreements, the Company awarded 46,546 restricted stock units (“RSUs”) under the Plan to its independent directors, its Chief Financial Officer, and certain other employees and consultants, all of which vested over 12 months following the grant date and were subject to other restrictions until the filing of a Registration Statement on Form S-8 registering the shares. The fair value of the RSUs was determined based on $5.00 per share, the initial listing price of the Company’s Common Stock on the grant date. During the six months ended December 31, 2023, the Company granted an additional 62,600 shares of RSUs. For the three and six months ended December 31, 2023, the Company recorded $30,863 and $38,363 of stock-based compensation expense. There was no forfeiture of RSUs occurred during the six months ended December 31, 2023 and 2022. As of December 31, 2023 and June 30, 2023, the unvested number of RSUs was 47,481 and 38,793 and the unamortized expense was $34,439 and $22,500, respectively.</w:t>
      </w:r>
    </w:p>
    <w:p>
      <w:pPr>
        <w:sectPr>
          <w:pgSz w:w="11900" w:h="16838" w:orient="portrait"/>
          <w:cols w:equalWidth="0" w:num="1">
            <w:col w:w="11240"/>
          </w:cols>
          <w:pgMar w:left="320" w:top="796" w:right="339" w:bottom="1440" w:gutter="0" w:footer="0" w:header="0"/>
        </w:sectPr>
      </w:pP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40" w:hanging="432"/>
        <w:spacing w:after="0"/>
        <w:tabs>
          <w:tab w:leader="none" w:pos="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Fair Market</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Value of RSUs</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Issued as</w:t>
            </w:r>
          </w:p>
        </w:tc>
      </w:tr>
      <w:tr>
        <w:trPr>
          <w:trHeight w:val="238"/>
        </w:trPr>
        <w:tc>
          <w:tcPr>
            <w:tcW w:w="1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 (1)</w:t>
            </w:r>
          </w:p>
        </w:tc>
      </w:tr>
      <w:tr>
        <w:trPr>
          <w:trHeight w:val="191"/>
        </w:trPr>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38,793</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16"/>
        </w:trPr>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62,600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50,302</w:t>
            </w:r>
          </w:p>
        </w:tc>
      </w:tr>
      <w:tr>
        <w:trPr>
          <w:trHeight w:val="216"/>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8"/>
        </w:trPr>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(53,912)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3"/>
        </w:trPr>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47,481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of the 285,923 vested RSUs, 178,576 shares of Common Stock were issued, and 107,347 shares were to be issued in the near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exercisable to purchase (i) 3,000,000 shares of Common Stock to Chenlong Tan, CEO and (ii) 330,000 shares of Common Stock to Mr. Vassily. The Option Grants, which were issued on May 13, 2022, have an exercise price of $1.12 per share,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estimated achievement status of the operational milestones as of December 31, 2023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Revenue in Fiscal Year</w:t>
            </w:r>
          </w:p>
        </w:tc>
        <w:tc>
          <w:tcPr>
            <w:tcW w:w="1460" w:type="dxa"/>
            <w:vAlign w:val="bottom"/>
          </w:tcPr>
          <w:p>
            <w:pPr>
              <w:spacing w:after="0"/>
              <w:rPr>
                <w:sz w:val="20"/>
                <w:szCs w:val="20"/>
                <w:color w:val="auto"/>
              </w:rPr>
            </w:pPr>
          </w:p>
        </w:tc>
        <w:tc>
          <w:tcPr>
            <w:tcW w:w="40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in Fiscal Year</w:t>
            </w:r>
          </w:p>
        </w:tc>
      </w:tr>
      <w:tr>
        <w:trPr>
          <w:trHeight w:val="187"/>
        </w:trPr>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Milestone</w:t>
            </w:r>
          </w:p>
        </w:tc>
        <w:tc>
          <w:tcPr>
            <w:tcW w:w="300" w:type="dxa"/>
            <w:vAlign w:val="bottom"/>
            <w:tcBorders>
              <w:top w:val="single" w:sz="8" w:color="auto"/>
            </w:tcBorders>
          </w:tcPr>
          <w:p>
            <w:pPr>
              <w:spacing w:after="0"/>
              <w:rPr>
                <w:sz w:val="16"/>
                <w:szCs w:val="16"/>
                <w:color w:val="auto"/>
              </w:rPr>
            </w:pPr>
          </w:p>
        </w:tc>
        <w:tc>
          <w:tcPr>
            <w:tcW w:w="3280" w:type="dxa"/>
            <w:vAlign w:val="bottom"/>
            <w:tcBorders>
              <w:top w:val="single" w:sz="8" w:color="auto"/>
            </w:tcBorders>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340" w:type="dxa"/>
            <w:vAlign w:val="bottom"/>
          </w:tcPr>
          <w:p>
            <w:pPr>
              <w:spacing w:after="0"/>
              <w:rPr>
                <w:sz w:val="16"/>
                <w:szCs w:val="16"/>
                <w:color w:val="auto"/>
              </w:rPr>
            </w:pPr>
          </w:p>
        </w:tc>
        <w:tc>
          <w:tcPr>
            <w:tcW w:w="146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Milestone</w:t>
            </w:r>
          </w:p>
        </w:tc>
        <w:tc>
          <w:tcPr>
            <w:tcW w:w="3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100" w:type="dxa"/>
            <w:vAlign w:val="bottom"/>
          </w:tcPr>
          <w:p>
            <w:pPr>
              <w:spacing w:after="0"/>
              <w:rPr>
                <w:sz w:val="16"/>
                <w:szCs w:val="16"/>
                <w:color w:val="auto"/>
              </w:rPr>
            </w:pPr>
          </w:p>
        </w:tc>
      </w:tr>
      <w:tr>
        <w:trPr>
          <w:trHeight w:val="238"/>
        </w:trPr>
        <w:tc>
          <w:tcPr>
            <w:tcW w:w="30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00" w:type="dxa"/>
            <w:vAlign w:val="bottom"/>
          </w:tcPr>
          <w:p>
            <w:pPr>
              <w:spacing w:after="0"/>
              <w:rPr>
                <w:sz w:val="20"/>
                <w:szCs w:val="20"/>
                <w:color w:val="auto"/>
              </w:rPr>
            </w:pPr>
          </w:p>
        </w:tc>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09"/>
        </w:trPr>
        <w:tc>
          <w:tcPr>
            <w:tcW w:w="3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EEEEEE"/>
          </w:tcPr>
          <w:p>
            <w:pPr>
              <w:spacing w:after="0"/>
              <w:rPr>
                <w:sz w:val="18"/>
                <w:szCs w:val="18"/>
                <w:color w:val="auto"/>
              </w:rPr>
            </w:pPr>
          </w:p>
        </w:tc>
        <w:tc>
          <w:tcPr>
            <w:tcW w:w="36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Probable</w:t>
            </w:r>
          </w:p>
        </w:tc>
        <w:tc>
          <w:tcPr>
            <w:tcW w:w="1460" w:type="dxa"/>
            <w:vAlign w:val="bottom"/>
            <w:shd w:val="clear" w:color="auto" w:fill="EEEEEE"/>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w:t>
            </w:r>
          </w:p>
        </w:tc>
        <w:tc>
          <w:tcPr>
            <w:tcW w:w="3340" w:type="dxa"/>
            <w:vAlign w:val="bottom"/>
            <w:gridSpan w:val="2"/>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Probable</w:t>
            </w: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3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EEEEEE"/>
          </w:tcPr>
          <w:p>
            <w:pPr>
              <w:spacing w:after="0"/>
              <w:rPr>
                <w:sz w:val="18"/>
                <w:szCs w:val="18"/>
                <w:color w:val="auto"/>
              </w:rPr>
            </w:pPr>
          </w:p>
        </w:tc>
        <w:tc>
          <w:tcPr>
            <w:tcW w:w="36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Probable</w:t>
            </w:r>
          </w:p>
        </w:tc>
        <w:tc>
          <w:tcPr>
            <w:tcW w:w="1460" w:type="dxa"/>
            <w:vAlign w:val="bottom"/>
            <w:shd w:val="clear" w:color="auto" w:fill="EEEEEE"/>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3340" w:type="dxa"/>
            <w:vAlign w:val="bottom"/>
            <w:gridSpan w:val="2"/>
            <w:shd w:val="clear" w:color="auto" w:fill="EEEEEE"/>
          </w:tcPr>
          <w:p>
            <w:pPr>
              <w:jc w:val="center"/>
              <w:ind w:right="2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Probable</w:t>
            </w: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33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EEEEEE"/>
          </w:tcPr>
          <w:p>
            <w:pPr>
              <w:spacing w:after="0"/>
              <w:rPr>
                <w:sz w:val="18"/>
                <w:szCs w:val="18"/>
                <w:color w:val="auto"/>
              </w:rPr>
            </w:pPr>
          </w:p>
        </w:tc>
        <w:tc>
          <w:tcPr>
            <w:tcW w:w="3620" w:type="dxa"/>
            <w:vAlign w:val="bottom"/>
            <w:gridSpan w:val="2"/>
            <w:shd w:val="clear" w:color="auto" w:fill="EEEEEE"/>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Probable</w:t>
            </w:r>
          </w:p>
        </w:tc>
        <w:tc>
          <w:tcPr>
            <w:tcW w:w="1460" w:type="dxa"/>
            <w:vAlign w:val="bottom"/>
            <w:shd w:val="clear" w:color="auto" w:fill="EEEEEE"/>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3340" w:type="dxa"/>
            <w:vAlign w:val="bottom"/>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Pr>
          <w:p>
            <w:pPr>
              <w:spacing w:after="0"/>
              <w:rPr>
                <w:sz w:val="20"/>
                <w:szCs w:val="20"/>
                <w:color w:val="auto"/>
              </w:rPr>
            </w:pPr>
          </w:p>
        </w:tc>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3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fair value of the Option Grants was $3.2 million of which, at December 31, 2023, $2.3 million is deemed probable of vesting. As of December 31, 2023, none of the options had vested. For the three and six months ended December 31, 2023, the Company recorded $110,382 and $220,764 of stock-based compensation expense related to the Option Grants. For the three and six months ended December 31, 2022, the Company recorded $110,382 and $220,764 of stock-based compensation expense related to the Option Grants. As of December 31, 2023, unrecognized compensation cost related to tranches probable of vesting is approximately $1.5 million and will be recognized over two years to nine years, depending on the tranche.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17 –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warrants held by the Convertible Note investors were reclassified to additional paid in capital as the terms became fixed upon closing of the IPO. Through December 31, 2023, none of the private placement investors exercised any of their warrants. As such, as of December 31, 2023 and June 30, 2023, the number of shares issuable under the outstanding warrants was 685,715, with an average exercise price of $5.00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and June 30, 2023, $1,488,027 and $3,735,642, respectively, were deposited with various major financial institutions in the United States and PRC. Accounts at each institution in the United States are insured by the Federal Deposit Insurance Corporation (FDIC) for up to $250,000. The Company had approximately $0.2 million and $2.7 million, respectively, in excess of the FDIC insurance limit, as of December 31, 2023 and June 30,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2023 and 2022, Amazon Vendor and Amazon Seller customers accounted for 95% and 91% of the Company's total revenues, respectively. As of December 31, 2023 and June 30, 2023, accounts receivable from Amazon Vendor and Amazon Seller accounted for 93% and 95% of the Company’s total accounts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2023 and 2022, two suppliers accounted for 20% (11% and 9%) and 41% (31% and 10%) of the Company's total purchases, respectively. As of December 31, 2023 and June 30, 2023, accounts payable to two suppliers accounted for 54% (42% and 12%) and 55% (49% and 6%) of the Company’s total accounts payable.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Note 19 -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 On December 21, 2023, the lease expired without renewal.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was $27,921 to $29,910 per month through October 31, 2023. On October 31, 2023, the lease expired without renewal.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PRC. In July 2023, the Company renewed the lease contract for its existing office plus additional office space. The lease term is for three years expiring on July 14, 2026. The total base rental fee for these offices is approximately $19,406 per month.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was not started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for the Duarte fulfillment center is $56,000 to $59,410 per month through April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commitment for the full term of these leases is $12,649,053. The financial statements reflected $7,141,633 and $7,837,345, respectively, of operating lease right-of-use assets, and $7,568,542 and $8,265,220, respectively, of operating lease liabilities as of December 31, 2023 and June 30,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Three months Ended December 31, 2023 and 2022: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560" w:type="dxa"/>
            <w:vAlign w:val="bottom"/>
            <w:tcBorders>
              <w:bottom w:val="single" w:sz="8" w:color="EEEEEE"/>
            </w:tcBorders>
          </w:tcPr>
          <w:p>
            <w:pPr>
              <w:spacing w:after="0"/>
              <w:rPr>
                <w:sz w:val="2"/>
                <w:szCs w:val="2"/>
                <w:color w:val="auto"/>
              </w:rPr>
            </w:pPr>
          </w:p>
        </w:tc>
        <w:tc>
          <w:tcPr>
            <w:tcW w:w="6060" w:type="dxa"/>
            <w:vAlign w:val="bottom"/>
            <w:tcBorders>
              <w:bottom w:val="single" w:sz="8" w:color="EEEEEE"/>
            </w:tcBorders>
          </w:tcPr>
          <w:p>
            <w:pPr>
              <w:spacing w:after="0"/>
              <w:rPr>
                <w:sz w:val="2"/>
                <w:szCs w:val="2"/>
                <w:color w:val="auto"/>
              </w:rPr>
            </w:pPr>
          </w:p>
        </w:tc>
        <w:tc>
          <w:tcPr>
            <w:tcW w:w="28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G&amp;A in the Company's statement of operations)</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739,557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775,494</w:t>
            </w:r>
          </w:p>
        </w:tc>
        <w:tc>
          <w:tcPr>
            <w:tcW w:w="100" w:type="dxa"/>
            <w:vAlign w:val="bottom"/>
            <w:shd w:val="clear" w:color="auto" w:fill="EEEEEE"/>
          </w:tcPr>
          <w:p>
            <w:pPr>
              <w:spacing w:after="0"/>
              <w:rPr>
                <w:sz w:val="18"/>
                <w:szCs w:val="18"/>
                <w:color w:val="auto"/>
              </w:rPr>
            </w:pPr>
          </w:p>
        </w:tc>
      </w:tr>
      <w:tr>
        <w:trPr>
          <w:trHeight w:val="39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742,427</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755,643</w:t>
            </w:r>
          </w:p>
        </w:tc>
      </w:tr>
      <w:tr>
        <w:trPr>
          <w:trHeight w:val="216"/>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 – 4.42</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 – 5.42</w:t>
            </w: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5 - 8%</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r>
        <w:trPr>
          <w:trHeight w:val="43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Six Months Ended December 31, 2022 and 2021: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12/31/2022</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560" w:type="dxa"/>
            <w:vAlign w:val="bottom"/>
            <w:tcBorders>
              <w:bottom w:val="single" w:sz="8" w:color="EEEEEE"/>
            </w:tcBorders>
          </w:tcPr>
          <w:p>
            <w:pPr>
              <w:spacing w:after="0"/>
              <w:rPr>
                <w:sz w:val="2"/>
                <w:szCs w:val="2"/>
                <w:color w:val="auto"/>
              </w:rPr>
            </w:pPr>
          </w:p>
        </w:tc>
        <w:tc>
          <w:tcPr>
            <w:tcW w:w="6060" w:type="dxa"/>
            <w:vAlign w:val="bottom"/>
            <w:tcBorders>
              <w:bottom w:val="single" w:sz="8" w:color="EEEEEE"/>
            </w:tcBorders>
          </w:tcPr>
          <w:p>
            <w:pPr>
              <w:spacing w:after="0"/>
              <w:rPr>
                <w:sz w:val="2"/>
                <w:szCs w:val="2"/>
                <w:color w:val="auto"/>
              </w:rPr>
            </w:pPr>
          </w:p>
        </w:tc>
        <w:tc>
          <w:tcPr>
            <w:tcW w:w="28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selling and fulfillment in the Company's statement of operations)</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1,532,546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1,554,727</w:t>
            </w:r>
          </w:p>
        </w:tc>
        <w:tc>
          <w:tcPr>
            <w:tcW w:w="100" w:type="dxa"/>
            <w:vAlign w:val="bottom"/>
            <w:shd w:val="clear" w:color="auto" w:fill="EEEEEE"/>
          </w:tcPr>
          <w:p>
            <w:pPr>
              <w:spacing w:after="0"/>
              <w:rPr>
                <w:sz w:val="18"/>
                <w:szCs w:val="18"/>
                <w:color w:val="auto"/>
              </w:rPr>
            </w:pPr>
          </w:p>
        </w:tc>
      </w:tr>
      <w:tr>
        <w:trPr>
          <w:trHeight w:val="39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2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1,529,857</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1,524,704</w:t>
            </w:r>
          </w:p>
        </w:tc>
      </w:tr>
      <w:tr>
        <w:trPr>
          <w:trHeight w:val="216"/>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 – 4.42</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 – 5.42</w:t>
            </w: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2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5 - 8%</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p>
      <w:pPr>
        <w:sectPr>
          <w:pgSz w:w="11900" w:h="16838" w:orient="portrait"/>
          <w:cols w:equalWidth="0" w:num="1">
            <w:col w:w="11240"/>
          </w:cols>
          <w:pgMar w:left="320" w:top="79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of use asset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Year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lease liabilities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12/31/2023</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6/30/2023</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7,141,633</w:t>
            </w:r>
          </w:p>
        </w:tc>
        <w:tc>
          <w:tcPr>
            <w:tcW w:w="3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7,837,345</w:t>
            </w:r>
          </w:p>
        </w:tc>
        <w:tc>
          <w:tcPr>
            <w:tcW w:w="20" w:type="dxa"/>
            <w:vAlign w:val="bottom"/>
            <w:tcBorders>
              <w:bottom w:val="single" w:sz="8" w:color="auto"/>
            </w:tcBorders>
          </w:tcPr>
          <w:p>
            <w:pPr>
              <w:spacing w:after="0"/>
              <w:rPr>
                <w:sz w:val="18"/>
                <w:szCs w:val="18"/>
                <w:color w:val="auto"/>
              </w:rPr>
            </w:pPr>
          </w:p>
        </w:tc>
      </w:tr>
      <w:tr>
        <w:trPr>
          <w:trHeight w:val="42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2,065,177</w:t>
            </w:r>
          </w:p>
        </w:tc>
        <w:tc>
          <w:tcPr>
            <w:tcW w:w="2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2,159,173</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5,503,365</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6,106,047</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7,568,542</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8,265,220</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90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240" w:type="dxa"/>
            <w:vAlign w:val="bottom"/>
          </w:tcPr>
          <w:p>
            <w:pPr>
              <w:spacing w:after="0"/>
              <w:rPr>
                <w:sz w:val="20"/>
                <w:szCs w:val="20"/>
                <w:color w:val="auto"/>
              </w:rPr>
            </w:pP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407"/>
        </w:trPr>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1,187,861</w:t>
            </w:r>
          </w:p>
        </w:tc>
        <w:tc>
          <w:tcPr>
            <w:tcW w:w="6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2,320,324</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1,773,910</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1,596,573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1,459,408</w:t>
            </w:r>
          </w:p>
        </w:tc>
        <w:tc>
          <w:tcPr>
            <w:tcW w:w="60" w:type="dxa"/>
            <w:vAlign w:val="bottom"/>
          </w:tcPr>
          <w:p>
            <w:pPr>
              <w:spacing w:after="0"/>
              <w:rPr>
                <w:sz w:val="18"/>
                <w:szCs w:val="18"/>
                <w:color w:val="auto"/>
              </w:rPr>
            </w:pPr>
          </w:p>
        </w:tc>
      </w:tr>
      <w:tr>
        <w:trPr>
          <w:trHeight w:val="248"/>
        </w:trPr>
        <w:tc>
          <w:tcPr>
            <w:tcW w:w="24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(769,534)</w:t>
            </w: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7,568,542</w:t>
            </w:r>
          </w:p>
        </w:tc>
        <w:tc>
          <w:tcPr>
            <w:tcW w:w="60" w:type="dxa"/>
            <w:vAlign w:val="bottom"/>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seeking, among other things, monetary damages against the Company and D.A. Davidson &amp; Co. (who acted as underwriter in the Company’s IPO). This matter is presently scheduled to hold its evidentiary hearing before a FINRA arbitration panel during the first two weeks of March 2024.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The Company cannot reasonably estimate the amount of potential exposure as of the date of this report.</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effort to contain or slow the COVID-19 outbreak, authorities across the world implemented various measures, including travel bans, stay-at-home orders and shutdowns of certain businesses. While most of these measures have since been rescinded or modified and much of the effects related to COVID-19 have dissipated as COVID-19 has become endemic, the Company nonetheless anticipates that these actions and the global health crisis caused by the COVID-19 outbreak, including any resurgences, may continue to negatively impact global economic activity.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which the Company issued a promissory note to the Lender (the “PPP Note”). The loan was made pursuant to the Payroll Protection Program established as part of the Coronavirus Aid, Relief and Economic Security Act (the “CARES Act”). On March 22, 2021, the $175,500 PPP Note due to Royal Business Bank was fully forgiven by the SBA.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unaudited condensed consolidated financial statements were available to be issued. The Company did not have any material subsequent events that required recognition or additional disclosure in the unaudited condensed consolidated financial statements presented.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Driven by technology and data, iPower Inc. (“iPower,” “we,” “us,” or “the Company”) is an online supplier of consumer goods, including consumer home goods, hydroponics equipment, general gardening, furniture and pet supplies. Through the operations of our e-commerce platforms and channel partners, our fulfillment centers in Rancho Cucamonga and Duarte, California, we believe we are one of the leading marketers, distributors and retailers in the consumer gardening and home goods categories, based on management’s estimates. Our core strategy continues to focus on expanding our geographic reach across the United States and internationally through organic growth, both in terms of expanding our customer base as well as brand and product development. iPower has developed a set of methodologies driven by proprietary data formulas to effectively bring products to market and increase sales.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We are actively developing and acquiring our in-house branded products, which to date include the </w:t>
      </w:r>
      <w:r>
        <w:rPr>
          <w:rFonts w:ascii="Times New Roman" w:cs="Times New Roman" w:eastAsia="Times New Roman" w:hAnsi="Times New Roman"/>
          <w:sz w:val="18"/>
          <w:szCs w:val="18"/>
          <w:b w:val="1"/>
          <w:bCs w:val="1"/>
          <w:i w:val="1"/>
          <w:iCs w:val="1"/>
          <w:color w:val="auto"/>
        </w:rPr>
        <w:t>iPower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Simple Deluxe</w:t>
      </w:r>
      <w:r>
        <w:rPr>
          <w:rFonts w:ascii="Times New Roman" w:cs="Times New Roman" w:eastAsia="Times New Roman" w:hAnsi="Times New Roman"/>
          <w:sz w:val="18"/>
          <w:szCs w:val="18"/>
          <w:color w:val="auto"/>
        </w:rPr>
        <w:t xml:space="preserve"> brands and more, with some of our products achieving Amazon best seller product leaders and Amazon Choice products designations, among others.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Joint Ventures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15, 2022, in exchange for total consideration of $10.6 million, we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PRC and which is a wholly foreign-owned enterprise (“WFOE”) of Fly Elephant Limited. The WFOE controls, through a series of contractual arrangements summarized below, the business, revenues, and profits of Daheshou (Shenzhen) Information Technology Co., Ltd., a company organized under the laws of the People’s Republic of China, or the PRC (the “Operating Company”) and located in Shenzhen, China. The Operating Company is principally engaged in selling a wide range of products and providing logistic services in the PRC.</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10, 2022, we entered into a joint venture agreement with Bro Angel, LLC ("Bro Angel”), Ji Shin, and Bing Luo (the “GSM Joint Venture Agreement”). Pursuant to the terms of the GSM Joint Venture Agreement, the parties formed a Nevada limited liability company, Global Social Media, LLC (“GSM”), for the principal purpose of providing a social media platform, content and services to assist businesses, including the Company and other businesses, in the marketing of their products. 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GSM limited liability operating agreement (the “GSM LLC Agreement”), the Company will contribute $100,000 to the capital of GSM and Bro Angel granted GSM, pursuant to the terms of an intellectual property licensing agreement, dated February 10, 2022 (the “IP License Agreement”), an exclusive worldwide paid up right and license to use all intellectual property of Bro Angel and its members for the purpose of furthering the proposed business of GSM. The GSM LLC Agreement prohibits the issuance of additional GSM Equity Units and certain other actions unless approved in advance by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GSM Joint Venture Agreement, the Company and GSM also intended to enter into an occupancy management agreement pursuant to which the Company would grant to GSM the right to have access to and use of up to approximately 4,000 square feet of office space along with internet access at the Company’s facility located at 2399 Bateman Avenue, Duarte, CA 91010. It was contemplated that only approximately 300-400 square feet would initially be used by GSM. However, since the space was never utilized by GSM, iPower resumed using the contemplated space during the fiscal year ended June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our investments in product and brand development. We actively evaluate potential acquisition opportunities of companies and product brand names that can complement and enhance our product catalog and improve on existing products and supply chain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and the Israel-Hamas war may nonetheless increase the likelihood of supply chain disruptions and hinder our ability to find the materials we need to make our products. Thus far, as a result of the general global economic disruption, we have experienced a delay in, as well as an increase in, costs in shipping, resulting in in increased inventory levels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COVID-19 Pandemic and Related Disruptions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the worst of the COVID-19 pandemic has seemingly passed and we believe that the pandemic is unlikely to significantly impact our business going forward, we continue to closely monitor its impact on our business, results of operations and financial results. The situation surrounding the pandemic remains fluid and the full extent of the positive or negative impact of the COVID-19 pandemic on our business will depend on certain developments including the length of time of any regional outbreaks, the impact on consumer activity and behaviors, and the effect on our customers, employees, suppliers and stockholders, all of which are uncertain and cannot be predicted. While the COVID-19 pandemic has not had a material adverse impact on our operations to date and we believe the long-term opportunity that we see for shopping online remains unchanged, it is difficult to predict all of the positive or negative impacts that COVID-19 may have on our business over time.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additional to general consumer goods, we sell hydroponic gardening products to end users that may use such products in new and emerging industries or segments, including for purposes of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certain U.S. states prohibit growing cannabis. Demand for our products could be impacted by changes in the regulatory environment with respect to such industries and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December 31, 2023 and 2022</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8"/>
                <w:szCs w:val="18"/>
                <w:color w:val="auto"/>
              </w:rPr>
            </w:pPr>
          </w:p>
        </w:tc>
        <w:tc>
          <w:tcPr>
            <w:tcW w:w="17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72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40" w:type="dxa"/>
            <w:vAlign w:val="bottom"/>
            <w:gridSpan w:val="3"/>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88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16,800,122</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19,254,590</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9,481,882</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11,285,064</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(15.98%)</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7,318,240</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7,969,526</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(8.17%)</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9,870,587</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12,052,092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(18.10%)</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(2,552,347</w:t>
            </w:r>
          </w:p>
        </w:tc>
        <w:tc>
          <w:tcPr>
            <w:tcW w:w="340" w:type="dxa"/>
            <w:vAlign w:val="bottom"/>
            <w:tcBorders>
              <w:top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(4,082,566</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(37.48%)</w:t>
            </w:r>
          </w:p>
        </w:tc>
      </w:tr>
      <w:tr>
        <w:trPr>
          <w:trHeight w:val="209"/>
        </w:trPr>
        <w:tc>
          <w:tcPr>
            <w:tcW w:w="45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8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34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258,457</w:t>
            </w:r>
          </w:p>
        </w:tc>
        <w:tc>
          <w:tcPr>
            <w:tcW w:w="320" w:type="dxa"/>
            <w:vAlign w:val="bottom"/>
            <w:tcBorders>
              <w:bottom w:val="single" w:sz="8" w:color="EEEEEE"/>
            </w:tcBorders>
          </w:tcPr>
          <w:p>
            <w:pPr>
              <w:spacing w:after="0"/>
              <w:rPr>
                <w:sz w:val="18"/>
                <w:szCs w:val="18"/>
                <w:color w:val="auto"/>
              </w:rPr>
            </w:pPr>
          </w:p>
        </w:tc>
        <w:tc>
          <w:tcPr>
            <w:tcW w:w="168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(78.88%)</w:t>
            </w:r>
          </w:p>
        </w:tc>
      </w:tr>
      <w:tr>
        <w:trPr>
          <w:trHeight w:val="210"/>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(2,606,922)</w:t>
            </w: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(4,341,023)</w:t>
            </w:r>
          </w:p>
        </w:tc>
        <w:tc>
          <w:tcPr>
            <w:tcW w:w="3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(39.95%)</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(688,939)</w:t>
            </w:r>
          </w:p>
        </w:tc>
        <w:tc>
          <w:tcPr>
            <w:tcW w:w="160" w:type="dxa"/>
            <w:vAlign w:val="bottom"/>
          </w:tcPr>
          <w:p>
            <w:pPr>
              <w:spacing w:after="0"/>
              <w:rPr>
                <w:sz w:val="19"/>
                <w:szCs w:val="19"/>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(1,047,749)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(34.25%)</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(1,917,983)</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(3,293,274)</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(41.76%)</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(3,155)</w:t>
            </w:r>
          </w:p>
        </w:tc>
        <w:tc>
          <w:tcPr>
            <w:tcW w:w="160" w:type="dxa"/>
            <w:vAlign w:val="bottom"/>
          </w:tcPr>
          <w:p>
            <w:pPr>
              <w:spacing w:after="0"/>
              <w:rPr>
                <w:sz w:val="19"/>
                <w:szCs w:val="19"/>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(2,835)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(1,914,828)</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(3,290,439)</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(41.81%)</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(160,255)</w:t>
            </w:r>
          </w:p>
        </w:tc>
        <w:tc>
          <w:tcPr>
            <w:tcW w:w="160" w:type="dxa"/>
            <w:vAlign w:val="bottom"/>
          </w:tcPr>
          <w:p>
            <w:pPr>
              <w:spacing w:after="0"/>
              <w:rPr>
                <w:sz w:val="19"/>
                <w:szCs w:val="19"/>
                <w:color w:val="auto"/>
              </w:rPr>
            </w:pPr>
          </w:p>
        </w:tc>
        <w:tc>
          <w:tcPr>
            <w:tcW w:w="17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47,149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(439.89%)</w:t>
            </w:r>
          </w:p>
        </w:tc>
      </w:tr>
      <w:tr>
        <w:trPr>
          <w:trHeight w:val="223"/>
        </w:trPr>
        <w:tc>
          <w:tcPr>
            <w:tcW w:w="4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(2,075,083</w:t>
            </w:r>
          </w:p>
        </w:tc>
        <w:tc>
          <w:tcPr>
            <w:tcW w:w="340" w:type="dxa"/>
            <w:vAlign w:val="bottom"/>
            <w:tcBorders>
              <w:top w:val="single" w:sz="8" w:color="EEEEEE"/>
              <w:bottom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(3,243,290</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EEEEEE"/>
              <w:bottom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(36.02%)</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43.56%</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41.39%</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(15.19%)</w:t>
            </w:r>
          </w:p>
        </w:tc>
        <w:tc>
          <w:tcPr>
            <w:tcW w:w="160" w:type="dxa"/>
            <w:vAlign w:val="bottom"/>
          </w:tcPr>
          <w:p>
            <w:pPr>
              <w:spacing w:after="0"/>
              <w:rPr>
                <w:sz w:val="18"/>
                <w:szCs w:val="18"/>
                <w:color w:val="auto"/>
              </w:rPr>
            </w:pP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(21.20%)</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 of revenues</w:t>
            </w:r>
          </w:p>
        </w:tc>
        <w:tc>
          <w:tcPr>
            <w:tcW w:w="1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(17.10%)</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December 31, 2023 decreased 12.75% to $16,800,122 as compared to $19,254,590 for the three months ended December 31, 2022. While pricing remained stable, the decreased revenue mainly resulted from a decrease in sales volume during the three months ended December 31, 2023 as the Company offered less promotions and clearance activities due to lower inventory level as compared to the three months ended December 31, 2022. This was partially offset by growth in the Company’s SuperSuite supply chain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Costs of goods sold for the three months ended December 31, 2023 decreased 15.98% to $9,481,882 as compared to $11,285,064 for the three months ended December 31, 2022. The decrease was primarily due to a decrease in sales and freight costs. See discussions on gross profit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$7,318,240 for the three months ended December 31, 2023 as compared to $7,969,526 for the three months ended December 31, 2022. The gross profit ratio increased to 43.56% for the three months ended December 31, 2023 from 41.39% for the three months ended December 31,</w:t>
      </w:r>
    </w:p>
    <w:p>
      <w:pPr>
        <w:jc w:val="both"/>
        <w:spacing w:after="0" w:line="260" w:lineRule="auto"/>
        <w:rPr>
          <w:sz w:val="20"/>
          <w:szCs w:val="20"/>
          <w:color w:val="auto"/>
        </w:rPr>
      </w:pPr>
      <w:r>
        <w:rPr>
          <w:rFonts w:ascii="Times New Roman" w:cs="Times New Roman" w:eastAsia="Times New Roman" w:hAnsi="Times New Roman"/>
          <w:sz w:val="18"/>
          <w:szCs w:val="18"/>
          <w:color w:val="auto"/>
        </w:rPr>
        <w:t>2022. The increase in the gross profit ratio was mainly driven by the decrease in costs of goods sold as a result of decreased freight charges during the current period. However, we cannot be assured that this trend will continue.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December 31, 2023 decreased 18.10% to $9,870,587 as compared to $12,052,092 for the three months ended December 31, 2022. The decrease was mainly due to the combination of a decrease in selling and fulfillment expenses of $2.4 million as a result of decreased costs related to advertising, merchant fees, rental expenses, and delivery fees, and an increase in general and administrative expenses of $0.2 million, which included payroll expenses, stock-based compensation expense, insurance expenses and other 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Loss from operations was $2,552,347 for the three months ended December 31, 2023 as compared to $4,082,566 for the three months ended December 31, 2022. The decrease in loss was resulted from the decrease in operating expenses and the increase in gross profit ratio,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expenses for the three months ended December 31, 2023 was $54,575 as compared to $258,457 for the three months ended December 31, 2022. The decrease in other expenses was mainly due to a decrease in interest, including amortization of debt discount on the revolving loan of $131,507 and an increase in other non-operating income of $69,238.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three months ended December 31, 2023 was $1,914,828 as compared to $3,290,439 for the three months ended December 31, 2022, representing a decrease of net loss of $1,375,611. The decrease was primarily due to the increase in gross profit and decrease in operating expenses as discussed above.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three months ended December 31, 2023 was $2,075,083 as compared to $3,243,290 for the three months ended December 31, 2022, representing a decrease of comprehensive loss of $1,168,207. The decrease was due to the reasons discussed above, along with an increase in other comprehensive loss of $207,404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December 31, 2023 and 2022</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88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40" w:type="dxa"/>
            <w:vAlign w:val="bottom"/>
            <w:gridSpan w:val="3"/>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8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43,308,496</w:t>
            </w:r>
          </w:p>
        </w:tc>
        <w:tc>
          <w:tcPr>
            <w:tcW w:w="3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45,277,263</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24,231,411</w:t>
            </w:r>
          </w:p>
        </w:tc>
        <w:tc>
          <w:tcPr>
            <w:tcW w:w="420" w:type="dxa"/>
            <w:vAlign w:val="bottom"/>
          </w:tcPr>
          <w:p>
            <w:pPr>
              <w:spacing w:after="0"/>
              <w:rPr>
                <w:sz w:val="19"/>
                <w:szCs w:val="19"/>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27,322,021</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(11.31%)</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19,077,085</w:t>
            </w:r>
          </w:p>
        </w:tc>
        <w:tc>
          <w:tcPr>
            <w:tcW w:w="3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17,955,242</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22,898,109</w:t>
            </w:r>
          </w:p>
        </w:tc>
        <w:tc>
          <w:tcPr>
            <w:tcW w:w="420" w:type="dxa"/>
            <w:vAlign w:val="bottom"/>
          </w:tcPr>
          <w:p>
            <w:pPr>
              <w:spacing w:after="0"/>
              <w:rPr>
                <w:sz w:val="19"/>
                <w:szCs w:val="19"/>
                <w:color w:val="auto"/>
              </w:rPr>
            </w:pPr>
          </w:p>
        </w:tc>
        <w:tc>
          <w:tcPr>
            <w:tcW w:w="14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26,631,114</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(14.02%)</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(3,821,024</w:t>
            </w:r>
          </w:p>
        </w:tc>
        <w:tc>
          <w:tcPr>
            <w:tcW w:w="340" w:type="dxa"/>
            <w:vAlign w:val="bottom"/>
            <w:tcBorders>
              <w:top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(8,675,872</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(55.96%)</w:t>
            </w:r>
          </w:p>
        </w:tc>
      </w:tr>
      <w:tr>
        <w:trPr>
          <w:trHeight w:val="209"/>
        </w:trPr>
        <w:tc>
          <w:tcPr>
            <w:tcW w:w="45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180" w:type="dxa"/>
            <w:vAlign w:val="bottom"/>
            <w:tcBorders>
              <w:bottom w:val="single" w:sz="8" w:color="EEEEEE"/>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351,131</w:t>
            </w:r>
          </w:p>
        </w:tc>
        <w:tc>
          <w:tcPr>
            <w:tcW w:w="340" w:type="dxa"/>
            <w:vAlign w:val="bottom"/>
            <w:tcBorders>
              <w:bottom w:val="single" w:sz="8" w:color="EEEEEE"/>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298,128</w:t>
            </w:r>
          </w:p>
        </w:tc>
        <w:tc>
          <w:tcPr>
            <w:tcW w:w="320" w:type="dxa"/>
            <w:vAlign w:val="bottom"/>
            <w:tcBorders>
              <w:bottom w:val="single" w:sz="8" w:color="EEEEEE"/>
            </w:tcBorders>
          </w:tcPr>
          <w:p>
            <w:pPr>
              <w:spacing w:after="0"/>
              <w:rPr>
                <w:sz w:val="18"/>
                <w:szCs w:val="18"/>
                <w:color w:val="auto"/>
              </w:rPr>
            </w:pPr>
          </w:p>
        </w:tc>
        <w:tc>
          <w:tcPr>
            <w:tcW w:w="1680" w:type="dxa"/>
            <w:vAlign w:val="bottom"/>
            <w:tcBorders>
              <w:bottom w:val="single" w:sz="8" w:color="EEEEEE"/>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r>
      <w:tr>
        <w:trPr>
          <w:trHeight w:val="210"/>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(4,172,155)</w:t>
            </w: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(8,974,000)</w:t>
            </w:r>
          </w:p>
        </w:tc>
        <w:tc>
          <w:tcPr>
            <w:tcW w:w="32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(53.51%)</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(964,821)</w:t>
            </w:r>
          </w:p>
        </w:tc>
        <w:tc>
          <w:tcPr>
            <w:tcW w:w="42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(1,495,545)</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(35.49%)</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(3,207,334)</w:t>
            </w:r>
          </w:p>
        </w:tc>
        <w:tc>
          <w:tcPr>
            <w:tcW w:w="3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(7,478,455)</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(57.11%)</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(5,991)</w:t>
            </w:r>
          </w:p>
        </w:tc>
        <w:tc>
          <w:tcPr>
            <w:tcW w:w="42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(5,640)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18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(3,201,343)</w:t>
            </w:r>
          </w:p>
        </w:tc>
        <w:tc>
          <w:tcPr>
            <w:tcW w:w="3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(7,472,815)</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(57.16%)</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(160,962)</w:t>
            </w:r>
          </w:p>
        </w:tc>
        <w:tc>
          <w:tcPr>
            <w:tcW w:w="420" w:type="dxa"/>
            <w:vAlign w:val="bottom"/>
          </w:tcPr>
          <w:p>
            <w:pPr>
              <w:spacing w:after="0"/>
              <w:rPr>
                <w:sz w:val="19"/>
                <w:szCs w:val="19"/>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(64,326)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150.23%</w:t>
            </w:r>
          </w:p>
        </w:tc>
      </w:tr>
      <w:tr>
        <w:trPr>
          <w:trHeight w:val="223"/>
        </w:trPr>
        <w:tc>
          <w:tcPr>
            <w:tcW w:w="4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(3,362,305</w:t>
            </w:r>
          </w:p>
        </w:tc>
        <w:tc>
          <w:tcPr>
            <w:tcW w:w="340" w:type="dxa"/>
            <w:vAlign w:val="bottom"/>
            <w:tcBorders>
              <w:top w:val="single" w:sz="8" w:color="EEEEEE"/>
              <w:bottom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EEEEEE"/>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(7,537,141</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EEEEEE"/>
              <w:bottom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(55.39%)</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44.05%</w:t>
            </w:r>
          </w:p>
        </w:tc>
        <w:tc>
          <w:tcPr>
            <w:tcW w:w="4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39.66%</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(8.82%)</w:t>
            </w:r>
          </w:p>
        </w:tc>
        <w:tc>
          <w:tcPr>
            <w:tcW w:w="420" w:type="dxa"/>
            <w:vAlign w:val="bottom"/>
          </w:tcPr>
          <w:p>
            <w:pPr>
              <w:spacing w:after="0"/>
              <w:rPr>
                <w:sz w:val="18"/>
                <w:szCs w:val="18"/>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(19.16%)</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 of revenues</w:t>
            </w:r>
          </w:p>
        </w:tc>
        <w:tc>
          <w:tcPr>
            <w:tcW w:w="1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(7.41%)</w:t>
            </w:r>
          </w:p>
        </w:tc>
        <w:tc>
          <w:tcPr>
            <w:tcW w:w="4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(16.52%)</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for the six months ended December 31, 2023 decreased 4.35% to $43,308,496 as compared to $45,277,263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While pricing remained stable, the decreased revenue mainly resulted from a decrease in sales volume during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as the Company offered less promotions and clearance activities due to lower inventory level as compared to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This was partially offset by growth in the Company’s SuperSuite supply chain offerings.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Costs of goods sold for the six months ended December 31, 2023 decreased 11.31% to $24,231,411 as compared to $27,322,021 for the six months ended December 31, 2022. The decrease was primarily due to a decrease in sales and freight costs. See discussions on gross profit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$19,077,085 for the six months ended December 31, 2023 as compared to $17,955,242 for the six months ended December 31, 2022. The gross profit ratio increased to 44.05% for the six months ended December 31, 2023 from 39.66% for the six months ended December 31, 2022. The increase in the gross profit ratio was mainly driven by the decrease in costs of goods sold as a result of decreased freight charges during the current period. However, we cannot be assured that this trend will continue.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for the six months ended December 31, 2023 decreased 14.02% to $22,898,109 as compared to $26,631,114 for the six months ended December 31, 2022. The decrease was mainly due to the combination of a decrease in selling and fulfillment expenses of $0.8 million as a result of decreased costs related to advertising, merchant fees, rental expenses and delivery fees, and a decrease of $3.1 million of impairment loss on goodwill triggered by a decrease in the Company’s share price of its common stock and the net loss incurred during the six months ended December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Loss from operations was $3,821,024 for the six months ended December 31, 2023 as compared to $8,675,872 for the six months ended December 31, 2022. The decrease in loss was resulted from the decrease in operating expenses and the increase in gross profit,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expenses for the six months ended December 31, 2023 was $351,131 as compared to $298,128 for the six months ended December 31, 2022. The increase in other expenses was mainly due to a combination of a decrease in interest expenses and a decrease in other non-operating income of $209,688 resulted from termination of sublease in January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six months ended December 31, 2023 was $3,201,343 as compared to $7,472,815 for the six months ended December 31, 2022, representing a decrease of net loss of $4,271,472. The decrease was primarily due to the increase in gross profit and decrease in operating expenses as discussed above.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six months ended December 31, 2023 was $3,362,305 as compared to $7,537,141 for the six months ended December 31, 2022, representing a decrease of comprehensive loss of $4,174,836. The decrease was due to the reasons discussed above, along with an increase in other comprehensive loss of $96,636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funded our operations with cash and cash equivalents generated from operations, including delaying payments to vendors, as well as through borrowing under our credit facility from JPMorgan Chase Bank ("JPM”). We had cash and cash equivalents of $1,488,027 as of December 31, 2023, representing a $2.2 million decrease from $3,735,642 as of June 30, 2023. The cash decrease was due to an increase in net cash used in financing activities, partially offset by net cash provided by operating activities.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and despite the current uncertainty resulting from the ongoing Ukraine-Russia and Israel-Hamas military conflicts, and the effects of COVID-19, we believe that our existing cash and cash equivalents and cash flows from operations will be sufficient to finance our operations during the next 12 months.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on our margin profile and ability to generate cash. Currently, we have approximately $10 million in unused credit available under the revolving line with JPM. Given our current working capital position and available funding from our revolving credit line, we believe we will be able to manage through the current challenges by managing payment terms with customers and vendors.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and June 30, 2023, our working capital was $4.7 million and $17.9 million, respectively. The historical seasonality in our business during the year can cause cash and cash equivalents, inventory and accounts payable to fluctuate, resulting in changes in our working capital.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December 31, 2023 and 2022 was $5,045,730 and $7,778,208, respectively. The decrease in cash provided by operating activities mainly resulted from the decrease of changes in accounts payable, accounts receivable, inventories, prepayments and other current assets, partially offset by a decrease of changes in other payable and accrued liabilities.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December 31, 2023 and 2022, net cash used in investing activities was $0 and $127,367, respectively. The decrease in cash used in investing activities was because the Company did not have additional purchase of equipment during the six months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$7,175,000 and $5,540,436, respectively, for the six months ended December 31, 2023 and 2022. The main reason the Company experienced an increase in net cash used in financing activities was primarily due to our payment of $9.2 million for: (1) $1.9 million to pay down the note payable to White Cherry; and (2) $7.3 million to pay down the outstanding balance of the asset-based revolving loan facility with JPM.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Revenue reco</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nition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fulfillment, general and administrative expenses. The Company regularly reviews inventory and considers forecasts of future demand, market conditions and product obsolescence.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which run for a term of 10 years from February 2022 to February 2032, the Company bears all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and Note 5 for details on acquisition.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shall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quarter ended September 30, 2022. The Company also considered the Market Capital Method, which is an alternative market approach, suggested the Company’s goodwill is partially impaired.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2023, in addition to a qualitative goodwill impairment analysis following the steps laid out in ASC 350-20-35-3C, the Company also performed a quantitative analysis using the Discounted Cash Flow and Market Capital Method and noted no goodwill impairment. As of December 31, 2023 and 2022, the remaining goodwill balance amounted to $3,034,110.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December 31, 2023 include a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Borders>
              <w:bottom w:val="single" w:sz="8" w:color="EEEEEE"/>
            </w:tcBorders>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10"/>
        </w:trPr>
        <w:tc>
          <w:tcPr>
            <w:tcW w:w="7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33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7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33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December 31, 2023, there were no indicators of impairment.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 As of December 31, 2023, the Company expected that the deferred tax assets are fully realizable so did not record any valuation allowance.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its inception on April 11, 2018, and has subsequently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2023,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lack effective communication and reconciliation procedures in our controlled subsidiaries, and (ii)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December 31, 2023 that have materially affected, or are reasonably likely to materially affect, our internal controls over financial reporting.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UHY LLP, our independent registered public accounting firm, is not required to and has not provided an assessment concerning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former placement agent, Boustead Securities LLC ("Boustead”),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 &amp; Co. The matter is presently scheduled to hold its evidentiary hearing before a FINRA arbitration panel during the first two weeks of March 2024. The actual FINRA arbitration, however, has been postponed and, as a result, a date for the FINRA arbitration hearing has not yet been set. The Company and its special litigation counsel are in the process of preparing for the hearing. We believe that we have meritorious defenses to any claims that Boustead may assert, and we do not believe that such claims will have a material adverse effect on our business, financial condition, or operating results. However, we have agreed to indemnify D.A. Davidson &amp; Co. and the other underwriters who participated in our initial public offering against any liability or expense they may incur or be subject to arising out of the Boustead dispute. In addition, Chenlong Tan, our Chairman, President, and Chief Executive Officer and a beneficial owner of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for such reimbursement to come from sales of shares then owned by Mr. Tan.</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above, 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24, 2023, we received a letter from the Nasdaq Listing Qualifications Staff of The Nasdaq Stock Market LLC (“Nasdaq”) stating that for the 30 consecutive business day period between July 13, 2023 to August 23, 2023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February 20, 2024 (the “Compliance Period”), to regain compliance with the Minimum Bid Price Requirement. To regain compliance, the closing bid price of the Company’s common stock must meet or exceed $1.00 per share for a minimum of 10 consecutive trading days, unless such period is extended by Nasdaq. If the Company does not regain compliance with the Minimum Bid Price Requirement by February 20, 2024, the Company may be eligible for an additional 180-day period to regain compliance. To qualify, the Company would be required to meet the continued listing requirement for market value of publicly held shares and all other initial listing standards for The Nasdaq Capital Market, with the exception of the Minimum Bid Price Requirement, and we would need to provide written notice of our intention to cure the bid price deficiency during the second compliance period, by effecting a reverse stock split, if necessary. Prior to February 20, 2024, we will submit a memorandum to Nasdaq seeking approval to utilize the additional 180-day compliance period to regain compliance with the Minimum Bid Price Requirement.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the Company cannot regain compliance with the Minimum Bid Price Requirement during the Compliance Period or any subsequently granted compliance period, Nasdaq will provide the Company with notice that our common stock will be subject to delisting. At that time, the Company may appeal Nasdaq’s delisting determination to a Nasdaq Hearings Panel. While Nasdaq’s notice to the Company of noncompliance has no immediate effect on the listing of our common stock and our common stock will continue to be listed on The Nasdaq Capital Market under the symbol “IPW,” there can be no assurance that we will regain compliance with the Minimum Bid Price Requirement or maintain compliance with any of the other Nasdaq continued listing requirements. We will continue to monitor the closing bid price of our common stock and may, if appropriate, consider available options to regain compliance with the Minimum Bid Price Requirement.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60" w:type="dxa"/>
            <w:vAlign w:val="bottom"/>
          </w:tcPr>
          <w:p>
            <w:pPr>
              <w:spacing w:after="0"/>
              <w:rPr>
                <w:sz w:val="17"/>
                <w:szCs w:val="17"/>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May 5, 2021).</w:t>
            </w:r>
          </w:p>
        </w:tc>
        <w:tc>
          <w:tcPr>
            <w:tcW w:w="4880" w:type="dxa"/>
            <w:vAlign w:val="bottom"/>
            <w:gridSpan w:val="2"/>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6"/>
                <w:szCs w:val="16"/>
                <w:color w:val="auto"/>
              </w:rPr>
            </w:pPr>
          </w:p>
        </w:tc>
        <w:tc>
          <w:tcPr>
            <w:tcW w:w="10000" w:type="dxa"/>
            <w:vAlign w:val="bottom"/>
            <w:gridSpan w:val="7"/>
          </w:tcPr>
          <w:p>
            <w:pPr>
              <w:ind w:left="20"/>
              <w:spacing w:after="0" w:line="194"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 xml:space="preserve">Second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2 the Registration</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Statement on Form S-1 filed April 27, 2021).</w:t>
            </w:r>
          </w:p>
        </w:tc>
        <w:tc>
          <w:tcPr>
            <w:tcW w:w="5980" w:type="dxa"/>
            <w:vAlign w:val="bottom"/>
            <w:gridSpan w:val="4"/>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6"/>
                <w:szCs w:val="16"/>
                <w:color w:val="auto"/>
              </w:rPr>
            </w:pPr>
          </w:p>
        </w:tc>
        <w:tc>
          <w:tcPr>
            <w:tcW w:w="10000" w:type="dxa"/>
            <w:vAlign w:val="bottom"/>
            <w:gridSpan w:val="7"/>
          </w:tcPr>
          <w:p>
            <w:pPr>
              <w:ind w:left="20"/>
              <w:spacing w:after="0" w:line="194"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 xml:space="preserve">Incentive-Based Compensation Recovery (Clawback) Policy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K filed on December 1, 2023.</w:t>
            </w:r>
          </w:p>
        </w:tc>
        <w:tc>
          <w:tcPr>
            <w:tcW w:w="5600" w:type="dxa"/>
            <w:vAlign w:val="bottom"/>
            <w:gridSpan w:val="3"/>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16"/>
                <w:szCs w:val="16"/>
                <w:color w:val="auto"/>
              </w:rPr>
            </w:pPr>
          </w:p>
        </w:tc>
        <w:tc>
          <w:tcPr>
            <w:tcW w:w="10000" w:type="dxa"/>
            <w:vAlign w:val="bottom"/>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EE"/>
              </w:rPr>
              <w:t xml:space="preserve">Certification of Chief Executive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2860" w:type="dxa"/>
            <w:vAlign w:val="bottom"/>
            <w:tcBorders>
              <w:left w:val="single" w:sz="8" w:color="0000EE"/>
            </w:tcBorders>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Certification of Chief Financial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17"/>
                <w:szCs w:val="17"/>
                <w:color w:val="auto"/>
              </w:rPr>
            </w:pPr>
          </w:p>
        </w:tc>
        <w:tc>
          <w:tcPr>
            <w:tcW w:w="1000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6"/>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17"/>
                <w:szCs w:val="17"/>
                <w:color w:val="auto"/>
              </w:rPr>
            </w:pPr>
          </w:p>
        </w:tc>
        <w:tc>
          <w:tcPr>
            <w:tcW w:w="1000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6"/>
          </w:tcPr>
          <w:p>
            <w:pPr>
              <w:spacing w:after="0" w:line="20" w:lineRule="exact"/>
              <w:rPr>
                <w:sz w:val="1"/>
                <w:szCs w:val="1"/>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Data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24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8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248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Chenlong Tan</w:t>
            </w:r>
          </w:p>
        </w:tc>
      </w:tr>
      <w:tr>
        <w:trPr>
          <w:trHeight w:val="191"/>
        </w:trPr>
        <w:tc>
          <w:tcPr>
            <w:tcW w:w="2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Chenlong Tan</w:t>
            </w:r>
          </w:p>
        </w:tc>
      </w:tr>
      <w:tr>
        <w:trPr>
          <w:trHeight w:val="234"/>
        </w:trPr>
        <w:tc>
          <w:tcPr>
            <w:tcW w:w="2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February 14, 2024</w:t>
            </w: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5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Kevin Vassily</w:t>
            </w:r>
          </w:p>
        </w:tc>
      </w:tr>
      <w:tr>
        <w:trPr>
          <w:trHeight w:val="191"/>
        </w:trPr>
        <w:tc>
          <w:tcPr>
            <w:tcW w:w="29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Kevin Vassily</w:t>
            </w:r>
          </w:p>
        </w:tc>
      </w:tr>
      <w:tr>
        <w:trPr>
          <w:trHeight w:val="234"/>
        </w:trPr>
        <w:tc>
          <w:tcPr>
            <w:tcW w:w="29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firstLine="526"/>
        <w:spacing w:after="0" w:line="282" w:lineRule="auto"/>
        <w:tabs>
          <w:tab w:leader="none" w:pos="7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December 31, 2023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Kevin Vassily, certify that:</w:t>
      </w:r>
    </w:p>
    <w:p>
      <w:pPr>
        <w:spacing w:after="0" w:line="225" w:lineRule="exact"/>
        <w:rPr>
          <w:sz w:val="20"/>
          <w:szCs w:val="20"/>
          <w:color w:val="auto"/>
        </w:rPr>
      </w:pPr>
    </w:p>
    <w:p>
      <w:pPr>
        <w:ind w:firstLine="526"/>
        <w:spacing w:after="0" w:line="282" w:lineRule="auto"/>
        <w:tabs>
          <w:tab w:leader="none" w:pos="7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December 31, 2023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Vassily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iPower Inc. (the “Company”) on Form 10-Q pursuant to Rule 15d-2 Under the Securities Exchange Act of 1934 for the period ended December 31, 2023,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58" w:lineRule="exact"/>
        <w:rPr>
          <w:sz w:val="20"/>
          <w:szCs w:val="20"/>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2024</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pursuant to Rule 15d-2 Under the Securities Exchange Act of 1934 for the period ended December 31, 2023,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February 14, 2024</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Ø"/>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9" Type="http://schemas.openxmlformats.org/officeDocument/2006/relationships/hyperlink" Target="https://www.sec.gov/Archives/edgar/data/1830072/000168316821001774/ipower_ex0303.htm" TargetMode="External"/><Relationship Id="rId80" Type="http://schemas.openxmlformats.org/officeDocument/2006/relationships/hyperlink" Target="https://www.sec.gov/Archives/edgar/data/1830072/000168316821001556/ipower_ex0303.htm" TargetMode="External"/><Relationship Id="rId81" Type="http://schemas.openxmlformats.org/officeDocument/2006/relationships/hyperlink" Target="https://www.sec.gov/Archives/edgar/data/1830072/000168316823008598/ipower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2024-02-14T16:26:46Z</dcterms:created>
  <dcterms:modified xsi:type="dcterms:W3CDTF">2024-02-14T16:26:46Z</dcterms:modified>
</cp:coreProperties>
</file>