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2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A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B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6_edei--EntityFileNumber_c20260723"/>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B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B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3_edei--EntityAddressStateOrProvin"/>
      <w:bookmarkEnd w:id="10"/>
      <w:r>
        <w:rPr>
          <w:rFonts w:ascii="Times New Roman;Times;Serif" w:hAnsi="Times New Roman;Times;Serif"/>
          <w:b w:val="false"/>
          <w:i w:val="false"/>
          <w:caps w:val="false"/>
          <w:smallCaps w:val="false"/>
          <w:sz w:val="20"/>
        </w:rPr>
        <w:t xml:space="preserve">CA </w:t>
      </w:r>
      <w:bookmarkStart w:id="11" w:name="xdx_901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B_edei--CityAreaCode_c20260723__20"/>
      <w:bookmarkEnd w:id="12"/>
      <w:r>
        <w:rPr>
          <w:rFonts w:ascii="Times New Roman;Times;Serif" w:hAnsi="Times New Roman;Times;Serif"/>
          <w:b w:val="false"/>
          <w:i w:val="false"/>
          <w:caps w:val="false"/>
          <w:smallCaps w:val="false"/>
          <w:sz w:val="20"/>
        </w:rPr>
        <w:t xml:space="preserve">626) </w:t>
      </w:r>
      <w:bookmarkStart w:id="13" w:name="xdx_900_edei--LocalPhoneNumber_c20260723"/>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1_edei--SolicitingMaterial_c202607"/>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1_edei--Security12bTitle_c20260723"/>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B_edei--TradingSymbol_c20260723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B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3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iPower Inc, a Nevada corporation (“iPower” or the “Company”), published a press release announcing that it had entered into a non-binding letter of intent with a prospective customer for the proposed lease by iPower of dedicated high-performance GPU computer systems. The Company’s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8.01 (including Exhibit 99.1 hereto) is being furnished and shall not be deemed “filed” for purposes of Section 18 of the Exchange Act, or otherwise subject to the liabilities of that section, nor shall it be deemed incorporated by reference into any filing under the Exchange Act or the Securities Act, except as expressly set forth by specific reference in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sz w:val="20"/>
        </w:rPr>
      </w:pPr>
      <w:r>
        <w:rPr>
          <w:b/>
          <w:sz w:val="20"/>
        </w:rPr>
        <w:t>Item 9.01.</w:t>
      </w:r>
      <w:r>
        <w:rPr>
          <w:sz w:val="20"/>
        </w:rPr>
        <w:t xml:space="preserve"> </w:t>
      </w:r>
      <w:r>
        <w:rPr>
          <w:b/>
          <w:sz w:val="20"/>
        </w:rPr>
        <w:t>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ipower_ex9901.htm">
              <w:r>
                <w:rPr>
                  <w:rStyle w:val="InternetLink"/>
                </w:rPr>
                <w:t>Press Release dated July 23, 2026</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730"/>
        <w:gridCol w:w="590"/>
        <w:gridCol w:w="1955"/>
      </w:tblGrid>
      <w:tr>
        <w:trPr/>
        <w:tc>
          <w:tcPr>
            <w:tcW w:w="173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1730" w:type="dxa"/>
            <w:tcBorders/>
            <w:vAlign w:val="center"/>
          </w:tcPr>
          <w:p>
            <w:pPr>
              <w:pStyle w:val="TableContents"/>
              <w:bidi w:val="0"/>
              <w:spacing w:before="0" w:after="283"/>
              <w:jc w:val="left"/>
              <w:rPr>
                <w:sz w:val="20"/>
              </w:rPr>
            </w:pPr>
            <w:r>
              <w:rPr>
                <w:sz w:val="20"/>
              </w:rPr>
              <w:t>Dated: July 23,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17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9901.htm"/>
      <w:bookmarkStart w:id="24" w:name="ksipower_ex9901"/>
      <w:bookmarkEnd w:id="23"/>
      <w:bookmarkEnd w:id="24"/>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Signs Non-Binding LOI for Proposed $6 Million GPU</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Deployment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Proposed 36-month equipment lease may expand to approximately $60 million in aggregate</w:t>
      </w:r>
    </w:p>
    <w:p>
      <w:pPr>
        <w:pStyle w:val="TextBody"/>
        <w:bidi w:val="0"/>
        <w:spacing w:before="0" w:after="0"/>
        <w:ind w:left="0" w:right="0" w:hanging="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contemplated contract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RANCHO CUCAMONGA, Calif., July 23, 2026 — </w:t>
      </w:r>
      <w:r>
        <w:rPr>
          <w:rFonts w:ascii="Times New Roman;Times;Serif" w:hAnsi="Times New Roman;Times;Serif"/>
          <w:b w:val="false"/>
          <w:i w:val="false"/>
          <w:caps w:val="false"/>
          <w:smallCaps w:val="false"/>
          <w:sz w:val="20"/>
        </w:rPr>
        <w:t xml:space="preserve">iPower Inc. (Nasdaq: IPW) ("iPower" or the "Company") today announced that it has signed a non-binding letter of intent with a prospective customer for the proposed lease of dedicated high-performance GPU computer systems. The proposed initial deployment would involve GPU systems with an expected acquisition value of approximately </w:t>
      </w:r>
      <w:r>
        <w:rPr>
          <w:rFonts w:ascii="Times New Roman;Times;Serif" w:hAnsi="Times New Roman;Times;Serif"/>
          <w:b/>
          <w:i w:val="false"/>
          <w:caps w:val="false"/>
          <w:smallCaps w:val="false"/>
          <w:sz w:val="20"/>
        </w:rPr>
        <w:t>$6 million</w:t>
      </w:r>
      <w:r>
        <w:rPr>
          <w:rFonts w:ascii="Times New Roman;Times;Serif" w:hAnsi="Times New Roman;Times;Serif"/>
          <w:b w:val="false"/>
          <w:i w:val="false"/>
          <w:caps w:val="false"/>
          <w:smallCaps w:val="false"/>
          <w:sz w:val="20"/>
        </w:rPr>
        <w:t xml:space="preserve"> and an anticipated lease term of approximately </w:t>
      </w:r>
      <w:r>
        <w:rPr>
          <w:rFonts w:ascii="Times New Roman;Times;Serif" w:hAnsi="Times New Roman;Times;Serif"/>
          <w:b/>
          <w:i w:val="false"/>
          <w:caps w:val="false"/>
          <w:smallCaps w:val="false"/>
          <w:sz w:val="20"/>
        </w:rPr>
        <w:t>36 months</w:t>
      </w:r>
      <w:r>
        <w:rPr>
          <w:rFonts w:ascii="Times New Roman;Times;Serif" w:hAnsi="Times New Roman;Times;Serif"/>
          <w:b w:val="false"/>
          <w:i w:val="false"/>
          <w:caps w:val="false"/>
          <w:smallCaps w:val="false"/>
          <w:sz w:val="20"/>
        </w:rPr>
        <w:t xml:space="preserve"> following installation and acceptance, with the potential to expand to approximately </w:t>
      </w:r>
      <w:r>
        <w:rPr>
          <w:rFonts w:ascii="Times New Roman;Times;Serif" w:hAnsi="Times New Roman;Times;Serif"/>
          <w:b/>
          <w:i w:val="false"/>
          <w:caps w:val="false"/>
          <w:smallCaps w:val="false"/>
          <w:sz w:val="20"/>
        </w:rPr>
        <w:t>$60 million in aggregate contemplated contract value</w:t>
      </w:r>
      <w:r>
        <w:rPr>
          <w:rFonts w:ascii="Times New Roman;Times;Serif" w:hAnsi="Times New Roman;Times;Serif"/>
          <w:b w:val="false"/>
          <w:i w:val="false"/>
          <w:caps w:val="false"/>
          <w:smallCaps w:val="false"/>
          <w:sz w:val="20"/>
        </w:rPr>
        <w:t>, including the initial phase, following a successful initial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proposed structure, iPower or its designated subsidiary would acquire the GPU systems, retain ownership of the equipment and lease the systems to the prospective customer for exclusive use at a mutually agreed data center. The model is designed to provide customers with access to dedicated AI computing infrastructure while allowing iPower to seek lease revenue from Company-owned hardware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signed LOI moves our AI hardware leasing strategy from preliminary customer interest to a specific potential transaction,” said Lawrence Tan, Chief Executive Officer of iPower. “The contemplated $6 million initial deployment will provide a meaningful starting point, while the potential expansion demonstrates the scale this model may offer following successful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Tan continued, “Our proposed business model is straightforward: acquire high-performance GPU systems, retain ownership and lease the equipment to customers that requires dedicated computing capacity. We are now focused on equipment sourcing, financing, data center deployment and negotiating definitive commercial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LOI follows iPower’s recently announced formation of a dedicated AI subsidiary focused on AI hardware leasing and potential compute resource distribution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equipment specifications, lease payments, payment schedule, credit support, deployment arrangements, operating expenses and other commercial terms remain subject to negotiation. The LOI is non-binding in its entirety, and neither party is obligated to proceed unless definitive agreements are negotiated and executed. There can be no assurance that the initial transaction or any contemplated expansion will be completed or generate revenue or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markets access, iPower is building a scalable business designed to generate durable long-term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press release are “forward-looking statements” as defined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but are not limited to, statements regarding the non-binding letter of intent, the proposed acquisition or financing of GPU systems, the proposed initial deployment, anticipated lease term, potential expansion, contemplated contract value, equipment sourcing, financing, data center deployment, definitive agreements, potential lease revenue, customer demand and the Company’s AI infrastructure strategy. These statements involve known and unknown risks and uncertainties and are based on current expectations and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set forth herein. The LOI is non-binding, material commercial terms have not been finalized, and there can be no assurance that definitive agreements will be executed or that the proposed initial transaction or any expansion will be completed.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IPW.IR@meetipower.com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1172</Words>
  <Characters>6974</Characters>
  <CharactersWithSpaces>8190</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