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ipw_s3a1.htm"/>
      <w:bookmarkStart w:id="1" w:name="ksipw_s3a1"/>
      <w:bookmarkEnd w:id="0"/>
      <w:bookmarkEnd w:id="1"/>
      <w:r>
        <w:rPr>
          <w:rFonts w:ascii="Times New Roman;Times;Serif" w:hAnsi="Times New Roman;Times;Serif"/>
          <w:b/>
          <w:i w:val="false"/>
          <w:caps w:val="false"/>
          <w:smallCaps w:val="false"/>
          <w:sz w:val="20"/>
        </w:rPr>
        <w:t>As filed with the U.S. Securities and Exchange Commission on 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333-299409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 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S-3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REGISTRATION STATEMENT</w:t>
        <w:br/>
      </w:r>
      <w:r>
        <w:rPr>
          <w:rFonts w:ascii="Times New Roman;Times;Serif" w:hAnsi="Times New Roman;Times;Serif"/>
          <w:b/>
          <w:i/>
          <w:caps w:val="false"/>
          <w:smallCaps w:val="false"/>
          <w:sz w:val="20"/>
        </w:rP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4880"/>
        <w:gridCol w:w="3275"/>
      </w:tblGrid>
      <w:tr>
        <w:trPr/>
        <w:tc>
          <w:tcPr>
            <w:tcW w:w="48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32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82-5144171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 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Chenlong Tan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8798 9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(626) 863-7344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Megan J. Penick,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Dorsey &amp; Whitney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1301 Avenue of the Americas, Floor 13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415-9279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this Registration Statement becomes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as amended (“Securities Act”),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75"/>
        <w:gridCol w:w="1865"/>
        <w:gridCol w:w="230"/>
        <w:gridCol w:w="2225"/>
        <w:gridCol w:w="245"/>
      </w:tblGrid>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Large accelerated filer </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Accelerated filer </w:t>
            </w:r>
          </w:p>
        </w:tc>
        <w:tc>
          <w:tcPr>
            <w:tcW w:w="24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Non-accelerated filer </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EXPLANATORY NOTE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iPower Inc. (the “Company”) is filing this Pre-Effective Amendment No. 1 (the “Amendment”) to its Registration Statement on Form S-3 (333-299409), initially filed with the Securities and Exchange Commission on October 9, 2026 (the “Registration Statement”), as an exhibits-only filing solely to include the consent of the Company’s independent registered public accounting firm. Accordingly, the Amendment consists only of the facing page, this explanatory note, Item 16 of Part II of the Registration Statement, the signature page to the Registration Statement, the exhibit index and the exhibit being filed with the Amendment.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w:t>
            </w:r>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Sixth Amended and Restated Articles of Incorporation of iPower Inc.</w:t>
              </w:r>
            </w:hyperlink>
            <w:r>
              <w:rPr/>
              <w:t xml:space="preserve"> </w:t>
            </w:r>
            <w:r>
              <w:rPr>
                <w:rFonts w:ascii="Times New Roman;Times;Serif" w:hAnsi="Times New Roman;Times;Serif"/>
                <w:sz w:val="20"/>
              </w:rPr>
              <w:t>(incorporated by reference to Exhibit 3.3 to Amendment No. 3 to the Registration Statement on Form S-1 filed May 5, 2021).</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Amendment to Articles of Incorporation</w:t>
              </w:r>
            </w:hyperlink>
            <w:r>
              <w:rPr/>
              <w:t xml:space="preserve"> </w:t>
            </w:r>
            <w:r>
              <w:rPr>
                <w:rFonts w:ascii="Times New Roman;Times;Serif" w:hAnsi="Times New Roman;Times;Serif"/>
                <w:sz w:val="20"/>
              </w:rPr>
              <w:t>(incorporated by reference to Exhibit 3.1 to the Current Report on Form 8-K filed October 21, 2025).</w:t>
            </w:r>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Third Amended and Restated Bylaws of iPower Inc.</w:t>
              </w:r>
            </w:hyperlink>
            <w:r>
              <w:rPr/>
              <w:t xml:space="preserve"> </w:t>
            </w:r>
            <w:r>
              <w:rPr>
                <w:rFonts w:ascii="Times New Roman;Times;Serif" w:hAnsi="Times New Roman;Times;Serif"/>
                <w:sz w:val="20"/>
              </w:rPr>
              <w:t>(incorporated by reference to Exhibit 3.1 to the Current Report on Form 8-K filed on June 11, 2025).</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Certificate of Amendment to the Sixth Amended and Restated Articles of Incorporation</w:t>
              </w:r>
            </w:hyperlink>
            <w:r>
              <w:rPr/>
              <w:t xml:space="preserve"> </w:t>
            </w:r>
            <w:r>
              <w:rPr>
                <w:rFonts w:ascii="Times New Roman;Times;Serif" w:hAnsi="Times New Roman;Times;Serif"/>
                <w:sz w:val="20"/>
              </w:rPr>
              <w:t>(incorporated by reference to Exhibit 3.1 to the Current Report on Form 8-K filed on May 22, 2026).</w:t>
            </w:r>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Certificate of Amendment to the Sixth Amended and Restated Articles of Incorporatio</w:t>
              </w:r>
            </w:hyperlink>
            <w:r>
              <w:rPr>
                <w:rFonts w:ascii="Times New Roman;Times;Serif" w:hAnsi="Times New Roman;Times;Serif"/>
                <w:sz w:val="20"/>
              </w:rPr>
              <w:t>n (incorporated by reference to Exhibit 3.1 to the Current Report on Form 8-K filed on August 5, 2026).</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Second Amended and Restated Bylaws of iPower Inc.</w:t>
              </w:r>
            </w:hyperlink>
            <w:r>
              <w:rPr/>
              <w:t xml:space="preserve"> </w:t>
            </w:r>
            <w:r>
              <w:rPr>
                <w:rFonts w:ascii="Times New Roman;Times;Serif" w:hAnsi="Times New Roman;Times;Serif"/>
                <w:sz w:val="20"/>
              </w:rPr>
              <w:t>(incorporated by reference to Exhibit 3.3 to Amendment No. 2 the Registration Statement on Form S-1 filed April 27, 2021).</w:t>
            </w:r>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Certificate of Designation of Series A Convertible Preferred Stock</w:t>
              </w:r>
            </w:hyperlink>
            <w:r>
              <w:rPr/>
              <w:t xml:space="preserve"> </w:t>
            </w:r>
            <w:r>
              <w:rPr>
                <w:rFonts w:ascii="Times New Roman;Times;Serif" w:hAnsi="Times New Roman;Times;Serif"/>
                <w:sz w:val="20"/>
              </w:rPr>
              <w:t>(incorporated by reference to Exhibit 4.1 to the Registration Statement on Form S-1 filed February 2, 2021).</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Form of Warrant</w:t>
              </w:r>
            </w:hyperlink>
            <w:r>
              <w:rPr/>
              <w:t xml:space="preserve"> </w:t>
            </w:r>
            <w:r>
              <w:rPr>
                <w:rFonts w:ascii="Times New Roman;Times;Serif" w:hAnsi="Times New Roman;Times;Serif"/>
                <w:sz w:val="20"/>
              </w:rPr>
              <w:t>(incorporated by reference to Exhibit 4.1 to the Current Report on Form 8-K filed June 18, 2024).</w:t>
            </w:r>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Form of Series A Senior Secured Convertible Notes</w:t>
              </w:r>
            </w:hyperlink>
            <w:r>
              <w:rPr/>
              <w:t xml:space="preserve"> </w:t>
            </w:r>
            <w:r>
              <w:rPr>
                <w:rFonts w:ascii="Times New Roman;Times;Serif" w:hAnsi="Times New Roman;Times;Serif"/>
                <w:sz w:val="20"/>
              </w:rPr>
              <w:t>(incorporated by reference to Exhibit 4.1 to the Current Report on Form 8-K/A filed December 23, 2025).</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Form of Series B Senior Secured Convertible Notes</w:t>
              </w:r>
            </w:hyperlink>
            <w:r>
              <w:rPr/>
              <w:t xml:space="preserve"> </w:t>
            </w:r>
            <w:r>
              <w:rPr>
                <w:rFonts w:ascii="Times New Roman;Times;Serif" w:hAnsi="Times New Roman;Times;Serif"/>
                <w:sz w:val="20"/>
              </w:rPr>
              <w:t>(incorporated by reference to Exhibit 4.2 to the Current Report on Form 8-K/A filed December 23, 2025).</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Specimen Certificate for Preferred Stock.</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Designation for Preferred Stock.</w:t>
            </w:r>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Warrant Agreement.</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Indenture for Senior Debt Securities.</w:t>
            </w:r>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Form of Indenture for Subordinated Debt Securities.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Securities.</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Rights Agreement.</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Unit and Unit Certificate.</w:t>
            </w:r>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Opinion of Dorsey &amp; Whitney LLP</w:t>
              </w:r>
            </w:hyperlink>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ipw_ex2301.htm">
              <w:r>
                <w:rPr>
                  <w:rStyle w:val="InternetLink"/>
                  <w:rFonts w:ascii="Times New Roman;Times;Serif" w:hAnsi="Times New Roman;Times;Serif"/>
                  <w:sz w:val="20"/>
                </w:rPr>
                <w:t>Consent of HTL International LLC, Independent Registered Public Accounting Firm</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 xml:space="preserve">Consent of Dorsey &amp; Whitney (included in </w:t>
            </w:r>
            <w:hyperlink r:id="rId13">
              <w:r>
                <w:rPr>
                  <w:rStyle w:val="InternetLink"/>
                  <w:rFonts w:ascii="Times New Roman;Times;Serif" w:hAnsi="Times New Roman;Times;Serif"/>
                  <w:sz w:val="20"/>
                </w:rPr>
                <w:t>Exhibit 5.1</w:t>
              </w:r>
            </w:hyperlink>
            <w:r>
              <w:rPr>
                <w:rFonts w:ascii="Times New Roman;Times;Serif" w:hAnsi="Times New Roman;Times;Serif"/>
                <w:sz w:val="20"/>
              </w:rPr>
              <w:t>)</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"https://www.sec.gov/Archives/edgar/data/1830072/000168316826007759/ipower_s3.htm" \l "poa"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 of Attorney</w:t>
            </w:r>
            <w:r>
              <w:rPr>
                <w:rStyle w:val="InternetLink"/>
                <w:sz w:val="20"/>
                <w:rFonts w:ascii="Times New Roman;Times;Serif" w:hAnsi="Times New Roman;Times;Serif"/>
              </w:rPr>
              <w:fldChar w:fldCharType="end"/>
            </w:r>
            <w:r>
              <w:rPr/>
              <w:t xml:space="preserve"> </w:t>
            </w:r>
            <w:r>
              <w:rPr>
                <w:rFonts w:ascii="Times New Roman;Times;Serif" w:hAnsi="Times New Roman;Times;Serif"/>
                <w:sz w:val="20"/>
              </w:rPr>
              <w:t>(included on signature page to this registration statement)</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T-1 Statement of Eligibility and Qualification of Trustee under the Senior Indenture under the Trust Indenture Act of 1939, as amended.</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T-1 Statement of Eligibility and Qualification of Trustee under the Subordinated Indenture under the Trust Indenture Act of 1939, as amended.</w:t>
            </w:r>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applicable, to be filed by a post-effective amendment or as an exhibit to a document filed under the Exchange Act and incorporated by reference herein.</w:t>
            </w:r>
          </w:p>
        </w:tc>
      </w:tr>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if necessary, separately under the electronic form type 305B2 pursuant to Section 305(B)(2) of the Trust Indenture Act of 1939, as amended.</w:t>
            </w:r>
          </w:p>
        </w:tc>
      </w:tr>
      <w:tr>
        <w:trPr/>
        <w:tc>
          <w:tcPr>
            <w:tcW w:w="294"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left"/>
              <w:rPr/>
            </w:pPr>
            <w:r>
              <w:rPr/>
              <w:t>Previously Filed.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Rancho Cucamonga of the State of California, on the 23rd day of October, 2026.</w:t>
      </w:r>
    </w:p>
    <w:p>
      <w:pPr>
        <w:pStyle w:val="TextBody"/>
        <w:bidi w:val="0"/>
        <w:spacing w:before="0" w:after="0"/>
        <w:ind w:left="0" w:right="0" w:hanging="0"/>
        <w:jc w:val="left"/>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335"/>
        <w:gridCol w:w="590"/>
        <w:gridCol w:w="1940"/>
        <w:gridCol w:w="75"/>
      </w:tblGrid>
      <w:tr>
        <w:trPr/>
        <w:tc>
          <w:tcPr>
            <w:tcW w:w="286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iPOWER INC.</w:t>
            </w:r>
            <w:r>
              <w:rPr>
                <w:rFonts w:ascii="Times New Roman;Times;Serif" w:hAnsi="Times New Roman;Times;Serif"/>
                <w:sz w:val="20"/>
              </w:rPr>
              <w:t xml:space="preserve">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Chenlong Tan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Chenlong Tan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Amendment No.1 to the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59"/>
        <w:gridCol w:w="60"/>
        <w:gridCol w:w="7025"/>
        <w:gridCol w:w="60"/>
        <w:gridCol w:w="1401"/>
      </w:tblGrid>
      <w:tr>
        <w:trPr/>
        <w:tc>
          <w:tcPr>
            <w:tcW w:w="165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Person</w:t>
            </w:r>
          </w:p>
        </w:tc>
        <w:tc>
          <w:tcPr>
            <w:tcW w:w="60" w:type="dxa"/>
            <w:tcBorders/>
            <w:tcMar>
              <w:bottom w:w="0" w:type="dxa"/>
            </w:tcMar>
            <w:vAlign w:val="center"/>
          </w:tcPr>
          <w:p>
            <w:pPr>
              <w:pStyle w:val="TableContents"/>
              <w:bidi w:val="0"/>
              <w:spacing w:before="0" w:after="283"/>
              <w:jc w:val="left"/>
              <w:rPr/>
            </w:pPr>
            <w:r>
              <w:rPr/>
              <w:t> </w:t>
            </w:r>
          </w:p>
        </w:tc>
        <w:tc>
          <w:tcPr>
            <w:tcW w:w="70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Capacity</w:t>
            </w:r>
          </w:p>
        </w:tc>
        <w:tc>
          <w:tcPr>
            <w:tcW w:w="60" w:type="dxa"/>
            <w:tcBorders/>
            <w:tcMar>
              <w:bottom w:w="0" w:type="dxa"/>
            </w:tcMar>
            <w:vAlign w:val="center"/>
          </w:tcPr>
          <w:p>
            <w:pPr>
              <w:pStyle w:val="TableContents"/>
              <w:bidi w:val="0"/>
              <w:spacing w:before="0" w:after="283"/>
              <w:jc w:val="left"/>
              <w:rPr/>
            </w:pPr>
            <w:r>
              <w:rPr/>
              <w:t> </w:t>
            </w:r>
          </w:p>
        </w:tc>
        <w:tc>
          <w:tcPr>
            <w:tcW w:w="1401"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r>
      <w:tr>
        <w:trPr/>
        <w:tc>
          <w:tcPr>
            <w:tcW w:w="16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pPr>
            <w:r>
              <w:rPr/>
              <w:t> </w:t>
            </w:r>
          </w:p>
        </w:tc>
      </w:tr>
      <w:tr>
        <w:trPr/>
        <w:tc>
          <w:tcPr>
            <w:tcW w:w="1659"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Chenlong Tan</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Interim Chief Financial Officer, and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October 23, 2026 </w:t>
            </w:r>
          </w:p>
        </w:tc>
      </w:tr>
      <w:tr>
        <w:trPr/>
        <w:tc>
          <w:tcPr>
            <w:tcW w:w="165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Chenlong Tan</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(principal executive officer, 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pPr>
            <w:r>
              <w:rPr/>
              <w:t> </w:t>
            </w:r>
          </w:p>
        </w:tc>
      </w:tr>
      <w:tr>
        <w:trPr/>
        <w:tc>
          <w:tcPr>
            <w:tcW w:w="16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pPr>
            <w:r>
              <w:rPr/>
              <w:t> </w:t>
            </w:r>
          </w:p>
        </w:tc>
      </w:tr>
      <w:tr>
        <w:trPr/>
        <w:tc>
          <w:tcPr>
            <w:tcW w:w="1659"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23, 2026</w:t>
            </w:r>
          </w:p>
        </w:tc>
      </w:tr>
      <w:tr>
        <w:trPr/>
        <w:tc>
          <w:tcPr>
            <w:tcW w:w="165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 Yang</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pPr>
            <w:r>
              <w:rPr/>
              <w:t> </w:t>
            </w:r>
          </w:p>
        </w:tc>
      </w:tr>
      <w:tr>
        <w:trPr/>
        <w:tc>
          <w:tcPr>
            <w:tcW w:w="16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pPr>
            <w:r>
              <w:rPr/>
              <w:t> </w:t>
            </w:r>
          </w:p>
        </w:tc>
      </w:tr>
      <w:tr>
        <w:trPr/>
        <w:tc>
          <w:tcPr>
            <w:tcW w:w="1659"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23, 2026</w:t>
            </w:r>
          </w:p>
        </w:tc>
      </w:tr>
      <w:tr>
        <w:trPr/>
        <w:tc>
          <w:tcPr>
            <w:tcW w:w="165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Bennet Tchaikovsky</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pPr>
            <w:r>
              <w:rPr/>
              <w:t> </w:t>
            </w:r>
          </w:p>
        </w:tc>
      </w:tr>
      <w:tr>
        <w:trPr/>
        <w:tc>
          <w:tcPr>
            <w:tcW w:w="16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pPr>
            <w:r>
              <w:rPr/>
              <w:t> </w:t>
            </w:r>
          </w:p>
        </w:tc>
      </w:tr>
      <w:tr>
        <w:trPr/>
        <w:tc>
          <w:tcPr>
            <w:tcW w:w="1659"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23, 2026</w:t>
            </w:r>
          </w:p>
        </w:tc>
      </w:tr>
      <w:tr>
        <w:trPr/>
        <w:tc>
          <w:tcPr>
            <w:tcW w:w="165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Yue Guo </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pPr>
            <w:r>
              <w:rPr/>
              <w:t> </w:t>
            </w:r>
          </w:p>
        </w:tc>
      </w:tr>
      <w:tr>
        <w:trPr/>
        <w:tc>
          <w:tcPr>
            <w:tcW w:w="16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pPr>
            <w:r>
              <w:rPr/>
              <w:t> </w:t>
            </w:r>
          </w:p>
        </w:tc>
      </w:tr>
      <w:tr>
        <w:trPr/>
        <w:tc>
          <w:tcPr>
            <w:tcW w:w="1659"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23, 2026</w:t>
            </w:r>
          </w:p>
        </w:tc>
      </w:tr>
      <w:tr>
        <w:trPr/>
        <w:tc>
          <w:tcPr>
            <w:tcW w:w="165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Hanxi Li</w:t>
            </w:r>
          </w:p>
        </w:tc>
        <w:tc>
          <w:tcPr>
            <w:tcW w:w="60" w:type="dxa"/>
            <w:tcBorders/>
            <w:tcMar>
              <w:bottom w:w="0" w:type="dxa"/>
            </w:tcMar>
            <w:vAlign w:val="center"/>
          </w:tcPr>
          <w:p>
            <w:pPr>
              <w:pStyle w:val="TableContents"/>
              <w:bidi w:val="0"/>
              <w:spacing w:before="0" w:after="283"/>
              <w:jc w:val="left"/>
              <w:rPr/>
            </w:pPr>
            <w:r>
              <w:rPr/>
              <w:t> </w:t>
            </w:r>
          </w:p>
        </w:tc>
        <w:tc>
          <w:tcPr>
            <w:tcW w:w="70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By </w:t>
      </w:r>
      <w:r>
        <w:rPr>
          <w:rFonts w:ascii="Times New Roman;Times;Serif" w:hAnsi="Times New Roman;Times;Serif"/>
          <w:b w:val="false"/>
          <w:i/>
          <w:caps w:val="false"/>
          <w:smallCaps w:val="false"/>
          <w:sz w:val="20"/>
          <w:u w:val="single"/>
        </w:rPr>
        <w:t>/s/ Chenlong Tan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Chenlong Tan,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2" w:name="ipw_ex2301.htm"/>
      <w:bookmarkStart w:id="3" w:name="ksipw_ex2301"/>
      <w:bookmarkEnd w:id="2"/>
      <w:bookmarkEnd w:id="3"/>
      <w:r>
        <w:rPr>
          <w:b/>
        </w:rPr>
        <w:t>Exhibit 23.1</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S-3/A of iPower Inc. (the “Company”) of our report dated October 2, 2026, relating to our audits of the consolidated financial statements of the Company as of June 30, 2026 and 2025, and the related consolidated statements of operations and comprehensive loss, changes in shareholders’ equity, and cash flows for each of the years in the two-year period ended June 30, 2026, and the related notes, included in the Company’s Annual Report on Form 10-K for the year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0072/000168316821001774/ipower_ex0303.htm" TargetMode="External"/><Relationship Id="rId3" Type="http://schemas.openxmlformats.org/officeDocument/2006/relationships/hyperlink" Target="http://www.sec.gov/Archives/edgar/data/1830072/000168316825007681/ipower_ex0301.htm" TargetMode="External"/><Relationship Id="rId4" Type="http://schemas.openxmlformats.org/officeDocument/2006/relationships/hyperlink" Target="http://www.sec.gov/Archives/edgar/data/1830072/000168316825004403/ipower_ex0301.htm" TargetMode="External"/><Relationship Id="rId5" Type="http://schemas.openxmlformats.org/officeDocument/2006/relationships/hyperlink" Target="http://www.sec.gov/Archives/edgar/data/1830072/000168316826004228/ipower_ex0301.htm" TargetMode="External"/><Relationship Id="rId6" Type="http://schemas.openxmlformats.org/officeDocument/2006/relationships/hyperlink" Target="http://www.sec.gov/Archives/edgar/data/1830072/000168316826005967/ipower_ex0301.htm" TargetMode="External"/><Relationship Id="rId7" Type="http://schemas.openxmlformats.org/officeDocument/2006/relationships/hyperlink" Target="http://www.sec.gov/Archives/edgar/data/1830072/000168316821001556/ipower_ex0303.htm" TargetMode="External"/><Relationship Id="rId8" Type="http://schemas.openxmlformats.org/officeDocument/2006/relationships/hyperlink" Target="http://www.sec.gov/Archives/edgar/data/1830072/000168316821000335/ipower_ex0401.htm" TargetMode="External"/><Relationship Id="rId9" Type="http://schemas.openxmlformats.org/officeDocument/2006/relationships/hyperlink" Target="http://www.sec.gov/Archives/edgar/data/1830072/000168316824004323/ipower_ex0401.htm" TargetMode="External"/><Relationship Id="rId10" Type="http://schemas.openxmlformats.org/officeDocument/2006/relationships/hyperlink" Target="http://www.sec.gov/Archives/edgar/data/1830072/000168316825009331/ipower_ex0401.htm" TargetMode="External"/><Relationship Id="rId11" Type="http://schemas.openxmlformats.org/officeDocument/2006/relationships/hyperlink" Target="http://www.sec.gov/Archives/edgar/data/1830072/000168316825009331/ipower_ex0402.htm" TargetMode="External"/><Relationship Id="rId12" Type="http://schemas.openxmlformats.org/officeDocument/2006/relationships/hyperlink" Target="https://www.sec.gov/Archives/edgar/data/1830072/000168316826007759/ipower_ex0501.htm" TargetMode="External"/><Relationship Id="rId13" Type="http://schemas.openxmlformats.org/officeDocument/2006/relationships/hyperlink" Target="https://www.sec.gov/Archives/edgar/data/1830072/000168316826007759/ipower_ex0501.htm" TargetMode="External"/><Relationship Id="rId14" Type="http://schemas.openxmlformats.org/officeDocument/2006/relationships/hyperlink" Target="https://www.sec.gov/Archives/edgar/data/1830072/000168316826007759/ipower_ex107.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1428</Words>
  <Characters>7718</Characters>
  <CharactersWithSpaces>9169</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