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3"/>
          <w:szCs w:val="13"/>
          <w:u w:val="single" w:color="auto"/>
          <w:color w:val="0000EE"/>
        </w:rPr>
        <w:t>Table of Contents</w:t>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4420" w:right="2760" w:hanging="4088"/>
        <w:spacing w:after="0" w:line="500" w:lineRule="auto"/>
        <w:tabs>
          <w:tab w:leader="none" w:pos="72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UNDER SECTION 13 OR 15(d) OF THE SECURITIES EXCHANGE ACT OF 1934 For the Fiscal Year June 30, 2022</w:t>
      </w:r>
    </w:p>
    <w:p>
      <w:pPr>
        <w:spacing w:after="0" w:line="1"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225" w:lineRule="exact"/>
        <w:rPr>
          <w:sz w:val="24"/>
          <w:szCs w:val="24"/>
          <w:color w:val="auto"/>
        </w:rPr>
      </w:pPr>
    </w:p>
    <w:p>
      <w:pPr>
        <w:ind w:left="3160" w:right="2440" w:hanging="2828"/>
        <w:spacing w:after="0" w:line="530" w:lineRule="auto"/>
        <w:tabs>
          <w:tab w:leader="none" w:pos="726"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UNDER SECTION 13 OR 15(d) OF THE SECURITIES EXCHANGE ACT OF 1934 For the transition period from ______________ to ______________</w:t>
      </w:r>
    </w:p>
    <w:p>
      <w:pPr>
        <w:ind w:left="4300"/>
        <w:spacing w:after="0"/>
        <w:rPr>
          <w:rFonts w:ascii="MS PGothic" w:cs="MS PGothic" w:eastAsia="MS PGothic" w:hAnsi="MS PGothic"/>
          <w:sz w:val="17"/>
          <w:szCs w:val="17"/>
          <w:color w:val="auto"/>
        </w:rPr>
      </w:pPr>
      <w:r>
        <w:rPr>
          <w:rFonts w:ascii="Arial" w:cs="Arial" w:eastAsia="Arial" w:hAnsi="Arial"/>
          <w:sz w:val="18"/>
          <w:szCs w:val="18"/>
          <w:color w:val="auto"/>
        </w:rPr>
        <w:t>Commission file number: 001-40391</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iPower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Nevada</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9"/>
              </w:rPr>
              <w:t>5200</w:t>
            </w: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82-5144171</w:t>
            </w:r>
          </w:p>
        </w:tc>
      </w:tr>
      <w:tr>
        <w:trPr>
          <w:trHeight w:val="195"/>
        </w:trPr>
        <w:tc>
          <w:tcPr>
            <w:tcW w:w="38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1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(Primary Standard Industrial</w:t>
            </w:r>
          </w:p>
        </w:tc>
        <w:tc>
          <w:tcPr>
            <w:tcW w:w="1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39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incorporation or organization)</w:t>
            </w:r>
          </w:p>
        </w:tc>
        <w:tc>
          <w:tcPr>
            <w:tcW w:w="370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Classification Code Number)</w:t>
            </w:r>
          </w:p>
        </w:tc>
        <w:tc>
          <w:tcPr>
            <w:tcW w:w="360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r>
        <w:trPr>
          <w:trHeight w:val="414"/>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2399 Bateman Avenue,</w:t>
            </w:r>
          </w:p>
        </w:tc>
        <w:tc>
          <w:tcPr>
            <w:tcW w:w="3600" w:type="dxa"/>
            <w:vAlign w:val="bottom"/>
          </w:tcPr>
          <w:p>
            <w:pPr>
              <w:spacing w:after="0"/>
              <w:rPr>
                <w:sz w:val="24"/>
                <w:szCs w:val="24"/>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Duarte, CA 91010</w:t>
            </w:r>
          </w:p>
        </w:tc>
        <w:tc>
          <w:tcPr>
            <w:tcW w:w="3600" w:type="dxa"/>
            <w:vAlign w:val="bottom"/>
          </w:tcPr>
          <w:p>
            <w:pPr>
              <w:spacing w:after="0"/>
              <w:rPr>
                <w:sz w:val="18"/>
                <w:szCs w:val="18"/>
                <w:color w:val="auto"/>
              </w:rPr>
            </w:pPr>
          </w:p>
        </w:tc>
      </w:tr>
      <w:tr>
        <w:trPr>
          <w:trHeight w:val="234"/>
        </w:trPr>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(626) 863-7344</w:t>
            </w: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the registrant’s principal executive offices)</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40" w:type="dxa"/>
            <w:vAlign w:val="bottom"/>
            <w:gridSpan w:val="3"/>
          </w:tcPr>
          <w:p>
            <w:pPr>
              <w:ind w:left="1240"/>
              <w:spacing w:after="0"/>
              <w:rPr>
                <w:sz w:val="20"/>
                <w:szCs w:val="20"/>
                <w:color w:val="auto"/>
              </w:rPr>
            </w:pPr>
            <w:r>
              <w:rPr>
                <w:rFonts w:ascii="Arial" w:cs="Arial" w:eastAsia="Arial" w:hAnsi="Arial"/>
                <w:sz w:val="18"/>
                <w:szCs w:val="18"/>
                <w:b w:val="1"/>
                <w:bCs w:val="1"/>
                <w:color w:val="auto"/>
              </w:rPr>
              <w:t>Title of each class</w:t>
            </w:r>
          </w:p>
        </w:tc>
        <w:tc>
          <w:tcPr>
            <w:tcW w:w="2800" w:type="dxa"/>
            <w:vAlign w:val="bottom"/>
            <w:gridSpan w:val="2"/>
          </w:tcPr>
          <w:p>
            <w:pPr>
              <w:jc w:val="center"/>
              <w:ind w:right="10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700" w:type="dxa"/>
            <w:vAlign w:val="bottom"/>
            <w:tcBorders>
              <w:top w:val="single" w:sz="8" w:color="auto"/>
            </w:tcBorders>
          </w:tcPr>
          <w:p>
            <w:pPr>
              <w:jc w:val="center"/>
              <w:ind w:right="790"/>
              <w:spacing w:after="0"/>
              <w:rPr>
                <w:sz w:val="20"/>
                <w:szCs w:val="20"/>
                <w:color w:val="auto"/>
              </w:rPr>
            </w:pPr>
            <w:r>
              <w:rPr>
                <w:rFonts w:ascii="Arial" w:cs="Arial" w:eastAsia="Arial" w:hAnsi="Arial"/>
                <w:sz w:val="18"/>
                <w:szCs w:val="18"/>
                <w:color w:val="auto"/>
                <w:w w:val="99"/>
              </w:rPr>
              <w:t>IPW</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418"/>
        </w:trPr>
        <w:tc>
          <w:tcPr>
            <w:tcW w:w="4840" w:type="dxa"/>
            <w:vAlign w:val="bottom"/>
            <w:gridSpan w:val="3"/>
          </w:tcPr>
          <w:p>
            <w:pPr>
              <w:spacing w:after="0"/>
              <w:rPr>
                <w:sz w:val="20"/>
                <w:szCs w:val="20"/>
                <w:color w:val="auto"/>
              </w:rPr>
            </w:pPr>
            <w:r>
              <w:rPr>
                <w:rFonts w:ascii="Arial" w:cs="Arial" w:eastAsia="Arial" w:hAnsi="Arial"/>
                <w:sz w:val="18"/>
                <w:szCs w:val="18"/>
                <w:color w:val="auto"/>
                <w:w w:val="94"/>
              </w:rPr>
              <w:t>Securities registered pursuant to section 12(g) of the Act: NONE</w:t>
            </w: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r>
    </w:tbl>
    <w:p>
      <w:pPr>
        <w:spacing w:after="0" w:line="16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8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1140" w:type="dxa"/>
        <w:tblCellMar>
          <w:top w:w="0" w:type="dxa"/>
          <w:left w:w="0" w:type="dxa"/>
          <w:bottom w:w="0" w:type="dxa"/>
          <w:right w:w="0" w:type="dxa"/>
        </w:tblCellMar>
      </w:tblPr>
      <w:tr>
        <w:trPr>
          <w:trHeight w:val="283"/>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2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600" w:type="dxa"/>
            <w:vAlign w:val="bottom"/>
          </w:tcPr>
          <w:p>
            <w:pPr>
              <w:ind w:left="760"/>
              <w:spacing w:after="0"/>
              <w:rPr>
                <w:sz w:val="20"/>
                <w:szCs w:val="20"/>
                <w:color w:val="auto"/>
              </w:rPr>
            </w:pPr>
            <w:r>
              <w:rPr>
                <w:rFonts w:ascii="Arial" w:cs="Arial" w:eastAsia="Arial" w:hAnsi="Arial"/>
                <w:sz w:val="18"/>
                <w:szCs w:val="18"/>
                <w:color w:val="auto"/>
              </w:rPr>
              <w:t>Accelerated filer</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12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600" w:type="dxa"/>
            <w:vAlign w:val="bottom"/>
          </w:tcPr>
          <w:p>
            <w:pPr>
              <w:ind w:left="760"/>
              <w:spacing w:after="0"/>
              <w:rPr>
                <w:sz w:val="20"/>
                <w:szCs w:val="20"/>
                <w:color w:val="auto"/>
              </w:rPr>
            </w:pPr>
            <w:r>
              <w:rPr>
                <w:rFonts w:ascii="Arial" w:cs="Arial" w:eastAsia="Arial" w:hAnsi="Arial"/>
                <w:sz w:val="18"/>
                <w:szCs w:val="18"/>
                <w:color w:val="auto"/>
              </w:rPr>
              <w:t>Smaller reporting company</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0" w:type="dxa"/>
            <w:vAlign w:val="bottom"/>
          </w:tcPr>
          <w:p>
            <w:pPr>
              <w:ind w:left="760"/>
              <w:spacing w:after="0"/>
              <w:rPr>
                <w:sz w:val="20"/>
                <w:szCs w:val="20"/>
                <w:color w:val="auto"/>
              </w:rPr>
            </w:pPr>
            <w:r>
              <w:rPr>
                <w:rFonts w:ascii="Arial" w:cs="Arial" w:eastAsia="Arial" w:hAnsi="Arial"/>
                <w:sz w:val="18"/>
                <w:szCs w:val="18"/>
                <w:color w:val="auto"/>
              </w:rPr>
              <w:t>Emerging growth company</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8"/>
          <w:szCs w:val="18"/>
          <w:color w:val="auto"/>
        </w:rPr>
        <w:t>☐</w:t>
      </w:r>
    </w:p>
    <w:p>
      <w:pPr>
        <w:spacing w:after="0" w:line="182"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$22,443,433.</w:t>
      </w:r>
    </w:p>
    <w:p>
      <w:pPr>
        <w:spacing w:after="0" w:line="1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on September 28, 2022 was 29,572,382.</w:t>
      </w:r>
    </w:p>
    <w:p>
      <w:pPr>
        <w:sectPr>
          <w:pgSz w:w="11900" w:h="16838" w:orient="portrait"/>
          <w:cols w:equalWidth="0" w:num="1">
            <w:col w:w="11240"/>
          </w:cols>
          <w:pgMar w:left="320" w:top="233" w:right="339" w:bottom="0"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60" w:type="dxa"/>
            <w:vAlign w:val="bottom"/>
            <w:gridSpan w:val="16"/>
          </w:tcPr>
          <w:p>
            <w:pPr>
              <w:jc w:val="center"/>
              <w:ind w:right="4300"/>
              <w:spacing w:after="0"/>
              <w:rPr>
                <w:sz w:val="20"/>
                <w:szCs w:val="20"/>
                <w:color w:val="auto"/>
              </w:rPr>
            </w:pPr>
            <w:r>
              <w:rPr>
                <w:rFonts w:ascii="Arial" w:cs="Arial" w:eastAsia="Arial" w:hAnsi="Arial"/>
                <w:sz w:val="18"/>
                <w:szCs w:val="18"/>
                <w:b w:val="1"/>
                <w:bCs w:val="1"/>
                <w:color w:val="auto"/>
              </w:rPr>
              <w:t>iPOWER INC.</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20" w:type="dxa"/>
            <w:vAlign w:val="bottom"/>
            <w:gridSpan w:val="17"/>
          </w:tcPr>
          <w:p>
            <w:pPr>
              <w:jc w:val="center"/>
              <w:ind w:right="3540"/>
              <w:spacing w:after="0"/>
              <w:rPr>
                <w:sz w:val="20"/>
                <w:szCs w:val="20"/>
                <w:color w:val="auto"/>
              </w:rPr>
            </w:pPr>
            <w:r>
              <w:rPr>
                <w:rFonts w:ascii="Arial" w:cs="Arial" w:eastAsia="Arial" w:hAnsi="Arial"/>
                <w:sz w:val="18"/>
                <w:szCs w:val="18"/>
                <w:b w:val="1"/>
                <w:bCs w:val="1"/>
                <w:color w:val="auto"/>
                <w:w w:val="98"/>
              </w:rPr>
              <w:t>TABLE OF CONTENTS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0000EE"/>
              </w:rPr>
              <w:t>PART I</w:t>
            </w:r>
          </w:p>
        </w:tc>
        <w:tc>
          <w:tcPr>
            <w:tcW w:w="4580" w:type="dxa"/>
            <w:vAlign w:val="bottom"/>
            <w:gridSpan w:val="9"/>
            <w:vMerge w:val="restart"/>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1"/>
        </w:trPr>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Borders>
              <w:bottom w:val="single" w:sz="8" w:color="0000EE"/>
            </w:tcBorders>
            <w:gridSpan w:val="2"/>
            <w:vMerge w:val="continue"/>
          </w:tcPr>
          <w:p>
            <w:pPr>
              <w:spacing w:after="0"/>
              <w:rPr>
                <w:sz w:val="13"/>
                <w:szCs w:val="13"/>
                <w:color w:val="auto"/>
              </w:rPr>
            </w:pPr>
          </w:p>
        </w:tc>
        <w:tc>
          <w:tcPr>
            <w:tcW w:w="4580" w:type="dxa"/>
            <w:vAlign w:val="bottom"/>
            <w:gridSpan w:val="9"/>
            <w:vMerge w:val="continue"/>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174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1"/>
              </w:rPr>
              <w:t>Description of Business</w:t>
            </w:r>
          </w:p>
        </w:tc>
        <w:tc>
          <w:tcPr>
            <w:tcW w:w="8020" w:type="dxa"/>
            <w:vAlign w:val="bottom"/>
            <w:gridSpan w:val="22"/>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760" w:type="dxa"/>
            <w:vAlign w:val="bottom"/>
            <w:gridSpan w:val="29"/>
          </w:tcPr>
          <w:p>
            <w:pPr>
              <w:spacing w:after="0" w:line="196" w:lineRule="exact"/>
              <w:rPr>
                <w:sz w:val="20"/>
                <w:szCs w:val="20"/>
                <w:color w:val="auto"/>
              </w:rPr>
            </w:pPr>
            <w:r>
              <w:rPr>
                <w:rFonts w:ascii="Arial" w:cs="Arial" w:eastAsia="Arial" w:hAnsi="Arial"/>
                <w:sz w:val="18"/>
                <w:szCs w:val="18"/>
                <w:color w:val="0000EE"/>
              </w:rPr>
              <w:t>Risk Factors</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74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7"/>
              </w:rPr>
              <w:t>Properties</w:t>
            </w:r>
          </w:p>
        </w:tc>
        <w:tc>
          <w:tcPr>
            <w:tcW w:w="160" w:type="dxa"/>
            <w:vAlign w:val="bottom"/>
            <w:tcBorders>
              <w:top w:val="single" w:sz="8" w:color="0000EE"/>
            </w:tcBorders>
          </w:tcPr>
          <w:p>
            <w:pPr>
              <w:spacing w:after="0"/>
              <w:rPr>
                <w:sz w:val="17"/>
                <w:szCs w:val="17"/>
                <w:color w:val="auto"/>
              </w:rPr>
            </w:pPr>
          </w:p>
        </w:tc>
        <w:tc>
          <w:tcPr>
            <w:tcW w:w="8860" w:type="dxa"/>
            <w:vAlign w:val="bottom"/>
            <w:gridSpan w:val="26"/>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8"/>
              </w:rPr>
              <w:t>Legal Proceedings</w:t>
            </w:r>
          </w:p>
        </w:tc>
        <w:tc>
          <w:tcPr>
            <w:tcW w:w="8420" w:type="dxa"/>
            <w:vAlign w:val="bottom"/>
            <w:gridSpan w:val="24"/>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760" w:type="dxa"/>
            <w:vAlign w:val="bottom"/>
            <w:gridSpan w:val="29"/>
          </w:tcPr>
          <w:p>
            <w:pPr>
              <w:spacing w:after="0" w:line="196" w:lineRule="exact"/>
              <w:rPr>
                <w:sz w:val="20"/>
                <w:szCs w:val="20"/>
                <w:color w:val="auto"/>
              </w:rPr>
            </w:pPr>
            <w:r>
              <w:rPr>
                <w:rFonts w:ascii="Arial" w:cs="Arial" w:eastAsia="Arial" w:hAnsi="Arial"/>
                <w:sz w:val="18"/>
                <w:szCs w:val="18"/>
                <w:color w:val="0000EE"/>
              </w:rPr>
              <w:t>Mine Safety Disclosures</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412"/>
        </w:trPr>
        <w:tc>
          <w:tcPr>
            <w:tcW w:w="84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gridSpan w:val="12"/>
          </w:tcPr>
          <w:p>
            <w:pPr>
              <w:jc w:val="center"/>
              <w:ind w:right="4560"/>
              <w:spacing w:after="0"/>
              <w:rPr>
                <w:sz w:val="20"/>
                <w:szCs w:val="20"/>
                <w:color w:val="auto"/>
              </w:rPr>
            </w:pPr>
            <w:r>
              <w:rPr>
                <w:rFonts w:ascii="Arial" w:cs="Arial" w:eastAsia="Arial" w:hAnsi="Arial"/>
                <w:sz w:val="18"/>
                <w:szCs w:val="18"/>
                <w:b w:val="1"/>
                <w:bCs w:val="1"/>
                <w:color w:val="0000EE"/>
                <w:w w:val="99"/>
              </w:rPr>
              <w:t>PART II</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28"/>
          </w:tcPr>
          <w:p>
            <w:pPr>
              <w:spacing w:after="0" w:line="196" w:lineRule="exact"/>
              <w:rPr>
                <w:sz w:val="20"/>
                <w:szCs w:val="20"/>
                <w:color w:val="auto"/>
              </w:rPr>
            </w:pPr>
            <w:r>
              <w:rPr>
                <w:rFonts w:ascii="Arial" w:cs="Arial" w:eastAsia="Arial" w:hAnsi="Arial"/>
                <w:sz w:val="18"/>
                <w:szCs w:val="18"/>
                <w:color w:val="0000EE"/>
                <w:w w:val="90"/>
              </w:rPr>
              <w:t>Market for Registrant’s Common Equity, Related Stockholder Matters and Issuer Purchases of Equity Securities</w:t>
            </w:r>
          </w:p>
        </w:tc>
        <w:tc>
          <w:tcPr>
            <w:tcW w:w="168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72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89"/>
              </w:rPr>
              <w:t>Selected Financial Data</w:t>
            </w:r>
          </w:p>
        </w:tc>
        <w:tc>
          <w:tcPr>
            <w:tcW w:w="8040" w:type="dxa"/>
            <w:vAlign w:val="bottom"/>
            <w:gridSpan w:val="23"/>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9760" w:type="dxa"/>
            <w:vAlign w:val="bottom"/>
            <w:gridSpan w:val="29"/>
          </w:tcPr>
          <w:p>
            <w:pPr>
              <w:spacing w:after="0" w:line="19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25"/>
          </w:tcPr>
          <w:p>
            <w:pPr>
              <w:spacing w:after="0" w:line="196" w:lineRule="exact"/>
              <w:rPr>
                <w:sz w:val="20"/>
                <w:szCs w:val="20"/>
                <w:color w:val="auto"/>
              </w:rPr>
            </w:pPr>
            <w:r>
              <w:rPr>
                <w:rFonts w:ascii="Arial" w:cs="Arial" w:eastAsia="Arial" w:hAnsi="Arial"/>
                <w:sz w:val="18"/>
                <w:szCs w:val="18"/>
                <w:color w:val="0000EE"/>
              </w:rPr>
              <w:t>Quantitative and Qualitative Disclosures About Market Risk</w:t>
            </w:r>
          </w:p>
        </w:tc>
        <w:tc>
          <w:tcPr>
            <w:tcW w:w="3300" w:type="dxa"/>
            <w:vAlign w:val="bottom"/>
            <w:gridSpan w:val="4"/>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89"/>
              </w:rPr>
              <w:t>Financial Statements and Supplementary Data</w:t>
            </w:r>
          </w:p>
        </w:tc>
        <w:tc>
          <w:tcPr>
            <w:tcW w:w="1020" w:type="dxa"/>
            <w:vAlign w:val="bottom"/>
            <w:tcBorders>
              <w:top w:val="single" w:sz="8" w:color="0000EE"/>
            </w:tcBorders>
            <w:gridSpan w:val="2"/>
          </w:tcPr>
          <w:p>
            <w:pPr>
              <w:spacing w:after="0"/>
              <w:rPr>
                <w:sz w:val="17"/>
                <w:szCs w:val="17"/>
                <w:color w:val="auto"/>
              </w:rPr>
            </w:pPr>
          </w:p>
        </w:tc>
        <w:tc>
          <w:tcPr>
            <w:tcW w:w="5400" w:type="dxa"/>
            <w:vAlign w:val="bottom"/>
            <w:gridSpan w:val="15"/>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6500" w:type="dxa"/>
            <w:vAlign w:val="bottom"/>
            <w:tcBorders>
              <w:bottom w:val="single" w:sz="8" w:color="0000EE"/>
            </w:tcBorders>
            <w:gridSpan w:val="26"/>
          </w:tcPr>
          <w:p>
            <w:pPr>
              <w:spacing w:after="0" w:line="196" w:lineRule="exact"/>
              <w:rPr>
                <w:sz w:val="20"/>
                <w:szCs w:val="20"/>
                <w:color w:val="auto"/>
              </w:rPr>
            </w:pPr>
            <w:r>
              <w:rPr>
                <w:rFonts w:ascii="Arial" w:cs="Arial" w:eastAsia="Arial" w:hAnsi="Arial"/>
                <w:sz w:val="18"/>
                <w:szCs w:val="18"/>
                <w:color w:val="0000EE"/>
                <w:w w:val="90"/>
              </w:rPr>
              <w:t>Changes In and Disagreements with Accountants on Accounting and Financial Disclosure</w:t>
            </w:r>
          </w:p>
        </w:tc>
        <w:tc>
          <w:tcPr>
            <w:tcW w:w="3260" w:type="dxa"/>
            <w:vAlign w:val="bottom"/>
            <w:gridSpan w:val="3"/>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88"/>
              </w:rPr>
              <w:t>Controls and Procedures</w:t>
            </w:r>
          </w:p>
        </w:tc>
        <w:tc>
          <w:tcPr>
            <w:tcW w:w="7980" w:type="dxa"/>
            <w:vAlign w:val="bottom"/>
            <w:gridSpan w:val="21"/>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132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2"/>
              </w:rPr>
              <w:t>Other Information</w:t>
            </w:r>
          </w:p>
        </w:tc>
        <w:tc>
          <w:tcPr>
            <w:tcW w:w="8440" w:type="dxa"/>
            <w:vAlign w:val="bottom"/>
            <w:gridSpan w:val="25"/>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Item 9C.</w:t>
            </w:r>
          </w:p>
        </w:tc>
        <w:tc>
          <w:tcPr>
            <w:tcW w:w="9760" w:type="dxa"/>
            <w:vAlign w:val="bottom"/>
            <w:gridSpan w:val="29"/>
          </w:tcPr>
          <w:p>
            <w:pPr>
              <w:spacing w:after="0" w:line="196" w:lineRule="exact"/>
              <w:rPr>
                <w:sz w:val="20"/>
                <w:szCs w:val="20"/>
                <w:color w:val="auto"/>
              </w:rPr>
            </w:pPr>
            <w:r>
              <w:rPr>
                <w:rFonts w:ascii="Arial" w:cs="Arial" w:eastAsia="Arial" w:hAnsi="Arial"/>
                <w:sz w:val="18"/>
                <w:szCs w:val="18"/>
                <w:color w:val="0000EE"/>
              </w:rPr>
              <w:t>Disclosure Regarding Foreign Jurisdictions that Prevent Inspections</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0" w:type="dxa"/>
            <w:vAlign w:val="bottom"/>
            <w:gridSpan w:val="15"/>
          </w:tcPr>
          <w:p>
            <w:pPr>
              <w:jc w:val="center"/>
              <w:ind w:right="4360"/>
              <w:spacing w:after="0"/>
              <w:rPr>
                <w:sz w:val="20"/>
                <w:szCs w:val="20"/>
                <w:color w:val="auto"/>
              </w:rPr>
            </w:pPr>
            <w:r>
              <w:rPr>
                <w:rFonts w:ascii="Arial" w:cs="Arial" w:eastAsia="Arial" w:hAnsi="Arial"/>
                <w:sz w:val="18"/>
                <w:szCs w:val="18"/>
                <w:b w:val="1"/>
                <w:bCs w:val="1"/>
                <w:color w:val="0000EE"/>
              </w:rPr>
              <w:t>PART III</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0"/>
              </w:rPr>
              <w:t>Directors, Executive Officers and Corporate Governance</w:t>
            </w:r>
          </w:p>
        </w:tc>
        <w:tc>
          <w:tcPr>
            <w:tcW w:w="420" w:type="dxa"/>
            <w:vAlign w:val="bottom"/>
            <w:gridSpan w:val="2"/>
          </w:tcPr>
          <w:p>
            <w:pPr>
              <w:spacing w:after="0"/>
              <w:rPr>
                <w:sz w:val="17"/>
                <w:szCs w:val="17"/>
                <w:color w:val="auto"/>
              </w:rPr>
            </w:pPr>
          </w:p>
        </w:tc>
        <w:tc>
          <w:tcPr>
            <w:tcW w:w="740" w:type="dxa"/>
            <w:vAlign w:val="bottom"/>
            <w:tcBorders>
              <w:top w:val="single" w:sz="8" w:color="0000EE"/>
            </w:tcBorders>
            <w:gridSpan w:val="8"/>
          </w:tcPr>
          <w:p>
            <w:pPr>
              <w:spacing w:after="0"/>
              <w:rPr>
                <w:sz w:val="17"/>
                <w:szCs w:val="17"/>
                <w:color w:val="auto"/>
              </w:rPr>
            </w:pPr>
          </w:p>
        </w:tc>
        <w:tc>
          <w:tcPr>
            <w:tcW w:w="4500" w:type="dxa"/>
            <w:vAlign w:val="bottom"/>
            <w:gridSpan w:val="6"/>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9760" w:type="dxa"/>
            <w:vAlign w:val="bottom"/>
            <w:gridSpan w:val="29"/>
          </w:tcPr>
          <w:p>
            <w:pPr>
              <w:spacing w:after="0" w:line="196" w:lineRule="exact"/>
              <w:rPr>
                <w:sz w:val="20"/>
                <w:szCs w:val="20"/>
                <w:color w:val="auto"/>
              </w:rPr>
            </w:pPr>
            <w:r>
              <w:rPr>
                <w:rFonts w:ascii="Arial" w:cs="Arial" w:eastAsia="Arial" w:hAnsi="Arial"/>
                <w:sz w:val="18"/>
                <w:szCs w:val="18"/>
                <w:color w:val="0000EE"/>
              </w:rPr>
              <w:t>Executive Compensation</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80" w:type="dxa"/>
            <w:vAlign w:val="bottom"/>
            <w:gridSpan w:val="8"/>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27"/>
          </w:tcPr>
          <w:p>
            <w:pPr>
              <w:spacing w:after="0" w:line="196" w:lineRule="exact"/>
              <w:rPr>
                <w:sz w:val="20"/>
                <w:szCs w:val="20"/>
                <w:color w:val="auto"/>
              </w:rPr>
            </w:pPr>
            <w:r>
              <w:rPr>
                <w:rFonts w:ascii="Arial" w:cs="Arial" w:eastAsia="Arial" w:hAnsi="Arial"/>
                <w:sz w:val="18"/>
                <w:szCs w:val="18"/>
                <w:color w:val="0000EE"/>
                <w:w w:val="90"/>
              </w:rPr>
              <w:t>Security Ownership of Certain Beneficial Owners and Management and Related Stockholder Matters</w:t>
            </w:r>
          </w:p>
        </w:tc>
        <w:tc>
          <w:tcPr>
            <w:tcW w:w="2460" w:type="dxa"/>
            <w:vAlign w:val="bottom"/>
            <w:gridSpan w:val="2"/>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9760" w:type="dxa"/>
            <w:vAlign w:val="bottom"/>
            <w:gridSpan w:val="29"/>
          </w:tcPr>
          <w:p>
            <w:pPr>
              <w:spacing w:after="0" w:line="196" w:lineRule="exact"/>
              <w:rPr>
                <w:sz w:val="20"/>
                <w:szCs w:val="20"/>
                <w:color w:val="auto"/>
              </w:rPr>
            </w:pPr>
            <w:r>
              <w:rPr>
                <w:rFonts w:ascii="Arial" w:cs="Arial" w:eastAsia="Arial" w:hAnsi="Arial"/>
                <w:sz w:val="18"/>
                <w:szCs w:val="18"/>
                <w:color w:val="0000EE"/>
              </w:rPr>
              <w:t>Certain Relationship and Related Transactions, and Director Independence</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89"/>
              </w:rPr>
              <w:t>58</w:t>
            </w: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5380" w:type="dxa"/>
            <w:vAlign w:val="bottom"/>
            <w:tcBorders>
              <w:top w:val="single" w:sz="8" w:color="0000EE"/>
            </w:tcBorders>
            <w:gridSpan w:val="24"/>
          </w:tcPr>
          <w:p>
            <w:pPr>
              <w:spacing w:after="0" w:line="196" w:lineRule="exact"/>
              <w:rPr>
                <w:sz w:val="20"/>
                <w:szCs w:val="20"/>
                <w:color w:val="auto"/>
              </w:rPr>
            </w:pPr>
            <w:r>
              <w:rPr>
                <w:rFonts w:ascii="Arial" w:cs="Arial" w:eastAsia="Arial" w:hAnsi="Arial"/>
                <w:sz w:val="18"/>
                <w:szCs w:val="18"/>
                <w:color w:val="0000EE"/>
              </w:rPr>
              <w:t>Principal Accounting Fees and Services</w:t>
            </w:r>
          </w:p>
        </w:tc>
        <w:tc>
          <w:tcPr>
            <w:tcW w:w="4380" w:type="dxa"/>
            <w:vAlign w:val="bottom"/>
            <w:gridSpan w:val="5"/>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r>
        <w:trPr>
          <w:trHeight w:val="412"/>
        </w:trPr>
        <w:tc>
          <w:tcPr>
            <w:tcW w:w="84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6"/>
          </w:tcPr>
          <w:p>
            <w:pPr>
              <w:jc w:val="center"/>
              <w:spacing w:after="0"/>
              <w:rPr>
                <w:sz w:val="20"/>
                <w:szCs w:val="20"/>
                <w:color w:val="auto"/>
              </w:rPr>
            </w:pPr>
            <w:r>
              <w:rPr>
                <w:rFonts w:ascii="Arial" w:cs="Arial" w:eastAsia="Arial" w:hAnsi="Arial"/>
                <w:sz w:val="18"/>
                <w:szCs w:val="18"/>
                <w:b w:val="1"/>
                <w:bCs w:val="1"/>
                <w:color w:val="0000EE"/>
                <w:w w:val="98"/>
              </w:rPr>
              <w:t>PART IV</w:t>
            </w:r>
          </w:p>
        </w:tc>
        <w:tc>
          <w:tcPr>
            <w:tcW w:w="4520" w:type="dxa"/>
            <w:vAlign w:val="bottom"/>
            <w:gridSpan w:val="7"/>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Item 15.</w:t>
            </w:r>
          </w:p>
        </w:tc>
        <w:tc>
          <w:tcPr>
            <w:tcW w:w="9760" w:type="dxa"/>
            <w:vAlign w:val="bottom"/>
            <w:gridSpan w:val="29"/>
          </w:tcPr>
          <w:p>
            <w:pPr>
              <w:spacing w:after="0" w:line="196" w:lineRule="exact"/>
              <w:rPr>
                <w:sz w:val="20"/>
                <w:szCs w:val="20"/>
                <w:color w:val="auto"/>
              </w:rPr>
            </w:pPr>
            <w:r>
              <w:rPr>
                <w:rFonts w:ascii="Arial" w:cs="Arial" w:eastAsia="Arial" w:hAnsi="Arial"/>
                <w:sz w:val="18"/>
                <w:szCs w:val="18"/>
                <w:color w:val="0000EE"/>
              </w:rPr>
              <w:t>Exhibits, Financial Statement Schedules</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580" w:type="dxa"/>
            <w:vAlign w:val="bottom"/>
            <w:gridSpan w:val="10"/>
            <w:shd w:val="clear" w:color="auto" w:fill="0000EE"/>
          </w:tcPr>
          <w:p>
            <w:pPr>
              <w:spacing w:after="0" w:line="20" w:lineRule="exact"/>
              <w:rPr>
                <w:sz w:val="1"/>
                <w:szCs w:val="1"/>
                <w:color w:val="auto"/>
              </w:rPr>
            </w:pPr>
          </w:p>
        </w:tc>
        <w:tc>
          <w:tcPr>
            <w:tcW w:w="6860" w:type="dxa"/>
            <w:vAlign w:val="bottom"/>
            <w:gridSpan w:val="18"/>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00" w:type="dxa"/>
            <w:vAlign w:val="bottom"/>
            <w:gridSpan w:val="30"/>
          </w:tcPr>
          <w:p>
            <w:pPr>
              <w:spacing w:after="0"/>
              <w:rPr>
                <w:sz w:val="20"/>
                <w:szCs w:val="20"/>
                <w:color w:val="auto"/>
              </w:rPr>
            </w:pPr>
            <w:r>
              <w:rPr>
                <w:rFonts w:ascii="Arial" w:cs="Arial" w:eastAsia="Arial" w:hAnsi="Arial"/>
                <w:sz w:val="18"/>
                <w:szCs w:val="18"/>
                <w:b w:val="1"/>
                <w:bCs w:val="1"/>
                <w:color w:val="0000EE"/>
              </w:rPr>
              <w:t>SIGNATURES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This Annual Report on Form 10-K (including the section regarding Management’s Discussion and Analysis and Results of Operations) contains forward-looking statements within the meaning of Section 27A of the Securities Act of 1933, as amended, or the Securities Act, and Section 21E of the Securities Exchange Act of 1934, as amended, or the Exchange Act. These statements are based on our management’s belief and assumptions and on information currently available to our management. Although we believe that the expectations reflected in these forward-looking statements are reasonable,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Forward-looking statements include statements concerning the following:</w:t>
      </w:r>
    </w:p>
    <w:p>
      <w:pPr>
        <w:spacing w:after="0" w:line="225"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inability to predict or anticipate the duration or long-term economic and business consequences of the ongoing COVID-19 pandemic;</w:t>
      </w:r>
    </w:p>
    <w:p>
      <w:pPr>
        <w:spacing w:after="0" w:line="34" w:lineRule="exact"/>
        <w:rPr>
          <w:rFonts w:ascii="Arial" w:cs="Arial" w:eastAsia="Arial" w:hAnsi="Arial"/>
          <w:sz w:val="17"/>
          <w:szCs w:val="17"/>
          <w:color w:val="auto"/>
        </w:rPr>
      </w:pPr>
    </w:p>
    <w:p>
      <w:pPr>
        <w:ind w:left="980" w:right="2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predict or anticipate the duration or long-term economic effect of the ongoing conflict between Ukraine and Russia and any potential supply chain issues that may result;</w:t>
      </w: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results of operations;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and future capital requirements necessary to support our efforts to open or acquire new complimentary businesses and channels of trade;</w:t>
      </w: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cash needs and financial plans;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seasonality and how it may impact consumer behavior and resulting sales;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consumer interest in growing crops with the equipment and other products that we offer;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evolving laws surrounding cannabis on a local, state and federal level;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effectiveness of our internal controls;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third parties to manufacture and sell us inventory;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or protect our intellectual property;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innovate and develop new intellectual property to continue enhancing our product and service offerings;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systems from unauthorized intrusions or theft of proprietary information;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key members of our executive team;</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relationships with third-party vendors and suppliers;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internally develop products and intellectual property;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expected technological advances by us or by third parties and our ability to leverage such advances;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potential growth opportunities;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interpretations of current laws and the passage of future laws;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acceptance of our business model by investors;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and capital requirements;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sell additional products and services to customers;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adequately support growth;</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ensure consistency in the quality of our products and the quality and costs of our supply chain, including management of freight costs;</w:t>
      </w:r>
    </w:p>
    <w:p>
      <w:pPr>
        <w:ind w:left="98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disruption to third party sales platforms, including Amazon.com, Walmart and eBay, through which approximately 90% of our current revenues are derived; and</w:t>
      </w:r>
    </w:p>
    <w:p>
      <w:pPr>
        <w:ind w:left="980" w:hanging="324"/>
        <w:spacing w:after="0" w:line="26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disruption of our business and supply chain that may be caused by any conflicts or trade wars between China and the U.S., as well as increased tariffs on the products which we import.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 w:name="page5"/>
    <w:bookmarkEnd w:id="4"/>
    <w:p>
      <w:pPr>
        <w:jc w:val="both"/>
        <w:ind w:firstLine="648"/>
        <w:spacing w:after="0" w:line="270" w:lineRule="auto"/>
        <w:rPr>
          <w:sz w:val="20"/>
          <w:szCs w:val="20"/>
          <w:color w:val="auto"/>
        </w:rPr>
      </w:pPr>
      <w:r>
        <w:rPr>
          <w:rFonts w:ascii="Arial" w:cs="Arial" w:eastAsia="Arial" w:hAnsi="Arial"/>
          <w:sz w:val="17"/>
          <w:szCs w:val="17"/>
          <w:color w:val="auto"/>
        </w:rPr>
        <w:t>In some cases, you can identify forward-looking statements by terminology such as “may,” “will,”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in the reports we file with the SEC. Actual events or results may vary significantly from those implied or projected by the forward-looking statements due to these risk factors. No forward-looking statement is a guarantee of future performance. You should read this Annual Report on Form 10-K, the documents that we reference in this Annual Report on Form 10-K and the documentation we have filed as exhibits thereto with the Securities and Exchange Commission, or the SEC, with the understanding that our actual future results and circumstances may be materially different from what we expect.</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Forward-looking statements are made based on management’s beliefs, estimates and opinions on the date the statements are made, and we undertake no obligation to update forward-looking statements if these beliefs, estimates and opinions or other circumstances should change, except as may be required by applicable law. Although we believe that the expectations reflected in the forward-looking statements are reasonable, we cannot guarantee future results, levels of activity, performance or achievements.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Unless the context otherwise requires, the terms “the Company,” “we,” “us,” and “our” in this report refer to iPower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DESCRIPTION OF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iPower Inc. (formerly BZRTH, Inc.), a California-based corporation, was formed in Nevada in April 2018. We own and operate the retail website </w:t>
      </w:r>
      <w:r>
        <w:rPr>
          <w:rFonts w:ascii="Arial" w:cs="Arial" w:eastAsia="Arial" w:hAnsi="Arial"/>
          <w:sz w:val="16"/>
          <w:szCs w:val="16"/>
          <w:b w:val="1"/>
          <w:bCs w:val="1"/>
          <w:color w:val="auto"/>
        </w:rPr>
        <w:t xml:space="preserve">www.zenhydro.com </w:t>
      </w:r>
      <w:r>
        <w:rPr>
          <w:rFonts w:ascii="Arial" w:cs="Arial" w:eastAsia="Arial" w:hAnsi="Arial"/>
          <w:sz w:val="16"/>
          <w:szCs w:val="16"/>
          <w:color w:val="auto"/>
        </w:rPr>
        <w:t>where we sell a wide array of stock keeping units (“SKUs”) and multiple best-selling products which enable our customers to grow</w:t>
      </w:r>
      <w:r>
        <w:rPr>
          <w:rFonts w:ascii="Arial" w:cs="Arial" w:eastAsia="Arial" w:hAnsi="Arial"/>
          <w:sz w:val="16"/>
          <w:szCs w:val="16"/>
          <w:b w:val="1"/>
          <w:bCs w:val="1"/>
          <w:color w:val="auto"/>
        </w:rPr>
        <w:t xml:space="preserve"> </w:t>
      </w:r>
      <w:r>
        <w:rPr>
          <w:rFonts w:ascii="Arial" w:cs="Arial" w:eastAsia="Arial" w:hAnsi="Arial"/>
          <w:sz w:val="16"/>
          <w:szCs w:val="16"/>
          <w:color w:val="auto"/>
        </w:rPr>
        <w:t>vegetables, fruits and flowers, and other plants, including cannabis. We believe we are one of the largest online hydroponic equipment suppliers in the United States. The U.S. hydroponic and gardening industry is generally fragmented, and retail outlets are often smaller family-owned enterprises consisting of a single location. We intend to take advantage of current market conditions by providing consumers with a one-stop shopping experience where they can satisfy all of their horticultural needs and have the products shipped directly to them. We have also leveraged our product development, merchandising and ecommerce expertise to extend our product catalog to address the broader general gardening and home goods market. The company is also developing a suite of ecommerce services to enable companies and brands to penetrate global markets more effectively.</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leases approximately 220,000 square feet of floor space across our four fulfillment centers just outside of Los Angeles, California and in Rancho Cucamonga, California. We have fostered relationships with recognized commercial shipping enterprises. From our four fulfillment centers, we deliver directly to customers including homes, farms and small commercial cultivators, as well as various commercial hydroponics stores across the United States.</w:t>
      </w:r>
    </w:p>
    <w:p>
      <w:pPr>
        <w:spacing w:after="0" w:line="1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In addition to iPower’s website, </w:t>
      </w:r>
      <w:r>
        <w:rPr>
          <w:rFonts w:ascii="Arial" w:cs="Arial" w:eastAsia="Arial" w:hAnsi="Arial"/>
          <w:sz w:val="18"/>
          <w:szCs w:val="18"/>
          <w:b w:val="1"/>
          <w:bCs w:val="1"/>
          <w:color w:val="auto"/>
        </w:rPr>
        <w:t>www.zenhydro.com</w:t>
      </w:r>
      <w:r>
        <w:rPr>
          <w:rFonts w:ascii="Arial" w:cs="Arial" w:eastAsia="Arial" w:hAnsi="Arial"/>
          <w:sz w:val="18"/>
          <w:szCs w:val="18"/>
          <w:color w:val="auto"/>
        </w:rPr>
        <w:t>, we sell our products through third party e-commerce channels including Amazon, eBay and Walmart.com, where we have worked to develop a strong presence on their platforms. Approximately 90% of our sales revenue during the year ended June 30, 2022 were derived from sales on Amazon, eBay and Walmart, where we experienced approximately 47% revenue growth in the fiscal year ended June 30, 2022 as compared to the prior fiscal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iPower offers essential supplies to the hydroponic, gardening and home goods industry, including nutrients, industry-leading hydroponic equipment, power-efficient lighting, and thousands of additional products for home users and professional growers. In addition to offering products from hundreds of third-party brands, the Company has established its own in-house branded products which are also made available for purchase through our various sales channels. Our in-house branded products, marketed under the </w:t>
      </w:r>
      <w:r>
        <w:rPr>
          <w:rFonts w:ascii="Arial" w:cs="Arial" w:eastAsia="Arial" w:hAnsi="Arial"/>
          <w:sz w:val="17"/>
          <w:szCs w:val="17"/>
          <w:b w:val="1"/>
          <w:bCs w:val="1"/>
          <w:i w:val="1"/>
          <w:iCs w:val="1"/>
          <w:color w:val="auto"/>
        </w:rPr>
        <w:t>iPower™</w:t>
      </w:r>
      <w:r>
        <w:rPr>
          <w:rFonts w:ascii="Arial" w:cs="Arial" w:eastAsia="Arial" w:hAnsi="Arial"/>
          <w:sz w:val="17"/>
          <w:szCs w:val="17"/>
          <w:color w:val="auto"/>
        </w:rPr>
        <w:t xml:space="preserve"> and </w:t>
      </w:r>
      <w:r>
        <w:rPr>
          <w:rFonts w:ascii="Arial" w:cs="Arial" w:eastAsia="Arial" w:hAnsi="Arial"/>
          <w:sz w:val="17"/>
          <w:szCs w:val="17"/>
          <w:b w:val="1"/>
          <w:bCs w:val="1"/>
          <w:i w:val="1"/>
          <w:iCs w:val="1"/>
          <w:color w:val="auto"/>
        </w:rPr>
        <w:t>Simple Deluxe™</w:t>
      </w:r>
      <w:r>
        <w:rPr>
          <w:rFonts w:ascii="Arial" w:cs="Arial" w:eastAsia="Arial" w:hAnsi="Arial"/>
          <w:sz w:val="17"/>
          <w:szCs w:val="17"/>
          <w:color w:val="auto"/>
        </w:rPr>
        <w:t xml:space="preserve"> brands, include grow-light systems, ventilation systems, activated carbon filters, nutrients, growing media, hydroponic water-resistant grow tents, trimming machines, pumps and many more hydroponic-related items, some of which have been designated as Amazon best seller product leaders, including products which have been designated “Amazon Choice Products” and “#1 Best Seller SKUs.” We currently offer more than 4,000 products from our proprietary, in-house branded products to consumers. This year, our in-house catalog has expanded to include more general home goods products including floor fans, wall fans, shelving units, chairs and other items that are extensions of our hydroponic product catalog.</w:t>
      </w:r>
    </w:p>
    <w:p>
      <w:pPr>
        <w:spacing w:after="0" w:line="177"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 xml:space="preserve">Specifically for the hydroponics market, we own and operate the retail website </w:t>
      </w:r>
      <w:r>
        <w:rPr>
          <w:rFonts w:ascii="Arial" w:cs="Arial" w:eastAsia="Arial" w:hAnsi="Arial"/>
          <w:sz w:val="16"/>
          <w:szCs w:val="16"/>
          <w:b w:val="1"/>
          <w:bCs w:val="1"/>
          <w:color w:val="auto"/>
        </w:rPr>
        <w:t>www.zenhydro.com</w:t>
      </w:r>
      <w:r>
        <w:rPr>
          <w:rFonts w:ascii="Arial" w:cs="Arial" w:eastAsia="Arial" w:hAnsi="Arial"/>
          <w:sz w:val="16"/>
          <w:szCs w:val="16"/>
          <w:color w:val="auto"/>
        </w:rPr>
        <w:t xml:space="preserve"> where we sell a wide array of stock keeping units (“SKUs”) and multiple best-selling products which enable our customers to grow vegetables, fruits and flowers, and other plants, including cannabis.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Our Industry is Large and Rapidly Growing</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principal industry opportunity is in the retail sale and distribution of hydroponics equipment and supplies, general gardening supplies, and home goods. Hydroponics supplies generally include grow light systems; advanced heating, ventilation and air conditioning (“HVAC”) systems; humidity and carbon dioxide monitors and controllers; water pumps, heaters, chillers and filters; nutrient and fertilizer delivery systems; and various growing media typically made from soil, rock wool or coconut fiber, among others. General gardening supplies generally include environmental sensors and controls and nutrients among others. Home goods supplies currently include commercial fans, floor and wall fans, storage and shelving units, and chairs among others.</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Hydroponic systems constitute an increasingly significant and fast-growing component of the expansive global commercial agriculture and consumer gardening sectors. According to the USDA and National Gardening Survey, the agriculture, food, and related industry sector produced more than $1 trillion worth of goods in the U.S. alone in 2017. According to Statista, the market for garden supplies and equipment surpassed $100 billion in 2020, and is expected to reach $130 billion by 2024.</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According to ResearchandMarkets.com, the global industry for hydroponic systems is currently valued at approximately $12.1 billion and is projected to reach $25.1 billion by 2027. In addition, according to ResearchandMarkets.com, the global hydroponics crops market is estimated to be valued at approximately $37.7 billion in 2022 and is projected to reach $53.4 billion by 2028, recording a CAGR of 7.2%. The rapid growth of hydroponics-related crop output will subsequently drive growth in the wholesale hydroponics equipment and supplies industry.</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home goods industry has become a significant category we sell into. Grandview Research estimated that the size of the home goods market in the US was $740 billion in 2020 and should reach close to $1,040 billion by 2024, with a CAGR of 7.4%.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Focus on Environmental, Social, and Governance (“ESG”) Issues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the growth and change in our end-markets is in part driven by a variety of ESG trends aimed at preserving resources and enhancing the transparency and safety of our food supply chains. It has been reported by McKinsey &amp; Company that approximately 66% of consumers – and 75% of millennial consumers – consider sustainability when making purchases. (</w:t>
      </w:r>
      <w:r>
        <w:rPr>
          <w:rFonts w:ascii="Arial" w:cs="Arial" w:eastAsia="Arial" w:hAnsi="Arial"/>
          <w:sz w:val="18"/>
          <w:szCs w:val="18"/>
          <w:i w:val="1"/>
          <w:iCs w:val="1"/>
          <w:color w:val="auto"/>
        </w:rPr>
        <w:t>See</w:t>
      </w:r>
      <w:r>
        <w:rPr>
          <w:rFonts w:ascii="Arial" w:cs="Arial" w:eastAsia="Arial" w:hAnsi="Arial"/>
          <w:sz w:val="18"/>
          <w:szCs w:val="18"/>
          <w:color w:val="auto"/>
        </w:rPr>
        <w:t xml:space="preserve"> Business News Daily, “Most Consumers Want Sustainable Products and Packaging” (August 5, 2022)). Overall, hydroponic growing systems deliver superior performance characteristics versus traditional agriculture when compared on select key ESG performance criteria:</w:t>
      </w:r>
    </w:p>
    <w:p>
      <w:pPr>
        <w:spacing w:after="0" w:line="188" w:lineRule="exact"/>
        <w:rPr>
          <w:sz w:val="20"/>
          <w:szCs w:val="20"/>
          <w:color w:val="auto"/>
        </w:rPr>
      </w:pPr>
    </w:p>
    <w:p>
      <w:pPr>
        <w:ind w:left="1040" w:hanging="317"/>
        <w:spacing w:after="0" w:line="258"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More efficient land usage. Hydroponics systems allow for greater crop production per square foot, reducing the amount of land needed to grow crops. Certain types of vertical farming are up to 20 times more productive than traditional farming per acre.</w:t>
      </w:r>
    </w:p>
    <w:p>
      <w:pPr>
        <w:spacing w:after="0" w:line="1" w:lineRule="exact"/>
        <w:rPr>
          <w:rFonts w:ascii="Arial" w:cs="Arial" w:eastAsia="Arial" w:hAnsi="Arial"/>
          <w:sz w:val="18"/>
          <w:szCs w:val="18"/>
          <w:color w:val="auto"/>
        </w:rPr>
      </w:pPr>
    </w:p>
    <w:p>
      <w:pPr>
        <w:jc w:val="both"/>
        <w:ind w:left="1040" w:hanging="317"/>
        <w:spacing w:after="0" w:line="250"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More efficient fresh water usage. Hydroponics systems allow for the management and recycling of water inside of a closed-loop system and therefore generally require less water than traditional outdoor agriculture. In certain instances, hydroponics systems can grow plants with up to 98% less water than soil-based agriculture.</w:t>
      </w:r>
    </w:p>
    <w:p>
      <w:pPr>
        <w:spacing w:after="0" w:line="1" w:lineRule="exact"/>
        <w:rPr>
          <w:rFonts w:ascii="Arial" w:cs="Arial" w:eastAsia="Arial" w:hAnsi="Arial"/>
          <w:sz w:val="18"/>
          <w:szCs w:val="18"/>
          <w:color w:val="auto"/>
        </w:rPr>
      </w:pPr>
    </w:p>
    <w:p>
      <w:pPr>
        <w:ind w:left="1040" w:hanging="317"/>
        <w:spacing w:after="0" w:line="281" w:lineRule="auto"/>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color w:val="auto"/>
        </w:rPr>
        <w:t>Decreased use of fertilizer and pesticides. As hydroponics takes place in a controlled, often indoor environment, the need for pesticides application is reduced, allowing growers to apply less pesticide with more precise application compared to traditional outdoor agriculture.</w:t>
      </w:r>
    </w:p>
    <w:p>
      <w:pPr>
        <w:spacing w:after="0" w:line="1" w:lineRule="exact"/>
        <w:rPr>
          <w:rFonts w:ascii="Arial" w:cs="Arial" w:eastAsia="Arial" w:hAnsi="Arial"/>
          <w:sz w:val="16"/>
          <w:szCs w:val="16"/>
          <w:color w:val="auto"/>
        </w:rPr>
      </w:pPr>
    </w:p>
    <w:p>
      <w:pPr>
        <w:ind w:left="1040" w:right="20" w:hanging="317"/>
        <w:spacing w:after="0" w:line="250"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Reduced carbon emissions. Hydroponics, especially vertical farming, allows large farming operations to be located significantly closer to end-users, thereby reducing the transportation distance of ready-to-use crops.</w:t>
      </w:r>
    </w:p>
    <w:p>
      <w:pPr>
        <w:ind w:left="1040" w:right="20" w:hanging="317"/>
        <w:spacing w:after="0" w:line="265"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Reduced food waste. Similar to the above, since hydroponics growing systems allow for food production significantly closer to the end-user, there is less time between production and consumption and therefore reduced product spoilage, damage and waste.</w:t>
      </w:r>
    </w:p>
    <w:p>
      <w:pPr>
        <w:ind w:left="1040" w:hanging="317"/>
        <w:spacing w:after="0" w:line="250"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Chemical runoff prevention. Due to the closed-loop nature of hydroponics systems, such systems significantly decrease the risk of chemical runoff, which is generally more difficult to control in traditional outdoor agriculture.</w:t>
      </w:r>
    </w:p>
    <w:p>
      <w:pPr>
        <w:ind w:left="1040" w:hanging="317"/>
        <w:spacing w:after="0" w:line="260"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Supports organic farming. Hydroponics is well suited for organic farming, the produce of which has been in increasing demand by consumers.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has not incurred any significant research and development (“R&amp;D”) expenses during the fiscal year ended June 30, 2022. We do most of our development work in conjunction with our manufacturing partners, where we co-engineer designs with their development teams. We plan to increase our investments in R&amp;D relating to the improvement of existing products and the development and addition of new product 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Customers and Suppliers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a diverse customer base, with residential gardeners and hobbyists constituting a significant portion of our customer base and thus the largest segment of our total sales. We sell to both commercial and home cultivators growing specialty crops. At present, sales to customers through Amazon and other third-party online platforms accounts for more than 90% of our annual sales.</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do not manufacture any of the hydroponic products we sell through our distribution channels. We purchase our products from more than 100 suppliers, including manufacturers and distributors in the US and China. For the years ended June 30, 2022 and 2021, one supplier accounted for 18% and three suppliers accounted for 38% (18%, 10% and 10%) of the Company's total purchases, respectively. We do not have any long-term supply agreements.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Manufacturers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obtain both our branded proprietary products and distributed products from third party suppliers. Most of the products purchased and resold, whether our proprietary products or third-party products we sell through our platform, are applicable to indoor and outdoor growing for organics, greens and plant-based products. Our products are sourced from more than 100 different suppliers and manufacturers, with approximately 84% sourced from China. Quality control is a critical priority for our team charged with ensuring the supply of the products from our suppliers, specifically those coming from China. We seek to ensure the highest level of quality control for our products through routine factory visits, spot testing and continual, ongoing supplier due diligence.</w:t>
      </w:r>
    </w:p>
    <w:p>
      <w:pPr>
        <w:spacing w:after="0" w:line="19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distributed products are sourced from more than 100 suppliers. Our experienced internal sourcing team is charged with maintaining strong relationships with current suppliers, while also constantly tracking current and future market trends and reviewing offerings of new suppliers.</w:t>
      </w:r>
    </w:p>
    <w:p>
      <w:pPr>
        <w:spacing w:after="0" w:line="14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do not have exclusive purchase agreements with many of our suppliers. Based on our knowledge and communication with our suppliers, we believe some of our suppliers may sell directly to the retail market or to our wholesale customers. See “</w:t>
      </w:r>
      <w:r>
        <w:rPr>
          <w:rFonts w:ascii="Arial" w:cs="Arial" w:eastAsia="Arial" w:hAnsi="Arial"/>
          <w:sz w:val="16"/>
          <w:szCs w:val="16"/>
          <w:u w:val="single" w:color="auto"/>
          <w:color w:val="0000EE"/>
        </w:rPr>
        <w:t>Risk Factors</w:t>
      </w:r>
      <w:r>
        <w:rPr>
          <w:rFonts w:ascii="Arial" w:cs="Arial" w:eastAsia="Arial" w:hAnsi="Arial"/>
          <w:sz w:val="16"/>
          <w:szCs w:val="16"/>
          <w:color w:val="auto"/>
        </w:rPr>
        <w:t>— Risks Relating to Our Business.”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for Products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Demand for indoor and outdoor growing equipment is currently high due to the legalization of plant-based medicines, primarily cannabis, which is mainly due to equipment purchases for build-out and repeat purchases of consumable nutrients needed during the growing period. This demand is projected to continue to grow as additional states adopt legislation supporting the sale and consumption of cannabis and cannabis-related products. Continued innovation and more efficient build-out of technologies along with larger and consolidated and combined cultivation facilities is expected to further expand market demand for iPower products and services, including our in-house branded products. We expect the market to continue to segment into urban farmers serving groups of individuals, community cultivators, and small- and large-scale commercial cultivation facilities across the states. We are of the opinion that as our volume increases, we will obtain volume discounts on purchasing that should allow us to maximize both our revenues and gross margins. In addition, the vertical farming market is increasing year over year, where it is projected to grow from $3.98 billion in 2020 to $21.15 billion in 2028, representing a 23.6% compound annual growth rate.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E-Commerce Strategy</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continues to grow and develop its e-commerce platform, www.zenhydro.com., where we sell hydroponic products, including equipment, tools, nutrients and more. In addition to our website, we offer products to consumers through established e-commerce channels such as Amazon, eBay and Walmart. Through these portals we offer various hydroponic, specialty and organic gardening products for sale. Online shoppers can have the ability to peruse our various product departments, from nutrients to lighting to hydroponic and greenhouse equipment, providing consumers with an easy and quick method to find the exact products they need. In addition to these sections, our webstore frequently offers customers flash deals, best value recommendations and clearance sale items. Our e-commerce site has been designed to appeal to both the professional grower, as well as the home gardener/hobbyist. Each product listed on the site contains product descriptions, product reviews and a picture so the consumer can make an informed and educated purchase. Our product filters allow the consumer to search by brand, manufacturer, or by price. Consumers can shop online day and night and have their purchases shipped directly to the location of their choice, or simply elect to use our website as a resource. Google advertising, social media advertising and email list marketing, in addition to auto-ship functionality, are the primary mechanisms we employ to drive traffic to www.zenhydro.com and the other portals through which we make our products available for sale, including Amazon.com, eBay and Walmart. At present, more than 50% of our total sales occur through Amazon.com.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Large Established Distribution Infrastructure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 fully developed distribution network through our three distribution centers in California. We work with a network of third-party common carrier trucking/freight companies that service our customers throughout the U.S., Canada and across the globe. We receive daily customer orders via our business-to-business e-commerce platform. Orders are then routed to the applicable distribution center and packed for shipments. Most of our customer orders are shipped within one business day of order receipt.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markets in which we sell our products are highly competitive and fragmented. Our key competitors include many local and national vendors of gardening supplies, local product resellers of hydroponic and other specialty growing equipment, as well as other online product resellers on large online marketplaces such as Amazon.com and eBay. Our industry is highly fragmented with more than 1,000 retail outlets throughout the U.S. We compete with companies that have greater capital resources, facilities and diversity of product lines. Our competitors could also introduce new hydroponic growing equipment, and as manufacturers are able to sell equipment directly to consumers, our distributors could cease selling products to us.</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Notwithstanding the foregoing, we believe that our pricing, inventory and product availability, and overall customer service provide us with the ability to compete in this marketplace. We believe that we have the following core competitive advantages over our competitors:</w:t>
      </w:r>
    </w:p>
    <w:p>
      <w:pPr>
        <w:spacing w:after="0" w:line="170" w:lineRule="exact"/>
        <w:rPr>
          <w:sz w:val="20"/>
          <w:szCs w:val="20"/>
          <w:color w:val="auto"/>
        </w:rPr>
      </w:pPr>
    </w:p>
    <w:p>
      <w:pPr>
        <w:ind w:left="980" w:hanging="324"/>
        <w:spacing w:after="0" w:line="258"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addition to our in-house branded products, we distribute products from hundreds of third-party brands, ensuring that whatever a customer’s particular need may be, they need look no further than iPower for their gardening needs.</w:t>
      </w:r>
    </w:p>
    <w:p>
      <w:pPr>
        <w:spacing w:after="0" w:line="1"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knowledgeable and experienced sales team can provide guidance and insights, whether dealing with a seasoned commercial entity or a first-time purchaser looking to get their grow operations off the ground.</w:t>
      </w:r>
    </w:p>
    <w:p>
      <w:pPr>
        <w:ind w:left="98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convenience of our e-commerce platform allows customers to shop from the comfort of their own home and have their purchases shipped directly to them.</w:t>
      </w:r>
    </w:p>
    <w:p>
      <w:pPr>
        <w:ind w:left="98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offer top-to-bottom solutions, from custom build-outs to nutrients in order to ensure that their grow operations flourish and provide significant yields.</w:t>
      </w:r>
    </w:p>
    <w:p>
      <w:pPr>
        <w:ind w:left="980" w:hanging="324"/>
        <w:spacing w:after="0" w:line="26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view ourselves as an industry leader, offering products and new technologies from the largest and most trusted names in the business, as well as our own in-house branded products.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Moreover, we expect that as we continue to grow our business, we will achieve an economy of scale, and as such, will be able to make larger inventory purchases at lower volume sale prices, which will enable us to continue to maintain competitive pricing options and deliver the array of items that our customers require. Through supply chain and industry competency, support services, and our relationships with suppliers, distributors, vendors and logistics partners, we believe we can maintain and increase our growth trajectory.</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Intellectual Property and Proprietary Rights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intellectual property primarily consists of our brands and their related trademarks, domain names, websites, customer lists and affiliations, as well as our marketing intangibles, product know-how and technology. We also hold rights to website addresses related to our business, including websites that are actively used in our daily business operations, such as www.Zenhydro.com. We own federally registered trademarks for “iPower” and “Simple Deluxe,” which correspond to our current in-house branded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sell products, including hydroponic gardening products, that end users may purchase for use in new and emerging industries or segments, including the growing of cannabis and hemp, that may not grow or achieve market acceptance in a manner that we can predict. The demand for these products depends on the uncertain growth of these industries or segments.</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addition, we sell products that end users may purchase for use in industries or segments, including the growing of cannabis and hemp, that are subject to varying, inconsistent, and rapidly changing laws, regulations, administrative practices, enforcement approaches, judicial interpretations, and consumer perceptions. For example, certain countries and a total of 44 U.S. states plus the District of Columbia have adopted frameworks, in varying forms, that authorize, regulate, and tax the cultivation, processing, sale, and use of cannabis for medicinal and/or non-medicinal use, as well as hemp and CBD, while the U.S. Controlled Substances Act and the laws of other U.S. states prohibit growing cannabis. In addition, with the passage of the Farm Bill in December 2018, hemp cultivation is now broadly permitted. The 2018 Farm Bill explicitly allows the transfer of hemp-derived products across state lines for commercial or other purposes. It also puts no restrictions on the sale, transport, or possession of hemp-derived products, so long as those items are produced in a manner consistent with the law. While we do not know the percentage or actual usage of our products for purposes of growing cannabis or hemp-derived products, for those users who intend to use the Company’s products to grow hemp-derived CBD medicinal products, the 2018 Farm Bill officially removed hemp from the list of controlled substances. While we note that the 2018 Farm Bill has not changed the regulatory authority of the Food and Drug Administration as concerns cannabis and cannabis-derived products, and that such products continue to remain subject to the same regulatory requirements as FDA-regulated products, we nonetheless believe the passage of the 2018 Farm Bill will allow the Company to expand its marketplace opportunities.</w:t>
      </w:r>
    </w:p>
    <w:p>
      <w:pPr>
        <w:spacing w:after="0" w:line="18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gardening products, including our hydroponic gardening products, are multi-purpose products designed and intended for growing a wide range of plants and are purchased by cultivators who may grow any variety of plants, including cannabis and hemp. Although the demand for our products may be negatively impacted depending on how laws, regulations, administrative practices, enforcement approaches, judicial interpretations, and consumer perceptions develop, we cannot reasonably predict the nature of such developments or the effect, if any, that such developments could have on our business. The changing laws may cause us to experience additional capital expenditures as we adapt our business to meet the requirements of the evolving legal and regulatory landscape.</w:t>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we believe certain unknown number of our end users are in the business of growing cannabis, we believe we have benefited from the nationwide efforts to legalize marijuana at the state level. To date, a total of 44 states plus the District of Columbia (“D.C.”) have legalized cannabis in one form or another, with 15 states plus D.C. have legalizing marijuana for adult use, including both medicinal and recreational, 20 states having legalized marijuana for medical purposes only, and 12 states have legalized the use of CBD oil (a concentrated form of hemp extract) only. According to the 2019 US Cannabis Cultivation Report published by New Frontier Data, United States cultivation output is expected to grow from 29.8 million pounds in 2019 to 34.4 million pounds by 2025. According mjbizdaily.com, the U.S. retail cannabis industry grew to a record $27 billion in sales in 2021, is expected to hit $33 billion in 2022, with expected annual sales of $52.6 billion by 2026. (</w:t>
      </w:r>
      <w:r>
        <w:rPr>
          <w:rFonts w:ascii="Arial" w:cs="Arial" w:eastAsia="Arial" w:hAnsi="Arial"/>
          <w:sz w:val="17"/>
          <w:szCs w:val="17"/>
          <w:i w:val="1"/>
          <w:iCs w:val="1"/>
          <w:color w:val="auto"/>
        </w:rPr>
        <w:t>See</w:t>
      </w:r>
      <w:r>
        <w:rPr>
          <w:rFonts w:ascii="Arial" w:cs="Arial" w:eastAsia="Arial" w:hAnsi="Arial"/>
          <w:sz w:val="17"/>
          <w:szCs w:val="17"/>
          <w:color w:val="auto"/>
        </w:rPr>
        <w:t xml:space="preserve"> https://mjbizdaily.com/us-cannabis-sales-estimates/).We intend to leverage the growth of cannabis and CBD products, in tandem with its increased legalization, to further build our brand and promote our hydroponics equipment and products within the cannabis community.</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that the growth in licensed cannabis cultivation facilities and the increase in organically grown produce will increase the general demand for hydroponics products. Further, we believe our dedication to providing consumers with innovative and cutting-edge products tailored to their individual needs, combined with our industry knowledge and customer service, has positioned iPower to take advantage of the domestic and international growth anticipated for hydroponic products.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Corporate Structure</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been conducting business as iPower Inc. (formerly BZRTH Inc.) since our formation in 2018 and subsequent acquisition of the assets, and certain liabilities, of BizRight LLC. In order to diversify and facilitate the Company’s marketing and research and development activities, we used two variable interest entities, E Marketing Solution Inc. (“E Marketing”) and Global Products Marketing Inc. (“GPM”), to perform and conduct certain aspects of our business relative to marketing, banking and cash management. E-Marketing and GPM were wholly owned by one of our shareholders, Shanshan Huang, and one of our founders and majority shareholders, Chenlong Tan. See “</w:t>
      </w:r>
      <w:r>
        <w:rPr>
          <w:rFonts w:ascii="Arial" w:cs="Arial" w:eastAsia="Arial" w:hAnsi="Arial"/>
          <w:sz w:val="17"/>
          <w:szCs w:val="17"/>
          <w:b w:val="1"/>
          <w:bCs w:val="1"/>
          <w:i w:val="1"/>
          <w:iCs w:val="1"/>
          <w:color w:val="auto"/>
        </w:rPr>
        <w:t>Certain Relationships and Related Transactions</w:t>
      </w:r>
      <w:r>
        <w:rPr>
          <w:rFonts w:ascii="Arial" w:cs="Arial" w:eastAsia="Arial" w:hAnsi="Arial"/>
          <w:sz w:val="17"/>
          <w:szCs w:val="17"/>
          <w:color w:val="auto"/>
        </w:rPr>
        <w:t>” on page 84 of this report. On May 18, 2021, the Company entered into equity purchase agreements (“Equity Purchase Agreements”) with the shareholders of E Marketing and GPM, pursuant to which we acquired 100% of the equity interests of each of E Marketing and GPM for nominal consideration and E Marketing and GPM became our wholly owned subsidiaries.</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February 15, 2022, the Company acquired Anivia Limited (“Anivia”). Anivia indirectly owns Dayourenzai (Shenzhen) Technology Co., Ltd., a corporation located in the People’s Republic of China (“PRC”), which is a wholly foreign-owned enterprise of Fly Elephant Limited. Dayourenzai (Shenzhen) Technology Co., Ltd. controls, through contractual arrangements, the business, revenues and profits of Daheshou (Shenzhen) Information Technology Co., Ltd., a company organized under the Laws of the PRC and is located in Shenzhen, China (“DHS”). DHS is principally engaged in selling of a wide range of products and providing logistic services in the PRC and has been iPower’s sole source of supplies and logistics support for products purchased from the PRC since iPower’s inception. In 2021, iPower purchased more than 60% of its products and supplies from or through DHS.</w:t>
      </w:r>
    </w:p>
    <w:p>
      <w:pPr>
        <w:spacing w:after="0" w:line="16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addition, on February 10, 2022 and January 14, 2022, respectively, we entered into joint venture agreements with Global Social Medial, LLC, a Nevada limited liability company formed in 2022 which provides social media platform and services to assist business in product marketing (“GSM”), and Box Harmony, LLC, a Nevada limited liability company formed in 2022 which provides logistic services primarily for foreign-based manufacturers or distributors who desire to sell their products online in the United States with such logistic services to include, without limitation, receiving, storing and transporting such products (“Box Harmony”). We have 60% equity interest in GSM and a 40% equity interest in Box Harmony.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Information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a Nevada corporation, was formed on April 11, 2018 under the name BZRTH Inc. On September 4, 2020, we filed a Certificate of Amendment with the State of Nevada changing our name to iPower Inc.</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principal offices are located at 2399 Bateman Avenue, Duarte, CA 91010 and our phone number is (626) 863-7344. Our business website is www.meetipower.com and our e-commerce website is www.Zenhydro.com. Information contained on our websites should not be deemed incorporated by reference and is not a part of this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September 27, 2022, we have a total of 80 full-time and seven part-time employees and consultants. None or our employees are subject to collective bargaining agreements.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An investment in our securities involves a high degree of risk. You should carefully consider all of the risks described below, together with the other information contained in this Annual Report on Form 10-K, including our financial statements and related notes, before making a decision to invest in our securities.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risks described under the heading “</w:t>
      </w:r>
      <w:r>
        <w:rPr>
          <w:rFonts w:ascii="Arial" w:cs="Arial" w:eastAsia="Arial" w:hAnsi="Arial"/>
          <w:sz w:val="18"/>
          <w:szCs w:val="18"/>
          <w:u w:val="single" w:color="auto"/>
          <w:color w:val="0000EE"/>
        </w:rPr>
        <w:t>Risk Factors</w:t>
      </w:r>
      <w:r>
        <w:rPr>
          <w:rFonts w:ascii="Arial" w:cs="Arial" w:eastAsia="Arial" w:hAnsi="Arial"/>
          <w:sz w:val="18"/>
          <w:szCs w:val="18"/>
          <w:color w:val="auto"/>
        </w:rPr>
        <w:t>” beginning on page 8 of this Annual Report on Form 10-K may cause us not to realize the full benefits of our strengths and/or may cause us to be unable to successfully execute all or part of our strategy. Some of the more significant challenges we face include:</w:t>
      </w:r>
    </w:p>
    <w:p>
      <w:pPr>
        <w:spacing w:after="0" w:line="184" w:lineRule="exact"/>
        <w:rPr>
          <w:sz w:val="20"/>
          <w:szCs w:val="20"/>
          <w:color w:val="auto"/>
        </w:rPr>
      </w:pPr>
    </w:p>
    <w:p>
      <w:pPr>
        <w:ind w:left="980" w:hanging="324"/>
        <w:spacing w:after="0" w:line="258"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ongoing conflict between Russia and Ukraine may adversely affect our business, financial condition, results from operations, or the businesses of our suppliers, vendors and logistics partners.</w:t>
      </w:r>
    </w:p>
    <w:p>
      <w:pPr>
        <w:spacing w:after="0" w:line="1"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continuing COVID-19 pandemic and the efforts to mitigate its impact may have an adverse impact on our business, liquidity, operations, financial condition, the businesses of our suppliers, vendors and logistics partners, and the price of our securities.</w:t>
      </w:r>
    </w:p>
    <w:p>
      <w:pPr>
        <w:ind w:left="98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Company’s founders own approximately 54.26% of our Common Stock, which effectively gives our founders full control over the board of directors and management of the Company for the foreseeable future.</w:t>
      </w:r>
    </w:p>
    <w:p>
      <w:pPr>
        <w:ind w:left="98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faces intense competition in the hydroponics marketplace which could prohibit us from developing or increasing our customer base beyond present levels.</w:t>
      </w: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ensure consistency in the quality of our products and supply chain.</w:t>
      </w:r>
    </w:p>
    <w:p>
      <w:pPr>
        <w:spacing w:after="0" w:line="9"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Approximately 90% of our current revenues are derived from sales of our products through online third-party platforms, including Amazon.com, Walmart and eBay; any disruption to these business channels could be detrimental to our business.</w:t>
      </w:r>
    </w:p>
    <w:p>
      <w:pPr>
        <w:ind w:left="98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disruption of our business and supply chain that may be caused by any conflicts, trade wars or currency fluctuations or tariffs between China and the U.S.</w:t>
      </w:r>
    </w:p>
    <w:p>
      <w:pPr>
        <w:ind w:left="980" w:right="2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event we require additional capital resources to fund our enterprise, we may not be able to obtain sufficient capital and may be forced to limit the expansion of our operations.</w:t>
      </w:r>
    </w:p>
    <w:p>
      <w:pPr>
        <w:jc w:val="both"/>
        <w:ind w:left="98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of our products may be purchased for use in new and emerging industries or segments, such as cannabis, and may be subject to varying, inconsistent, and rapidly changing laws, regulations, administrative practices, enforcement approaches, judicial interpretations, and consumer perceptions.</w:t>
      </w:r>
    </w:p>
    <w:p>
      <w:pPr>
        <w:spacing w:after="0" w:line="1"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depends significantly on the continuing efforts of our management team and our business may be impacted if we should lose their services.</w:t>
      </w:r>
    </w:p>
    <w:p>
      <w:pPr>
        <w:ind w:left="98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relationships, acquisitions, strategic alliances, and investments could result in operating issues, dilutions, and other harmful or unintended consequences which may adversely impact our business and the results of our operations.</w:t>
      </w:r>
    </w:p>
    <w:p>
      <w:pPr>
        <w:ind w:left="980" w:hanging="324"/>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continued investment and development in our in-house branded products is inherently risky and could disrupt our ongoing business.</w:t>
      </w:r>
    </w:p>
    <w:p>
      <w:pPr>
        <w:spacing w:after="0" w:line="20" w:lineRule="exact"/>
        <w:rPr>
          <w:rFonts w:ascii="Arial" w:cs="Arial" w:eastAsia="Arial" w:hAnsi="Arial"/>
          <w:sz w:val="17"/>
          <w:szCs w:val="17"/>
          <w:color w:val="auto"/>
        </w:rPr>
      </w:pPr>
    </w:p>
    <w:p>
      <w:pPr>
        <w:ind w:left="98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 Company is unable to maintain and continue to develop our e-commerce platform, our reputation and operating results may be materially harmed.</w:t>
      </w:r>
    </w:p>
    <w:p>
      <w:pPr>
        <w:ind w:left="98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the bulk of our sales are carried out through e-commerce, we are subject to certain cyber security risks, including hacking and stealing of customer and confidential data.</w:t>
      </w: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 are a myriad of risks, including stock market volatility, inherent in owning our securities.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 and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sell proprietary brand offerings, as well as third party brands, which could expose us to various risks.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rely on different intellectual property rights, including trade secrets and trademarks and the strength of our proprietary brands, which we consider important to our business. If we are unable to protect or preserve the value of our intellectual property rights for any reason, or if we fail to maintain our brand image due to actual or perceived product or service quality issues, adverse publicity, governmental investigations or litigation, or other reasons, our brand and reputation could be damaged, and our business may be harmed.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 w:name="page13"/>
    <w:bookmarkEnd w:id="12"/>
    <w:p>
      <w:pPr>
        <w:jc w:val="both"/>
        <w:ind w:firstLine="648"/>
        <w:spacing w:after="0" w:line="263" w:lineRule="auto"/>
        <w:rPr>
          <w:sz w:val="20"/>
          <w:szCs w:val="20"/>
          <w:color w:val="auto"/>
        </w:rPr>
      </w:pPr>
      <w:r>
        <w:rPr>
          <w:rFonts w:ascii="Arial" w:cs="Arial" w:eastAsia="Arial" w:hAnsi="Arial"/>
          <w:sz w:val="18"/>
          <w:szCs w:val="18"/>
          <w:color w:val="auto"/>
        </w:rPr>
        <w:t>Although we believe that our proprietary brand products offer significant value to our customers at each price point and provide us with higher gross margins than sales of comparable third-party branded products, expanding our proprietary brand offerings subjects us to certain specific risks in addition to those discussed elsewhere in this section, such as:</w:t>
      </w:r>
    </w:p>
    <w:p>
      <w:pPr>
        <w:spacing w:after="0" w:line="184"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mandatory or voluntary product recalls in the event of product defects or other issues;</w:t>
      </w:r>
    </w:p>
    <w:p>
      <w:pPr>
        <w:spacing w:after="0" w:line="23"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measures we take may not effectively or sufficiently protect and/or maintain the intellectual property, and proprietary rights associated with our products and business;</w:t>
      </w: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required to heavily invest in marketing such proprietary branded products;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successfully innovate and obtain, maintain, protect and enforce our intellectual property and proprietary rights (including defending against counterfeit, knock offs, grey-market, infringing or otherwise unauthorized goods); and</w:t>
      </w:r>
    </w:p>
    <w:p>
      <w:pPr>
        <w:jc w:val="both"/>
        <w:ind w:left="980" w:hanging="324"/>
        <w:spacing w:after="0" w:line="255"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successfully navigate and avoid claims related to the intellectual property and proprietary rights of third parties, which, if successful, could force us to modify or discontinue products, pay significant damages or enter into expensive licensing arrangements with the prevailing party, in addition to other harm, including to our reputation or financial results.</w:t>
      </w:r>
    </w:p>
    <w:p>
      <w:pPr>
        <w:spacing w:after="0" w:line="19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 increase in sales of our proprietary brands may also adversely affect our sales of the products of certain of our vendors which may, in turn, adversely affect our relationship with such vendors. Our failure to adequately address some or all of these risks could have a material adverse effect on our business, results of operations and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competitors and potential competitors may develop products and technologies that are more effective or commercially attractive than our products.</w:t>
      </w:r>
    </w:p>
    <w:p>
      <w:pPr>
        <w:spacing w:after="0" w:line="26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products compete against national and regional products and in-house branded products produced by various suppliers, many of which are established companies that provide products that perform functions similar to our products. Our competitors may develop or market products that are more effective or commercially attractive than our current or future products. Some of our competitors have substantially greater financial, operational, marketing, and technical resources than we do. Moreover, some of these competitors may offer a broader array of products and sell their products at prices lower than ours and may have greater name recognition. In addition, if demand for our specialty indoor gardening supplies and products continues to grow, we may face competition from new entrants into our field. Due to this competition, there is no assurance that we will not encounter difficulties in generating or increasing revenues and capturing market share. In addition, increased competition may lead to reduced prices and/or margins for products we sell. We may not have the financial resources, relationships with key suppliers, technical expertise or marketing, distribution or support capabilities to compete successfully in the future.</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develop new products or improve existing products or maintain our effectiveness in reaching consumers through rapidly evolving communication vehicles.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future success depends, in part, upon our ability to improve our existing products and to develop, manufacture and market new products to meet evolving consumer needs. We cannot be certain that we will be successful in developing, manufacturing and marketing new products or product innovations which satisfy consumer needs or achieve market acceptance, or that we will develop, manufacture and market new products or product innovations in a timely manner. If we fail to successfully develop, manufacture and market new products or product innovations, or if we fail to reach existing and potential consumers, our ability to maintain or grow our market share may be adversely affected, which in turn could materially adversely affect our business, financial condition and results of operations. In addition, the development and introduction of new products and product innovations require substantial research, development, and marketing expenditures, which we may be unable to recoup if such new products or innovations do not achieve market acceptance.</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Many of the products we distribute and market, such as our fertilizers and nutrients, contain ingredients that are subject to regulatory approval or registration with certain U.S. state regulators. The need to obtain such approval or registration could delay the launch of new products or product innovations that contain ingredients or otherwise prevent us from developing and manufacturing certain products and product innovations.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The ongoing conflict between Russia and Ukraine may adversely affect our business, financial condition, or results of operations</w:t>
      </w:r>
      <w:r>
        <w:rPr>
          <w:rFonts w:ascii="Arial" w:cs="Arial" w:eastAsia="Arial" w:hAnsi="Arial"/>
          <w:sz w:val="18"/>
          <w:szCs w:val="18"/>
          <w:i w:val="1"/>
          <w:iCs w:val="1"/>
          <w:color w:val="auto"/>
        </w:rPr>
        <w:t>.</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February 24, 2022, Russia initiated a military offensive in Ukraine. While neither Ukraine nor Russia is a key supplier of ours, the scope, intensity, duration and outcome of the ongoing war is uncertain and its continuation or escalation could have a material adverse effect on iPower due to the general impact on the global supply chain and prices of certain commodities. While we presently have no business or direct trade relationships with entities located in Russia or Ukraine, the ongoing conflict between Russia and Ukraine could potentially cause supply chain disruptions that could disrupt our business should any of our end-suppliers rely on supplies, products or shipments from those regions.</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response to the war, the United States, other North Atlantic Treaty Organization (“NATO”) member states, as well as non-member states, have announced targeted economic sanctions on Russia, certain Russian citizens and enterprises. Any continuation or escalation of the war may trigger a series of additional economic and other sanctions. Certain companies have experienced negative reactions from their investors, employees, customers, or other stakeholders as a result of their action or inaction related to the war between Russia and Ukraine. We continue to monitor the reactions of our investors, employees, customers and other stakeholders and, as of the date of this report, have neither experienced any material adverse financial impacts nor suffered from the loss of key customers or employees.</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the risk of cybersecurity incidents has increased in connection with the ongoing war, driven by justifications such as retaliation for the sanctions imposed in conjunction with the war, or in response to certain companies’ continued operations in Russia. For example, the war has been accompanied by cyberattacks against the Ukrainian government and other countries in the region. It is possible that these attacks could have collateral effects on additional critical infrastructure and financial institutions globally, which could adversely affect our operations and could increase the frequency and severity of cyber-based attacks against our information technology systems. While we have taken actions to mitigate such potential risks, the proliferation of malware from the war into systems unrelated to the war or cyberattacks against U.S. companies in retaliation for U.S. sanctions against Russia or U.S. support of Ukraine, could also adversely affect our operations.</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insure ourselves against many types of risks; however, while this insurance may mitigate certain of the risks associated with the ongoing war, our level of insurance may not cover all losses we could incur. The potential effects of these conditions could have a material adverse effect on our business, results of operations and financial condition.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COVID-19 pandemic and the efforts to mitigate its impact may have an adverse effect on our business, liquidity, results of operations, financial condition and price of our securities.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ongoing pandemic involving the novel strain of coronavirus, or COVID-19, and the measures taken to combat it, may have certain and adverse effects on our business. Public health authorities and governments at local, national and international levels have announced various measures to respond to this pandemic. Some measures that directly or indirectly impact our business include:</w:t>
      </w:r>
    </w:p>
    <w:p>
      <w:pPr>
        <w:spacing w:after="0" w:line="184"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voluntary or mandatory quarantines;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on travel;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limiting gatherings of people in public places.</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Although we have been deemed an “essential” business by state and local authorities in the areas in which we operate, we have undertaken the following measures in an effort to mitigate the spread of COVID-19 including limiting business hours, and encouraging employees to work remotely if possible. We also have enacted our business continuity plans, including implementing procedures requiring employees to work remotely where possible which may make maintaining our normal level of corporate operations, quality controls and internal controls difficult. Moreover, the COVID-19 pandemic has caused temporary or long-term disruptions in our supply chains and/or delays in the delivery of our inventory. Further, the COVID-19 pandemic and mitigation efforts have also adversely affected our customers’ financial condition, resulting in reduced spending for the products we sell.</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4" w:name="page15"/>
    <w:bookmarkEnd w:id="14"/>
    <w:p>
      <w:pPr>
        <w:jc w:val="both"/>
        <w:ind w:firstLine="648"/>
        <w:spacing w:after="0" w:line="290" w:lineRule="auto"/>
        <w:rPr>
          <w:sz w:val="20"/>
          <w:szCs w:val="20"/>
          <w:color w:val="auto"/>
        </w:rPr>
      </w:pPr>
      <w:r>
        <w:rPr>
          <w:rFonts w:ascii="Arial" w:cs="Arial" w:eastAsia="Arial" w:hAnsi="Arial"/>
          <w:sz w:val="16"/>
          <w:szCs w:val="16"/>
          <w:color w:val="auto"/>
        </w:rPr>
        <w:t>As events are rapidly changing, we do not know how long the COVID-19 pandemic and the measures that have been introduced to respond to it will disrupt our operations or the full extent of that disruption. While we have resumed normal business hours and operations in recent months, it is unknown whether we may have additional COVID-19 restrictions or health emergencies in the future. Should we experience such additional restrictions and business disruptions, we may experience unanticipated costs and operational uncertainty. We cannot predict how long the effects of COVID-19 and the efforts to contain it will continue to impact our business after the pandemic is under control. Governments could take additional restrictive measures to combat the pandemic that could further impact our business or the economy in the geographies in which we operate. It is also possible that the impact of the pandemic and response on our suppliers, customers and markets will persist for some time after governments ease their restrictions. These measures have negatively impacted, and may continue to impact, our business and financial condition as the responses to control COVID-19 continue.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limited operating history on which stockholders and potential investors can evaluate our business or base an investment decision.</w:t>
      </w:r>
    </w:p>
    <w:p>
      <w:pPr>
        <w:spacing w:after="0" w:line="24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business prospects are difficult to predict given our limited operating history and unproven business strategy. While we inherited in 2018 the business of our predecessor entity, BizRight LLC, an entity through which we acquired certain assets and assumed certain liabilities, we did not begin operations under iPower Inc. (formerly BZRTH Inc.) until our formation in April 2018. Thereafter, we launched our e-commerce platform, www.Zenhydro.com, where we sell our own in-house branded products, marketed under the iPower and Simple Deluxe brands, and provide distribution for hundreds of other brands manufactured by a number of third-party vendors. Accordingly, the operation of our e-commerce platform, branding and marketing of our own in-house branded products, and our relationships with third-party vendors and suppliers has been limited. If we are unable to effectively maintain our relationships with third-party vendors and suppliers, manage our e-commerce operations, as well as other sales platforms/distribution network, our business is unlikely to succeed. Our business should be viewed in light of these risks, challenges and uncertainties.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 estimated 90% of our sales are carried out through third-party platforms, including Amazon.com, Walmart, and eBay; any disruption in our selling efforts on such third party platforms could substantially disrupt our business.</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While we maintain our own website, </w:t>
      </w:r>
      <w:r>
        <w:rPr>
          <w:rFonts w:ascii="Arial" w:cs="Arial" w:eastAsia="Arial" w:hAnsi="Arial"/>
          <w:sz w:val="16"/>
          <w:szCs w:val="16"/>
          <w:b w:val="1"/>
          <w:bCs w:val="1"/>
          <w:i w:val="1"/>
          <w:iCs w:val="1"/>
          <w:color w:val="auto"/>
        </w:rPr>
        <w:t>www.Zenhydro.com</w:t>
      </w:r>
      <w:r>
        <w:rPr>
          <w:rFonts w:ascii="Arial" w:cs="Arial" w:eastAsia="Arial" w:hAnsi="Arial"/>
          <w:sz w:val="16"/>
          <w:szCs w:val="16"/>
          <w:color w:val="auto"/>
        </w:rPr>
        <w:t xml:space="preserve">, as well as our offline wholesale department, which together account for approximately 10% of our sales, a large percentage of our overall sales, or approximately 90%, occurred on third party platforms such as </w:t>
      </w:r>
      <w:r>
        <w:rPr>
          <w:rFonts w:ascii="Arial" w:cs="Arial" w:eastAsia="Arial" w:hAnsi="Arial"/>
          <w:sz w:val="16"/>
          <w:szCs w:val="16"/>
          <w:b w:val="1"/>
          <w:bCs w:val="1"/>
          <w:i w:val="1"/>
          <w:iCs w:val="1"/>
          <w:color w:val="auto"/>
        </w:rPr>
        <w:t>Amazon.com, Walmart, and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eBay</w:t>
      </w:r>
      <w:r>
        <w:rPr>
          <w:rFonts w:ascii="Arial" w:cs="Arial" w:eastAsia="Arial" w:hAnsi="Arial"/>
          <w:sz w:val="16"/>
          <w:szCs w:val="16"/>
          <w:color w:val="auto"/>
        </w:rPr>
        <w:t>. As such, should we experience a disruption in our sales on third party platforms, or should such third party platforms somehow come to rank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unfavorably or fail to list our products, this could negatively affect our overall sales and, thus, negatively impact our overall revenues.</w:t>
      </w:r>
    </w:p>
    <w:p>
      <w:pPr>
        <w:spacing w:after="0" w:line="1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Many of our suppliers are experiencing operational difficulties as a result of COVID-19, which in turn may have an adverse effect on our ability to provide, or timely provide, products to our customers. Any disruption in our supply chain, including an increase in shipping and/or storage costs, and the consistency and availability of our supply chain, could negatively affect our revenues and overall business strategy.</w:t>
      </w:r>
    </w:p>
    <w:p>
      <w:pPr>
        <w:spacing w:after="0" w:line="14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measures being taken to combat the pandemic are impacting our suppliers and may have a destabilizing affect on our supply chain. For example, some manufacturing plants have closed and work at other plants has been curtailed in many places where we source our products. Some of our suppliers have had to temporarily close a facility for disinfecting after employees tested positive for COVID-19, and others have faced staffing shortages from employees who are sick or apprehensive about coming to work. Further, the ability of our suppliers to ship their goods to us has become difficult as transportation networks and distribution facilities have had reduced capacity and have been dealing with changes in the types of goods being shipped, all of which have caused an increase in shipping costs and affected the availability of inventories to meet our sales demand.</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Thus, the difficulties experienced by our suppliers have resulted in longer purchase lead times, increased inventory build up as a result of shipping delays, along with increased ocean freight and storage costs. Nonetheless, we have continued to deliver products to our customers and the fact that we do not significantly depend on any one supplier has helped to lessen any disruptions. Nonetheless, should there be any further disruption caused by the pandemic, it may negatively affect our inventory and delay our ability to timely deliver merchandise to our stores and customers, which in turn will adversely affect our revenues and results of operations. If the difficulties experienced by our suppliers continues, we cannot guarantee that we will be able to locate alternative sources of supply for our merchandise on acceptable terms, or at all. If we are unable to purchase appropriate amounts of inventory, our business and results of operations may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Poor economic conditions could adversely affect our business.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Uncertain global economic conditions, particularly in light of the COVID-19 pandemic, could adversely affect our business. Negative global economic trends, such as decreased consumer and business spending, high unemployment levels and declining consumer and business confidence, pose challenges to our business and could result in declining revenues, profitability, and cash flow. Although we continue to devote significant resources to support our brands, unfavorable economic conditions may negatively affect demand for our products. Our most price-sensitive customers may trade down to lower priced products during challenging economic times or if current economic conditions worsen, while other customers may reduce discretionary spending during periods of economic uncertainty, which could reduce sales volumes of our products in favor of our competitors’ products or result in a shift in our product mix from higher margin to lower margin products.</w:t>
      </w:r>
    </w:p>
    <w:p>
      <w:pPr>
        <w:spacing w:after="0" w:line="17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rely heavily on our access to the China markets for the production of our products; should U.S. and China trade relations further deteriorate, and should the ongoing trade war continue, our supply chain, and thus our operations and revenues, could be subject to deleterious effects.</w:t>
      </w:r>
    </w:p>
    <w:p>
      <w:pPr>
        <w:spacing w:after="0" w:line="12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heavily reliant on manufacturers in China to produce many of the goods we sell in that approximately 84% of the products we purchased for resale during the fiscal year ending June 30, 2022 were manufactured in and imported from China. At present, we have 31 suppliers in the U.S. and more than 100 suppliers in China. However, of these, approximately 5% of the goods sourced in China were purchased through our newly acquired VIE, DHS. The U.S. and China have been involved in ongoing trade disputes, resulting in increased tariffs when such goods arrive in the U.S., among other things. Any changes in U.S. trade policy, or an escalation in the ongoing trade disputes, could trigger retaliatory actions, resulting in “trade wars” and an increase in costs for goods imported into the United States. Such actions could disrupt our supply chain. In addition, increased tariffs could, in turn, reduce customer demand for such products as such tariffs could cause us to have to increase the price at which we sell our goods, or it could result in trading partners limiting their trade with the United States. To date, iPower has absorbed some of the costs related to increased tariffs. However, should we be unable to continue to absorb such costs, or should we need to pass all such costs on to consumers, such increase could cut into our competitive advantage and our volume of sales activity in the United States could be materially reduced. Any such reduction may materially and adversely affect our sales and our business.</w:t>
      </w:r>
    </w:p>
    <w:p>
      <w:pPr>
        <w:spacing w:after="0" w:line="182" w:lineRule="exact"/>
        <w:rPr>
          <w:sz w:val="20"/>
          <w:szCs w:val="20"/>
          <w:color w:val="auto"/>
        </w:rPr>
      </w:pPr>
    </w:p>
    <w:p>
      <w:pPr>
        <w:jc w:val="both"/>
        <w:spacing w:after="0" w:line="327" w:lineRule="auto"/>
        <w:rPr>
          <w:sz w:val="20"/>
          <w:szCs w:val="20"/>
          <w:color w:val="auto"/>
        </w:rPr>
      </w:pPr>
      <w:r>
        <w:rPr>
          <w:rFonts w:ascii="Arial" w:cs="Arial" w:eastAsia="Arial" w:hAnsi="Arial"/>
          <w:sz w:val="15"/>
          <w:szCs w:val="15"/>
          <w:b w:val="1"/>
          <w:bCs w:val="1"/>
          <w:i w:val="1"/>
          <w:iCs w:val="1"/>
          <w:color w:val="auto"/>
        </w:rPr>
        <w:t>Our China-based subsidiaries, Dayourenzi (Shenzhen) Technology Co., Ltd. and Daheshou (Shenzhen) Information Technology Co., Ltd., through which we procure the majority of our inventory and overseas logistical support, are owned through contractual agreements, as required by the laws of the People’s Republic of China (“PRC”). As a result, the Chinese government could potentially exercise significant oversight and/or discretion over the business and operations of our China-based subsidiaries and could potentially intervene in or influence the operations of those businesses at any time.</w:t>
      </w:r>
    </w:p>
    <w:p>
      <w:pPr>
        <w:spacing w:after="0" w:line="14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recently acquired two China-based subsidiaries, Dayourenzi (Shenzhen) Technology Co., Ltd. (the WFOE”) and Daheshou (Shenzhen) Information Technology Co., Ltd. (the “Operating Company”). (The WFOE and the Operating Company together are referred to as our “China-based Subsidiaries”). The Operating Company has historically provided the bulk of our China-based procurement and logistical needs and we believe its acquisition will serve to streamline our procurement of goods and shipping, as well as reduce costs by bringing these services in house. Our China-based subsidiaries are owned by us through contractual arrangements with our Hong Kong subsidiary, Fly Elephant Limited, and its parent company, Anivia Limited, a British Virgin Islands company. In addition, our China-based subsidiaries may be at risk of influence by the PRC government as they are subject to the laws, rules and regulations of the PRC, which can be complex and evolve rapidly. The PRC government has the power to exercise significant oversight and discretion over the conduct of our China-based Subsidiaries, and the regulations to which they are subject may change rapidly and with little notice to us or our shareholders. As a result, the application, interpretation, and enforcement of new and existing laws and regulations in the PRC are often uncertain. In addition, these laws and regulations may be interpreted and applied inconsistently by different agencies or authorities, and inconsistently with our own policies and practices. New laws, regulations and other government directives in the PRC may also be costly to comply with, and such compliance or any associated inquiries or investigations or any other government actions may, as regards our China-based subsidiaries: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●Delay or impede development,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●Result in negative publicity or increase our operating costs,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●Require significant management time and attention, and</w:t>
      </w:r>
    </w:p>
    <w:p>
      <w:pPr>
        <w:spacing w:after="0" w:line="225" w:lineRule="exact"/>
        <w:rPr>
          <w:sz w:val="20"/>
          <w:szCs w:val="20"/>
          <w:color w:val="auto"/>
        </w:rPr>
      </w:pPr>
    </w:p>
    <w:p>
      <w:pPr>
        <w:ind w:left="240" w:hanging="120"/>
        <w:spacing w:after="0" w:line="277" w:lineRule="auto"/>
        <w:rPr>
          <w:sz w:val="20"/>
          <w:szCs w:val="20"/>
          <w:color w:val="auto"/>
        </w:rPr>
      </w:pPr>
      <w:r>
        <w:rPr>
          <w:rFonts w:ascii="Arial" w:cs="Arial" w:eastAsia="Arial" w:hAnsi="Arial"/>
          <w:sz w:val="18"/>
          <w:szCs w:val="18"/>
          <w:color w:val="auto"/>
        </w:rPr>
        <w:t>●Subject us to remedies, administrative penalties and even criminal liabilities that may harm our business, including fines assessed for our current or historical operations, or demands or orders that we modify or even cease our China-based business practices.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6" w:name="page17"/>
    <w:bookmarkEnd w:id="16"/>
    <w:p>
      <w:pPr>
        <w:jc w:val="both"/>
        <w:ind w:firstLine="648"/>
        <w:spacing w:after="0" w:line="257" w:lineRule="auto"/>
        <w:rPr>
          <w:sz w:val="20"/>
          <w:szCs w:val="20"/>
          <w:color w:val="auto"/>
        </w:rPr>
      </w:pPr>
      <w:r>
        <w:rPr>
          <w:rFonts w:ascii="Arial" w:cs="Arial" w:eastAsia="Arial" w:hAnsi="Arial"/>
          <w:sz w:val="18"/>
          <w:szCs w:val="18"/>
          <w:color w:val="auto"/>
        </w:rPr>
        <w:t>The promulgation of new laws or regulations, or the new interpretation of existing laws and regulations, could restrict or otherwise unfavorably impact the ability or manner in which we conduct the business of our China based subsidiaries and could require us to change certain aspects of their business to ensure compliance, which could delay our procurement of goods, reduce revenues, increase costs, or subject us to additional liabilities. To the extent any new or more stringent measures are required to be implemented in the PRC, our business, financial condition, and results of operations could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that could prohibit us from developing or increasing our customer base.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specialty gardening and hydroponic product industry is highly competitive. We may compete with companies that have greater capital resources and facilities. More established gardening companies with much greater financial resources which do not currently compete with us may be able to easily adapt their existing operations to sell hydroponic growing equipment. Our competitors may also introduce new hydroponic growing equipment, and manufacturers may sell equipment direct to consumers. Due to this competition, there is no assurance that we will not encounter difficulties in increasing revenues and maintaining and/or increasing market share. In addition, increased competition may lead to reduced prices and/or margins for products we sell.</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need additional capital to fund the expansion of our operations, we may not be able to obtain sufficient capital on terms favorable to us and may be forced to limit the expansion of our operations.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our growth strategies, we may experience increased capital needs and, accordingly, we may not have sufficient capital to fund the future expansion of our operations without additional capital investments. There can be no assurance that additional capital will be available to us on terms favorable to us or at all. If we cannot obtain sufficient capital to fund our expansion, we may be forced to limit the scope of our acquisitions and growth prospects.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depends substantially on the continuing efforts of our executive officers and our business may be severely disrupted if we lose their services.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future success depends substantially on the continued services of our executive officers, especially our Chairman, Chief Executive Officer and President, Chenlong Tan. We do not presently maintain key man life insurance on any of our executive officers and directors, although we intend to obtain such insurance in the near future. If one or more of our executive officers are unable or unwilling to continue in their present positions, we may not be able to replace them readily, if at all. The loss of any of our executive officers could cause our business to be disrupted, and we may incur additional and unforeseen expenses to recruit and retain new officers.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not successful in attracting and retaining highly qualified personnel, we may not be able to successfully implement our business strategy.</w:t>
      </w:r>
    </w:p>
    <w:p>
      <w:pPr>
        <w:spacing w:after="0" w:line="24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ability to compete in the highly competitive hydroponics and gardening industry depends in large part upon our ability to attract highly qualified managerial and sales personnel. In order to induce valuable employees to come and work for us and to remain with us, we may provide employees with stock options, restricted stock, restricted stock units that vest over time. The value to employees of such incentive stock and stock options that vest over time will be significantly affected by movements in our stock price that we will not be able to control and may at any time be insufficient to counteract more lucrative offers our employees may receive from other companies. Our success also depends on our ability to continue to attract, retain and motivate highly skilled junior, mid-level and senior personnel. Certain of our executive officers have employment agreements but these agreements do not guarantee us the continued services of such employees. Further, we do not currently offer any health care or retirement benefits to any of our employees, and many of our more established competitors may offer more competitive compensation packages for the kind of personnel that is critical to our company’s survival and success. If we have difficulty identifying, attracting, hiring, training and retaining such qualified personnel, or incur significant costs in order to do so, our business and financial results could be negatively impacted. For example, offering competitive compensation packages may significantly increase our operating expenses and negatively impact our gross profits. Further, the loss of our executive officers or our other key personnel, particularly with little or no notice, could cause delays on business developments and projects and could have an adverse impact on our customers and industry relationships, our business, operating results or financial condition.</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b w:val="1"/>
          <w:bCs w:val="1"/>
          <w:i w:val="1"/>
          <w:iCs w:val="1"/>
          <w:color w:val="auto"/>
        </w:rPr>
        <w:t>In order to increase our sales and marketing infrastructure, we will need to grow the size of our organization, and we may experience difficulties in managing this growth.</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we continue to work to increase our presence across the hydroponics market, we will need to expand the size of our employee base for managerial, operational, sales, marketing, financial, human resources and other areas of specialization. Future growth would impose significant added responsibilities on members of management, including the need to identify, recruit, maintain, motivate, and integrate additional employees. In addition, our management may have to divert a disproportionate amount of its attention away from our day-to-day activities and devote a substantial amount of time to managing these growth activities. Our future financial performance and our ability to continue to grow our operation and effectively compete in the hydroponics industry will depend in part on our ability to effectively manage any future growth.</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Certain of our products may be purchased for use in the cannabis industry and/or be subject to varying, inconsistent, and rapidly changing laws, regulations, administrative practices, enforcement approaches, judicial interpretations, and consumer perceptions.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hydroponic gardening products are multi-purpose products designed and intended for growing a wide range of plants and are generally purchased from retailers by end users who may grow any variety of vegetables and plants, including cannabis. As such, we sell hydroponic gardening products that end users may purchase for use in a variety of industries or segments, including the growing of cannabis. The cannabis industry is subject to varying, inconsistent and rapidly changing laws, regulations, administrative practices, enforcement approaches, judicial interpretations and consumer perceptions. For example, certain countries and 36 U.S. states have adopted frameworks that authorize, regulate and tax the cultivation, processing, sale and use of cannabis for medicinal and/or non-medicinal use, while the U.S. Controlled Substances Act and the laws of certain U.S. states prohibit growing cannabis.</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act solely as a supplier and distributor of hydroponics equipment and supplies, and at no time do we engage in the cultivation, sale, distribution or dispensing of cannabis or any cannabis products or accessories. In addition, we believe that none of our hydroponic equipment and supplies or any other products we sell would be considered paraphernalia under federal drug paraphernalia laws. Similar to Amazon and eBay, we do not advertise or promote our products on our website for use in growing cannabis, nor do we screen or otherwise track how our customers use our products – whether it is to grow flowers, fruits, vegetables or cannabis.</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unaware of any threatened or actual law enforcement activity against manufacturers, distributors or retailers of hydroponic supplies that could potentially be used by participants in the cannabis industry, and do not believe that our operations directly or indirectly violate aid and abet violations of the Controlled Substances Act (including Section 856) or other federal laws (including conspiracy laws, money laundering laws, or RICO. Nevertheless, a theoretical risk exists that our activities could be deemed to be facilitating the selling or distribution of cannabis in violation of the Federal Controlled Substances Act, or to constitute aiding or abetting, or being an accessory to, a violation of that Act. Federal authorities have not focused their resources on such tangential or secondary violations of the Act, nor have they threatened to do so, with respect to the sale of equipment that might be used by cannabis gardeners, or with respect to any supplies marketed to participants in the emerging medical cannabis industry. We are unaware of such a broad application of the Controlled Substances Act by federal authorities.</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the federal government were to change its practices, or were to expend its resources attacking providers of equipment that could be usable by participants in the medical or recreational cannabis industry, such action could have a materially adverse effect on our operations, our customers, or the sale of our products. In addition, we could be faced with or required to expend substantial resources in an effort to comply with new and changing laws and regulations. Such necessary capital expenditures could negatively affect our earnings and competitive position.</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Although the demand for our products may be negatively impacted depending on how laws, regulations, administrative practices, enforcement approaches, judicial interpretations and consumer perceptions develop, we cannot reasonably predict the nature of such developments or the effect, if any, that such developments could have on our business.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Continued federal intervention in certain segments of the cannabis industry may have a negative impact on us.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Although we expect minimal impact on the Company from any federal government crackdown on cannabis providers, a disruption to the cannabis industry could cause some potential customers to be more reluctant to invest in growing equipment, including equipment we sell. Moreover, the federal government’s tactics may change or have unforeseen effects, which could be detrimental to our business.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Acquisitions, other strategic alliances, and investments could result in operating difficulties, dilution, and other harmful consequences that may adversely impact our business and results of operations.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Acquisitions are an important element of our overall corporate development strategy and use of capital, and such transactions could be material to our financial condition and results of operations. We expect to continue to evaluate and enter into discussions regarding a wide array of potential acquisition targets and strategic transactions. The areas where we may face risks in connection with such acquisitions include, but are not limited to, the failure to successfully further develop the acquired business, the implementation or remediation of controls, procedures and policies at the acquired business, the transition of employees, operations, users and customers onto our existing platforms, and cultural challenges associated with integrating employees from the acquired business into our organization, and the continued retention of such employees going forward. Our failure to address these risks or other problems encountered in connection with our acquisitions could cause us to fail to realize the anticipated benefits of such acquisitions, investments or alliances, incur unanticipated liabilities, and harm our business generally.</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acquisitions could also result in dilutive issuances of our equity securities, the incurrence of debt, contingent liabilities or amortization expenses, or impairment of goodwill and purchased long-lived assets, and restructuring charges, any of which could harm our financial condition or results of operations and cash flows. In addition, the anticipated benefits and synergies of many of our acquisitions may not materialize.</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ongoing investment in and development of our new in-house branded product line is inherently risky and could disrupt our ongoing businesses.</w:t>
      </w:r>
    </w:p>
    <w:p>
      <w:pPr>
        <w:spacing w:after="0" w:line="26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invested and expect to continue to invest in our own in-house branded product lines. Such endeavors may involve significant risks and uncertainties, including insufficient revenues to offset liabilities assumed and expenses associated with this new investment, inadequate return of capital on our investment, and unidentified issues not discovered in our assessment of such strategy and offerings. Because this venture is inherently risky, no assurance can be given that such strategy and offerings will be successful and will not adversely affect our reputation, financial condition and operating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effectively execute our e-commerce business, our reputation and operating results may be harmed.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sell certain of our products over the internet through our e-commerce platform, www.Zenhydro.com. The success of our e-commerce business depends on our investment in this platform, consumer preferences and buying trends relating to e-commerce, and our ability to both maintain the continuous operation of our online store and our fulfillment operations and provide a shopping experience that will generate orders and return visits to our online store.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9" w:name="page20"/>
    <w:bookmarkEnd w:id="19"/>
    <w:p>
      <w:pPr>
        <w:jc w:val="both"/>
        <w:ind w:firstLine="648"/>
        <w:spacing w:after="0" w:line="291" w:lineRule="auto"/>
        <w:rPr>
          <w:sz w:val="20"/>
          <w:szCs w:val="20"/>
          <w:color w:val="auto"/>
        </w:rPr>
      </w:pPr>
      <w:r>
        <w:rPr>
          <w:rFonts w:ascii="Arial" w:cs="Arial" w:eastAsia="Arial" w:hAnsi="Arial"/>
          <w:sz w:val="16"/>
          <w:szCs w:val="16"/>
          <w:color w:val="auto"/>
        </w:rPr>
        <w:t>We are also vulnerable to certain additional risks and uncertainties associated with our e-commerce business, including: changes in required technology interfaces; website downtime and other technical failures; costs and technical issues associated with website software, systems and technology investments and upgrades; data and system security; system failures, disruptions and breaches and the costs to address and remedy such failures, disruptions or breaches; computer viruses; and changes in and compliance with applicable federal and state regulations. In addition, our efforts to remain competitive with technology trends, including the use of new or improved technology, creative user interfaces and other e-commerce marketing tools such as paid search and mobile applications, among others, may increase our costs and may not increase sales or attract consumers. Our failure to successfully respond to these risks and uncertainties might adversely affect the sales of our e-commerce business, as well as damage our reputation and brands.</w:t>
      </w:r>
    </w:p>
    <w:p>
      <w:pPr>
        <w:spacing w:after="0" w:line="16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addition, the success of our e-commerce business and the satisfaction of our customers depends on their timely receipt of our products and their ability to pick up their desired products from one of our garden centers. The efficient delivery and/or pick up of our products requires that our garden and distribution centers have adequate capacity to support the current level of e-commerce operations and any anticipated increased levels that may occur as a result of the growth of our e-commerce business. If we encounter difficulties with our garden and distribution centers, or if any garden and distribution centers shut down for any reason, including as a result of fire or other natural disaster, or pursuant to expanded stay-at-home orders or other restrictions due to the current COVID-19 pandemic, we could face shortages of inventory, which would result in our inability to properly our online store. Such a situation could cause us to incur significantly higher costs and lead to longer lead times associated with distributing products to our customers, which could cause us to lose customers. Experiencing any of these issues could have a material adverse effect on our business and harm our reputation.</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 substantial proportion of our sales occur on Amazon and, as such, should our Company experience any negative actions by Amazon, our sales could be significantly affected.</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 significant proportion of our sales occur on the Amazon.com platform. For the years ended June 30, 2022 and 2021, Amazon Vendor and Amazon Seller customers accounted for 88% and 80% of the Company's total revenues, respectively, and as of June 30, 2022 and 2021, accounts receivable from Amazon Vendor and Amazon Seller accounted for 94% and 98% of the Company’s total accounts receivable, respectively. Any disruption in our sales or accessibility to Amazon, or any negative action taken by Amazon related to our sales, could negatively affect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reliance on third-party manufacturers could harm our business.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rely on third parties to manufacture certain of our products. This reliance generates a number of risks, including decreased control over the production process, which could lead to production delays or interruptions and inferior product quality control. In addition, performance problems at these third-party manufacturers could lead to cost overruns, shortages or other problems, which could increase our costs of production or result in delivery delays to our customers.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if one or more of our third-party manufacturers becomes insolvent or unwilling to continue to manufacture products of acceptable quality, at acceptable costs and in a timely manner, our ability to deliver products to our retail customers could be significantly impaired. Substitute manufacturers may not be available or, if available, may be unwilling or unable to manufacture the products we need on acceptable terms. Moreover, if customer demand for our products increases, we may be unable to secure sufficient additional capacity from our current third-party manufacturers, or others, on commercially reasonable terms, or at all.</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b w:val="1"/>
          <w:bCs w:val="1"/>
          <w:i w:val="1"/>
          <w:iCs w:val="1"/>
          <w:color w:val="auto"/>
        </w:rPr>
        <w:t>Our reliance on a limited base of suppliers for certain products, such as light ballasts, may result in disruptions to our business and adversely affect our financial results.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rely on a limited number of suppliers for certain of our hydroponic products and other supplies. For the years ended June 30, 2022 and 2021, one supplier accounted for 18% and three suppliers accounted for 38% (18%, 10% and 10%) of the Company's total purchases, respectively. Such reliance on a limited number of suppliers may increase our risk of experiencing disruptions in our business. As we do not have any long-term supply agreements, in the event we are unable to maintain supplier arrangements and relationships, if we are unable to contract with suppliers at the quantity and quality levels needed for our business, if any of our key suppliers becomes insolvent or experience other financial distress or if any of our key suppliers is negatively impacted by COVID-19, including with respect to staffing and shipping of products, we could experience disruptions in our supply chain, which could have a material adverse effect on our financial condition, results of operations and cash flows.</w:t>
      </w:r>
    </w:p>
    <w:p>
      <w:pPr>
        <w:spacing w:after="0" w:line="17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Although we continue to implement risk-mitigation strategies for single-source suppliers, we rely on a limited number of suppliers for certain of our products. If we are unable to maintain supplier arrangements and relationships, if we are unable to contract with suppliers at the quantity and quality levels needed for our business, or if any of our key suppliers becomes insolvent or experience other financial distress, we could experience disruptions in production, which could have a material adverse effect on our financial condition, results of operations and cash flows.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significant interruption in the operation of our or our suppliers’ facilities could impact our capacity to produce products and service our customers, which could adversely affect revenues and earnings.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Operations at our and our suppliers’ facilities are subject to disruption for a variety of reasons, including fire, flooding or other natural disasters, disease outbreaks or pandemics, acts of war, terrorism, government shut-downs and work stoppages. A significant interruption in the operation of our or our suppliers’ facilities, especially for those products manufactured at a limited number of facilities, such as fertilizer and liquid products, could significantly impact our capacity to sell products and service our customers in a timely manner, which could have a material adverse effect on our customer relationships, revenues, earnings and financial position.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suppliers are unable to source raw materials in sufficient quantities, on a timely basis, and at acceptable costs, our ability to sell our products may be harmed.</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manufacture of some of our products is complex and requires precise high-quality manufacturing that is difficult to achieve. We have in the past, and may in the future, experience difficulties in manufacturing our products on a timely basis and in sufficient quantities. These difficulties have primarily related to difficulties associated with ramping up production of newly introduced products and may result in increased delivery lead-times and increased costs of manufacturing these products. Our failure to achieve and maintain the required high manufacturing standards could result in further delays or failures in product testing or delivery, cost overruns, product recalls or withdrawals, increased warranty costs or other problems that could harm our business and prospects.</w:t>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determining the required quantities of our products and the manufacturing schedule, we must make significant judgments and estimates based on historical experience, inventory levels, current market trends and other related factors. Because of the inherent nature of estimates, there could be significant differences between our estimates and the actual amounts of products we require, which could harm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i w:val="1"/>
          <w:iCs w:val="1"/>
          <w:color w:val="auto"/>
        </w:rPr>
        <w:t>Disruptions in availability or increases in the prices of raw materials sourced by suppliers could adversely affect our results of operations.</w:t>
      </w:r>
    </w:p>
    <w:p>
      <w:pPr>
        <w:spacing w:after="0" w:line="23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source many of our product components from outside of the United States. The general availability and price of those components can be affected by numerous forces beyond our control, including political instability, the conflict between Russia and Ukraine, trade restrictions and other government regulations, duties and tariffs, price controls, changes in currency exchange rates and weather. A significant disruption in the availability of any of our key product components could negatively impact our business. In addition, increases in the prices of key commodities and other raw materials could adversely affect our ability to manage our cost structure. Market conditions may limit our ability to raise selling prices to offset increases in our raw material costs. Our proprietary technologies can limit our ability to locate or utilize alternative inputs for certain products. For certain inputs, new sources of supply may have to be qualified under regulatory standards, which can require additional investment and delay bringing a product to market.</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suppliers that currently, or in the future, sell directly to the retail market in which we conduct our current or future business, enhance these efforts and cease or decrease their sales through us, our ability to sell certain products could be harmed.</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distribution and sales and marketing capabilities provide significant value to our suppliers. Distributed brand suppliers sell through us in order to access thousands of retail and commercial customers across the United States with short order lead times, no minimum order quantity on individual items, free or minimal freight expense and trade credit terms. Based on our knowledge and communication with our suppliers, we believe some of our suppliers sell directly to the retail market. If these suppliers were to cease working with us or proceed to enhance their direct-to-customer efforts, our product offerings, reputation, operation and business could be materially adversely affected.</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operations may be impaired if our information technology systems fail to perform adequately or if we are the subject of a data breach or cyber-attack.</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rely on information technology systems to conduct our business, including communicating with employees and our key commercial customers, ordering and managing materials from suppliers, shipping products to customers and analyzing and reporting results of operations. While we have taken steps to ensure the security of our information technology systems, our systems may nevertheless be vulnerable to computer viruses, security breaches and other disruptions from unauthorized users. If our information technology systems are damaged or cease to function properly for an extended period of time, whether as a result of a significant cyber incident or otherwise, our ability to communicate internally as well as with our retail customers could be significantly impaired, which may adversely impact our business.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Additionally, in the normal course of our business, we collect, store, and transmit proprietary and confidential information regarding our customers, employees, suppliers and others, including personal information. An operational failure or breach of security from increasingly sophisticated cyber threats could lead to loss, misuse or unauthorized disclosure of this information about our employees or customers, which may result in regulatory or other legal proceedings, and have a material adverse effect on our business and reputation. We also may not have the resources or technical sophistication to anticipate or prevent rapidly evolving types of cyber-attacks. Any such attacks or precautionary measures taken to prevent anticipated attacks may result in increasing costs, including costs for additional technologies, training, and third-party consultants. The losses incurred from a breach of data security and operational failures as well as the precautionary measures required to address this evolving risk may adversely impact our financial condition, results of operations and cash flows.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collect, process, store, use and share information collected from or about purchasers and users of our website and products. The collection and use of personal information, and analysis and sharing of user data and unique identifiers to inform advertising subject us to legislative and regulatory burdens, may expose us to liability, and our actual or perceived failure to adequately protect consumer data could harm our brand, our reputation in the marketplace and our business.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 wide variety of provincial, state, national, foreign, and international laws and regulations apply to the collection, use, retention, protection, disclosure, transfer, and other processing of personal information. These privacy and data protection-related laws and regulations are evolving, extensive, and complex. Compliance with these laws and regulations can be costly and can delay or impede the development and offering of new products. In addition, the interpretation and application of privacy and data protection-related laws in some cases is uncertain, and our legal and regulatory obligations are subject to frequent changes, including the potential for various regulator or other governmental bodies to enact new or additional laws or regulations, to issue rulings that invalidate prior laws or regulations, or to increase penalties.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2" w:name="page23"/>
    <w:bookmarkEnd w:id="22"/>
    <w:p>
      <w:pPr>
        <w:jc w:val="both"/>
        <w:ind w:firstLine="648"/>
        <w:spacing w:after="0" w:line="259" w:lineRule="auto"/>
        <w:rPr>
          <w:sz w:val="20"/>
          <w:szCs w:val="20"/>
          <w:color w:val="auto"/>
        </w:rPr>
      </w:pPr>
      <w:r>
        <w:rPr>
          <w:rFonts w:ascii="Arial" w:cs="Arial" w:eastAsia="Arial" w:hAnsi="Arial"/>
          <w:sz w:val="18"/>
          <w:szCs w:val="18"/>
          <w:color w:val="auto"/>
        </w:rPr>
        <w:t>We engage in interest-based advertising on our e-commerce website. U.S. and foreign governments have enacted or are considering legislation related to digital advertising and we expect to see an increase in legislation and regulation related to digital advertising, the collection and use of user data and unique device identifiers, such as IP address, and other data protection and privacy regulation. Such laws and legislation could affect our costs of doing business.</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Further, while we strive to publish and prominently display privacy policies that are accurate, comprehensive, and fully implemented, we cannot assure you that our privacy policies and other statements regarding our practices will be sufficient to protect us from liability or adverse publicity relating to the privacy and security of information about consumers or their devices. Any failure or perceived failure by us to comply with our privacy policies, our privacy-related obligations to consumers or other third parties, or our privacy-related legal obligations, including laws and regulations regulating privacy, data security, or consumer protection, or any compromise of security that results in the unauthorized release or transfer of personal information, may result in proceedings or actions against us, legal liability, governmental enforcement actions, and litigation. Furthermore, any such proceedings or actions, or public statements against us by consumer advocacy groups or others, could cause our customers to lose trust in us, which could have an adverse effect on our business.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if third parties we work with, such as customers, advertisers, vendors or developers, violate our contractual limitations on data use or sharing, applicable laws or our policies, such violations may also put consumers’ information at risk and could in turn have an adverse effect on our business. If third parties improperly obtain and use the information from or about our consumers or their devices, we may be required to expend significant resources to resolve these problems.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also are subject to certain contractual obligations to indemnify and hold harmless advertisers, marketing technology companies and other users of our data from the costs or consequences of noncompliance with privacy-related laws, regulations, self-regulatory requirements or other legal obligations, or inadvertent or unauthorized use or disclosure of data that we store or handle as part of providing our products.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adequately protect our intellectual property and other proprietary rights that are material to our business.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ability to compete effectively depends in part on intellectual property rights we own or license, particularly our registered brand names. We have not sought to register every one of our marks either in the United States or other countries in which such mark is used. Furthermore, because of the differences in foreign intellectual property or proprietary rights laws, we may not receive the same protection in other countries as we would in the United States with respect to the registered brand names we hold. If we are unable to protect our intellectual property, proprietary information and/or brand names, we could suffer a material adverse effect on our business, financial condition and results of operations. In addition, we may be required to license additional intellectual property and technology from third parties, which may be expensive.</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Litigation may be necessary to enforce our intellectual property rights and protect our proprietary information, or to defend against claims by third parties that our products or services infringe their intellectual property rights. Any litigation or claims brought by or against us could result in substantial costs and diversion of our resources. A successful claim of intellectual property infringement against us, or any other successful challenge to the use of our intellectual property, could subject us to damages or prevent us from providing certain products or services, or using certain of our recognized brand names, which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3" w:name="page24"/>
    <w:bookmarkEnd w:id="23"/>
    <w:p>
      <w:pPr>
        <w:jc w:val="both"/>
        <w:spacing w:after="0" w:line="263" w:lineRule="auto"/>
        <w:rPr>
          <w:sz w:val="20"/>
          <w:szCs w:val="20"/>
          <w:color w:val="auto"/>
        </w:rPr>
      </w:pPr>
      <w:r>
        <w:rPr>
          <w:rFonts w:ascii="Arial" w:cs="Arial" w:eastAsia="Arial" w:hAnsi="Arial"/>
          <w:sz w:val="18"/>
          <w:szCs w:val="18"/>
          <w:b w:val="1"/>
          <w:bCs w:val="1"/>
          <w:i w:val="1"/>
          <w:iCs w:val="1"/>
          <w:color w:val="auto"/>
        </w:rPr>
        <w:t>We may not be able to develop, license or acquire new products, enhance the capabilities of our existing products to keep pace with rapidly changing technology and customer requirements, or successfully manage the transition to new product offerings, any of which could have a material adverse effect on our business, financial condition and results of operations.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success depends on our ability to develop, license or acquire and commercialize additional products and to develop new applications for our technologies in existing and new markets, while improving the performance and cost-effectiveness of our existing products, in each case in ways that address current and anticipated customer requirements. We intend to develop and commercialize additional products through our research and development program and by licensing or acquiring additional products and technologies from third parties. Such success is dependent upon several factors, including functionality, competitive pricing, ease of use, the safety and efficacy of our products and our ability to identify, select and acquire the rights to products and technologies on terms that are acceptable to us.</w:t>
      </w:r>
    </w:p>
    <w:p>
      <w:pPr>
        <w:spacing w:after="0" w:line="19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hydroponics industry is characterized by rapid technological change and innovation. New technologies, techniques or products may emerge that might offer better combinations of price and performance or better address customer requirements as compared to our current or future products, as well as those products of third-party vendors that we make available for sale. Competitors who have greater financial, marketing and sales resources than we do may be able to respond more quickly and effectively than we can to new or changing opportunities, technologies, standards or customer requirements. Any new product we identify for internal development, licensing or acquisition may require additional development efforts prior to commercial sale. Due to the significant lead time and complexity involved in bringing a new product to the market, we are required to make a number of assumptions and estimates regarding the commercial feasibility of a new product. These assumptions and estimates may prove incorrect, resulting in our introduction of a product that is not competitive at the time of launch. We anticipate that we will face increased competition in the future as existing companies and competitors develop new or improved products and as new companies enter the market with new technologies and sales mechanisms which we may be unable to adopt or offer for sale. Our ability to mitigate downward pressure on the prices of the products that we offer for sale will be dependent on our ability to maintain and/or increase the value we offer to suppliers, vendors, strategic partners, and consumers. All new products are prone to risks of failure inherent in hydroponic technology development. In addition, we cannot assure you that any such products that we develop or offer for sale will be manufactured or produced economically, successfully commercialized or widely accepted in the marketplace. The expenses or losses associated with unsuccessful product development or launch activities, or a lack of market acceptance of new products, could adversely affect our business, financial condition, and results of operation.</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ability to attract new customers and increase revenue from existing customers depends in large part on our ability to enhance and improve our own products, maintain relationships with other vendors and suppliers, and to make compelling new products available for sale through our enterprise. Any new product that we develop or offer for sale may not be introduced in a timely or cost-effective manner, may contain defects or may not achieve the marketplace acceptance necessary to generate significant revenue. If we are unable to successfully develop, license or acquire new products to make available for sale, enhance our existing inventory offerings to meet customer requirements, or otherwise gain market acceptance, our business and financial condition and results of operation would be harmed.</w:t>
      </w:r>
    </w:p>
    <w:p>
      <w:pPr>
        <w:spacing w:after="0" w:line="192" w:lineRule="exact"/>
        <w:rPr>
          <w:sz w:val="20"/>
          <w:szCs w:val="20"/>
          <w:color w:val="auto"/>
        </w:rPr>
      </w:pPr>
    </w:p>
    <w:p>
      <w:pPr>
        <w:jc w:val="both"/>
        <w:ind w:right="20"/>
        <w:spacing w:after="0" w:line="340" w:lineRule="auto"/>
        <w:rPr>
          <w:sz w:val="20"/>
          <w:szCs w:val="20"/>
          <w:color w:val="auto"/>
        </w:rPr>
      </w:pPr>
      <w:r>
        <w:rPr>
          <w:rFonts w:ascii="Arial" w:cs="Arial" w:eastAsia="Arial" w:hAnsi="Arial"/>
          <w:sz w:val="15"/>
          <w:szCs w:val="15"/>
          <w:b w:val="1"/>
          <w:bCs w:val="1"/>
          <w:i w:val="1"/>
          <w:iCs w:val="1"/>
          <w:color w:val="auto"/>
        </w:rPr>
        <w:t>We have identified certain material weaknesses in our internal control over financial reporting and may experience material weaknesses in the future or otherwise fail to maintain an effective system of internal controls in the future, as a result of which, we may not be able to accurately report our financial condition or results of operations which may adversely affect investor confidence in us and, as a result, the value of our common stock.</w:t>
      </w:r>
    </w:p>
    <w:p>
      <w:pPr>
        <w:spacing w:after="0" w:line="13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If we cannot maintain effective controls and reliable financial reports, our business and operating results could be harmed. Our management has conducted an evaluation of the effectiveness of our internal controls over financial reporting and concluded that our internal controls over financial reporting were not effective because, among other things, (i) we did not maintain a sufficient complement of personnel with an appropriate degree of technical knowledge commensurate with the Company’s accounting and reporting requirements, and (ii) our controls related to financial statements closing process were not adequately designed or appropriately implemented to identify material misstatements in our financial reporting on a timely basis.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4" w:name="page25"/>
    <w:bookmarkEnd w:id="24"/>
    <w:p>
      <w:pPr>
        <w:jc w:val="both"/>
        <w:ind w:firstLine="648"/>
        <w:spacing w:after="0" w:line="277" w:lineRule="auto"/>
        <w:rPr>
          <w:sz w:val="20"/>
          <w:szCs w:val="20"/>
          <w:color w:val="auto"/>
        </w:rPr>
      </w:pPr>
      <w:r>
        <w:rPr>
          <w:rFonts w:ascii="Arial" w:cs="Arial" w:eastAsia="Arial" w:hAnsi="Arial"/>
          <w:sz w:val="18"/>
          <w:szCs w:val="18"/>
          <w:color w:val="auto"/>
        </w:rPr>
        <w:t>Management has evaluated remediation plans for the deficiency and has implemented changes to address the material weakness identified, including hiring additional accountants and consultants and implementing controls and procedures over financial reporting process.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The effectiveness of our controls and procedures may be limited by a variety of factors, including:</w:t>
      </w:r>
    </w:p>
    <w:p>
      <w:pPr>
        <w:spacing w:after="0" w:line="184"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faulty human judgment and simple errors, omissions or mistakes;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fraudulent action of an individual or collusion of two or more people;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inappropriate management override of procedures;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possibility that any enhancements to controls and procedures may still not be adequate to assure timely and accurate financial control.</w:t>
      </w:r>
    </w:p>
    <w:p>
      <w:pPr>
        <w:spacing w:after="0" w:line="23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management and independent registered public accounting firm has not performed an evaluation of our internal control over financial reporting during any period in accordance with the provisions of Sarbanes-Oxley Act. Had we performed an evaluation and had our independent registered public accounting firm performed an audit of our internal control over financial reporting in accordance with the provisions of Sarbanes-Oxley Act, additional control deficiencies amounting to material weaknesses may have been identified. If we fail to remedy any material weakness, our financial statements may be inaccurate, our access to the capital markets may be restricted and the trading price of our common stock may suffer.</w:t>
      </w:r>
    </w:p>
    <w:p>
      <w:pPr>
        <w:spacing w:after="0" w:line="16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Prior to our initial public offering in 2021, we unilaterally terminated an engagement agreement with Boustead Securities LLC and may be subject to litigation or arbitration in the event we are not able to come to agreement on amounts Boustead deems itself to be owed under such agreement.</w:t>
      </w:r>
    </w:p>
    <w:p>
      <w:pPr>
        <w:spacing w:after="0" w:line="12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Pursuant to an engagement agreement, dated and effective August 31, 2020 (the “Engagement Agreement”), with Boustead Securities LLC (“Boustead”), we engaged Boustead to act as our exclusive placement agent for private placements of our securities and as a potential underwriter for our initial public offering. The Engagement Agreement set forth certain terms and conditions, including that in the event the Company completed a private placement or a public offering of its securities, Boustead would receive (i) cash compensation equal to 7% of the offering proceeds, plus (ii) a non-accountable expense allowance equal to 1% of the gross amount to be disbursed to the Company, plus (iii) warrants to purchase the equivalent of 7% of the stock issued in such offering. The term of the Engagement Agreement was the later to occur of (i) 18 months from the date Boustead received an executed copy of the Engagement Agreement from the Company or (ii) 12 months from the completion date of the initial public offering or (iii) the mutual written agreement of the Company and Boustead. Upon the termination or expiration of the Engagement Agreement, the Company was required to pay to Boustead any out-of-pocket expenses incurred up to the date thereof. In addition, upon termination or expiration of the Engagement Agreement, Boustead was entitled to a success fee, as set forth in the Engagement Agreement, if the Company completed a sale, merger, acquisition, joint venture, strategic alliance, or other similar agreement with a party, including the pre-IPO and IPO investors, or which became aware of the Company or which became known to the Company prior to such termination or expiration, during the twelve (12) month period following the termination or expiration of the Engagement Agreement. On February 28, 2021 we informed Boustead that we were terminating the Engagement Agreement and any continuing obligations we may have had under its terms. On April 15, 2021, we provided formal written notice to Boustead of our termination of the Engagement Agreement and all obligations thereunder, effective immediately. On April 16, 2021, counsel to Boustead advised us that they believed our termination of the Engagement Agreement was improper and threatened to seek immediate judicial intervention to obtain injunctive relief and damages. On April 21, 2021, our special litigation counsel responded to such allegations and threats, refuting Boustead’s claims. On April 23, 2021, counsel to Boustead provided written notice stating that, subject to the size of our initial public offering, they believe they will be entitled to 7% of the capital raised in addition to warrants. On April 30, 2021, Boustead filed a statement of claim with the Financial Industry Regulatory Authority, or FINRA, demanding to arbitrate the dispute, and is seeking, among other things, monetary damages against the Company and D.A. Davidson &amp; Co. We are presently waiting for the FINRA panel to schedule a hearing on the matter. While we believe we have meritorious defenses against Boustead’s claims, we cannot provide assurance that any potential monetary damages arising from the Boustead dispute will not be in excess of 7% of the capital raised in our initial public offering. The party prevailing in any proceeding under the Engagement Agreement may be entitled to their costs and attorneys’ fees, which could be substantial. As such, any proceeding arising from our Engagement Agreement with Boustead may be expensive to defend and could result in a substantial settlement payment or damages award, and there can be no assurance of a favorable outcome for us. In addition, we have indemnified D.A. Davidson &amp; Co. and the other underwriters against any liability or expenses they may be subject to or incur in connection with the Boustead dispute.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5" w:name="page26"/>
    <w:bookmarkEnd w:id="25"/>
    <w:p>
      <w:pPr>
        <w:ind w:left="3860"/>
        <w:spacing w:after="0"/>
        <w:rPr>
          <w:sz w:val="20"/>
          <w:szCs w:val="20"/>
          <w:color w:val="auto"/>
        </w:rPr>
      </w:pPr>
      <w:r>
        <w:rPr>
          <w:rFonts w:ascii="Arial" w:cs="Arial" w:eastAsia="Arial" w:hAnsi="Arial"/>
          <w:sz w:val="18"/>
          <w:szCs w:val="18"/>
          <w:b w:val="1"/>
          <w:bCs w:val="1"/>
          <w:color w:val="auto"/>
        </w:rPr>
        <w:t>General Risk Factors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may adversely affect our business, financial condition and results of operations.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From time to time in the normal course of our business operations, we may become subject to litigation that may result in liability material to our financial statements as a whole or may negatively affect our operating results if changes to our business operations are required. The cost to defend such litigation may be significant and may require a diversion of our resources. There also may be adverse publicity associated with litigation that could negatively affect customer perception of our business, regardless of whether the allegations are valid or whether we are ultimately found liable. As a result, litigation may adversely affect our business, financial condition, and results of operations. Since inception, aside from a dispute with the placement agent of our 2020-2021 pre-IPO private placements, the Company has not been a party to any material litigation. See “</w:t>
      </w:r>
      <w:r>
        <w:rPr>
          <w:rFonts w:ascii="Arial" w:cs="Arial" w:eastAsia="Arial" w:hAnsi="Arial"/>
          <w:sz w:val="18"/>
          <w:szCs w:val="18"/>
          <w:b w:val="1"/>
          <w:bCs w:val="1"/>
          <w:i w:val="1"/>
          <w:iCs w:val="1"/>
          <w:color w:val="auto"/>
        </w:rPr>
        <w:t>Business—Legal Proceedings</w:t>
      </w:r>
      <w:r>
        <w:rPr>
          <w:rFonts w:ascii="Arial" w:cs="Arial" w:eastAsia="Arial" w:hAnsi="Arial"/>
          <w:sz w:val="18"/>
          <w:szCs w:val="18"/>
          <w:color w:val="auto"/>
        </w:rPr>
        <w:t>” for additional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face a potential risk of product liability resulting from the sale of our products. For example, we may be sued if any product we sell allegedly causes injury or is found to be otherwise unsuitable during product testing, manufacturing, marketing, or sale. Any such product liability claim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Even successful defense would require significant financial and management resources. Regardless of the merits or eventual outcome, liability claims may result in:</w:t>
      </w:r>
    </w:p>
    <w:p>
      <w:pPr>
        <w:spacing w:after="0" w:line="192"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decreased demand for products that we may offer for sale;</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decline in the value of our stock.</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inability to obtain and retain sufficient product liability insurance at an acceptable cost to protect against potential product liability claims could prevent or inhibit the commercialization of products we develop. We do not maintain any product liability insurance. Even if we obtain product liability insurance in the future, we may have to pay amounts awarded by a court or negotiated in a settlement that exceed our coverage limitations or that are not covered by our insurance, and we may not have, or be able to obtain, sufficient capital to pay such amounts.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insurance coverage adequate to cover all significant risk exposures.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the ordinary course of business, we anticipate that we will be exposed to certain liabilities that are unique to the products we provide. We currently maintain only general liability, umbrella liability, business personal property and business income insurance policies and there can be no assurance that we will acquire or maintain insurance for certain risks, that the amount of our insurance coverage will be adequate to cover all claims or liabilities, or that we will not be forced to bear substantial costs resulting from risks and uncertainties of business. It is also not possible to obtain insurance to protect against all operational risks and liabilities. The failure to obtain and maintain adequate insurance coverage on terms favorable to us, or at all,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6" w:name="page27"/>
    <w:bookmarkEnd w:id="26"/>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Unanticipated changes in our tax provisions, the adoption of new tax legislation or exposure to additional tax liabilities could affect our profitability and cash flows.</w:t>
      </w:r>
    </w:p>
    <w:p>
      <w:pPr>
        <w:spacing w:after="0" w:line="1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the event there are significant changes in federal or state tax law provisions, or in the event there is new and additional tax legislation adopted, we could be exposed to additional tax liabilities. Such additional tax liabilities could have an effect on our net income and profit margins.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of our products sell on a seasonal basis, resulting in fluctuations in our cash flow, inventory and accounts payable.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a result of the seasonality of certain products, such as planting equipment, ventilation equipment, grow light systems, or harvesting equipment related to certain produce that grows on a seasonal basis, our business is likely to cause cash and cash equivalents, inventory, and accounts payable to fluctuate, resulting in changes in our working capital.</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results of operations could be materially harmed if we are unable to accurately forecast customer demand for our products and manage our inventory.</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seek to maintain sufficient levels of inventory in order to protect ourselves from supply interruptions. To ensure adequate inventory supply and manage our operations with our third-party vendors, manufacturers and suppliers, we forecast anticipated materials requirements and demand for our products in order to predict inventory needs and then place orders with our suppliers based on these predictions. Our ability to accurately forecast demand for our products could be negatively affected by many factors, including our limited historical commercial experience, rapid growth, failure to accurately manage our expansion strategy, product introductions by competitors, an increase or decrease in customer demand for our products, our failure to accurately forecast customer acceptance of new products, unanticipated changes in general market conditions or regulatory matters and weakening of economic conditions or consumer confidence in future economic conditions.</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Inventory levels in excess of customer demand, including as a result of our introduction of product enhancements, may result in a portion of our inventory becoming obsolete or expiring, as well as inventory write-downs or write-offs, which could have a material adverse effect on our business, financial condition and results of operations. Conversely, if we underestimate customer demand for our and those third-party products we offer for sale, vendors, manufacturers and suppliers may not be able to deliver those materials necessary to meet our requirements, which could result in inadequate inventory levels or interruptions, delays or cancellations of deliveries to our customers, any of which would damage our reputation, customer relationships and business. In addition, several products that we offer for sale may require lengthy order lead times, and additional supplies or materials may not be available when required on terms that are acceptable to us, or at all, and our third-party manufacturers and suppliers may not be able to allocate sufficient capacity in order to meet our increased requirements, any of which could have an adverse effect on our ability to meet customer demand for our products and our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failure of third parties to meet their contractual, regulatory, and other obligations could adversely affect our business.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rely on suppliers, vendors, outsourcing partners, consultants, alliance partners and other third parties to research, develop, manufacture and commercialize our products. Using these third parties poses a number of risks, such as: (i) they may not perform to our standards or legal requirements; (ii) they may not produce reliable results; (iii) they may not perform in a timely manner; (iv) they may not maintain confidentiality of our proprietary information; (v) disputes may arise with respect to ownership of rights to technology developed with our partners; and (vi) disagreements could cause delays in, or termination of, the research, development or commercialization of our products or result in litigation or arbitration. Moreover, some third parties are located in markets subject to political and social risk, corruption, infrastructure problems and natural disasters, in addition to country-specific privacy and data security risk given current legal and regulatory environments. Failure of third parties to meet their contractual, regulatory and other obligations may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i w:val="1"/>
          <w:iCs w:val="1"/>
          <w:color w:val="auto"/>
        </w:rPr>
        <w:t>The sizes of the markets for our current and future products have not been established with precision and may be smaller than we estimate.</w:t>
      </w:r>
    </w:p>
    <w:p>
      <w:pPr>
        <w:spacing w:after="0" w:line="24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estimates of the total addressable markets for our current products, products under development and third party products that we offer for sale are based on a number of internal and third party estimates and the assumed prices at which we can sell such products in markets that have not been established or that we have not yet entered. While we believe our assumptions and the data underlying our estimates are reasonable, these assumptions and estimates may not be correct and the conditions supporting our assumptions or estimates may change at any time, thereby reducing the predictive accuracy of these estimates. As a result, our estimates of the total addressable market for our current or future products may prove to be incorrect. If the actual number of consumers who would benefit from the products we offer, the price at which we can sell such products, or the total addressable market for such products is smaller than we have estimated, it may impair our sales growth and have an adverse impact on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may have the effect of heightening many of the other risks described in this “</w:t>
      </w:r>
      <w:r>
        <w:rPr>
          <w:rFonts w:ascii="Arial" w:cs="Arial" w:eastAsia="Arial" w:hAnsi="Arial"/>
          <w:sz w:val="18"/>
          <w:szCs w:val="18"/>
          <w:b w:val="1"/>
          <w:bCs w:val="1"/>
          <w:i w:val="1"/>
          <w:iCs w:val="1"/>
          <w:u w:val="single" w:color="auto"/>
          <w:color w:val="0000EE"/>
        </w:rPr>
        <w:t>Risk Factors</w:t>
      </w:r>
      <w:r>
        <w:rPr>
          <w:rFonts w:ascii="Arial" w:cs="Arial" w:eastAsia="Arial" w:hAnsi="Arial"/>
          <w:sz w:val="18"/>
          <w:szCs w:val="18"/>
          <w:b w:val="1"/>
          <w:bCs w:val="1"/>
          <w:i w:val="1"/>
          <w:iCs w:val="1"/>
          <w:color w:val="auto"/>
        </w:rPr>
        <w:t>” section.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 the extent the COVID-19 pandemic may adversely affect our business and financial results, it may also have the effect of heightening many of the other risks described in this “</w:t>
      </w:r>
      <w:r>
        <w:rPr>
          <w:rFonts w:ascii="Arial" w:cs="Arial" w:eastAsia="Arial" w:hAnsi="Arial"/>
          <w:sz w:val="18"/>
          <w:szCs w:val="18"/>
          <w:u w:val="single" w:color="auto"/>
          <w:color w:val="0000EE"/>
        </w:rPr>
        <w:t>Risk Factors</w:t>
      </w:r>
      <w:r>
        <w:rPr>
          <w:rFonts w:ascii="Arial" w:cs="Arial" w:eastAsia="Arial" w:hAnsi="Arial"/>
          <w:sz w:val="18"/>
          <w:szCs w:val="18"/>
          <w:color w:val="auto"/>
        </w:rPr>
        <w:t>” section, as well as other risks which we may not be currently aware of.</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conflict between Russia and Ukraine may have the effect of heightening many of the other risks described in this “</w:t>
      </w:r>
      <w:r>
        <w:rPr>
          <w:rFonts w:ascii="Arial" w:cs="Arial" w:eastAsia="Arial" w:hAnsi="Arial"/>
          <w:sz w:val="16"/>
          <w:szCs w:val="16"/>
          <w:b w:val="1"/>
          <w:bCs w:val="1"/>
          <w:i w:val="1"/>
          <w:iCs w:val="1"/>
          <w:u w:val="single" w:color="auto"/>
          <w:color w:val="0000EE"/>
        </w:rPr>
        <w:t>Risk Factors</w:t>
      </w:r>
      <w:r>
        <w:rPr>
          <w:rFonts w:ascii="Arial" w:cs="Arial" w:eastAsia="Arial" w:hAnsi="Arial"/>
          <w:sz w:val="16"/>
          <w:szCs w:val="16"/>
          <w:b w:val="1"/>
          <w:bCs w:val="1"/>
          <w:i w:val="1"/>
          <w:iCs w:val="1"/>
          <w:color w:val="auto"/>
        </w:rPr>
        <w:t>” section.</w:t>
      </w:r>
    </w:p>
    <w:p>
      <w:pPr>
        <w:spacing w:after="0" w:line="24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To the extent the conflict between Russia and Ukraine may adversely affect our business and financial results, it may also have the effect of heightening many of the other risks described in this “</w:t>
      </w:r>
      <w:r>
        <w:rPr>
          <w:rFonts w:ascii="Arial" w:cs="Arial" w:eastAsia="Arial" w:hAnsi="Arial"/>
          <w:sz w:val="17"/>
          <w:szCs w:val="17"/>
          <w:u w:val="single" w:color="auto"/>
          <w:color w:val="0000EE"/>
        </w:rPr>
        <w:t>Risk Factors</w:t>
      </w:r>
      <w:r>
        <w:rPr>
          <w:rFonts w:ascii="Arial" w:cs="Arial" w:eastAsia="Arial" w:hAnsi="Arial"/>
          <w:sz w:val="17"/>
          <w:szCs w:val="17"/>
          <w:color w:val="auto"/>
        </w:rPr>
        <w:t>” section, as well as other risks which we may not be currently aware of.</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Doing Business with the Cannabis Industry</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 xml:space="preserve">While our business includes both the hobbyist gardener, and is not exclusively reliant on the cannabis grower, </w:t>
      </w:r>
      <w:r>
        <w:rPr>
          <w:rFonts w:ascii="Arial" w:cs="Arial" w:eastAsia="Arial" w:hAnsi="Arial"/>
          <w:sz w:val="18"/>
          <w:szCs w:val="18"/>
          <w:b w:val="1"/>
          <w:bCs w:val="1"/>
          <w:color w:val="auto"/>
        </w:rPr>
        <w:t>our</w:t>
      </w:r>
      <w:r>
        <w:rPr>
          <w:rFonts w:ascii="Arial" w:cs="Arial" w:eastAsia="Arial" w:hAnsi="Arial"/>
          <w:sz w:val="18"/>
          <w:szCs w:val="18"/>
          <w:b w:val="1"/>
          <w:bCs w:val="1"/>
          <w:i w:val="1"/>
          <w:iCs w:val="1"/>
          <w:color w:val="auto"/>
        </w:rPr>
        <w:t xml:space="preserve"> growth is nonetheless substantially dependent on the growth and stabilization of the U.S. cannabis market. New California regulations caused licensing shortages and future regulations may create other limitations that decrease the demand for our products. State level regulations adopted in the future may adversely impact our business.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base of growers in the U.S. has grown over the past 20 years since the legalization of cannabis for medical uses in states such as California, Colorado, Michigan, Nevada, New Jersey, Oregon and Washington, with a large number of those growers depending on products similar to those we distribute. The U.S. cannabis market is still in its infancy and early adopter states such as California, Colorado and Washington represent a large portion of historical industry revenues. If the U.S. cannabis cultivation market does not grow as expected, our business, financial condition and results of operations could be adversely impacted.</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Cannabis remains illegal under U.S. federal law, with it listed as a Schedule I substance under the Controlled Substances Act (CSA). Notwithstanding laws in various states permitting certain cannabis activities, all activities, including possession, distribution, processing and manufacturing of cannabis and investment in, and financial services or transactions involving proceeds of, or promoting such activities remain illegal under various U.S. federal criminal and civil laws and regulations, including the CSA, as well as laws and regulations of several states that have not legalized some or any cannabis activities to date. Compliance with applicable state laws regarding cannabis activities does not protect us from federal prosecution or other enforcement action, such as seizure or forfeiture remedies, nor does it provide any defense to such prosecution or action. Cannabis activities conducted in or related to conduct in multiple states may potentially face a higher level of scrutiny from federal authorities. Penalties for violating federal drug, conspiracy, aiding, abetting, bank fraud and/or money laundering laws may include prison, fines, and seizure/forfeiture of property used in connection with cannabis activities, including proceeds derived from such activities.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8" w:name="page29"/>
    <w:bookmarkEnd w:id="28"/>
    <w:p>
      <w:pPr>
        <w:jc w:val="both"/>
        <w:ind w:firstLine="648"/>
        <w:spacing w:after="0" w:line="296" w:lineRule="auto"/>
        <w:rPr>
          <w:sz w:val="20"/>
          <w:szCs w:val="20"/>
          <w:color w:val="auto"/>
        </w:rPr>
      </w:pPr>
      <w:r>
        <w:rPr>
          <w:rFonts w:ascii="Arial" w:cs="Arial" w:eastAsia="Arial" w:hAnsi="Arial"/>
          <w:sz w:val="16"/>
          <w:szCs w:val="16"/>
          <w:color w:val="auto"/>
        </w:rPr>
        <w:t>In addition to sales through our own platform, www.Zenhydro.com, we sell our products through third-party retailers and resellers. However, it is evident to us that the movement towards the legalization of cannabis in the U.S. and its legalization in Canada has ultimately had a significant and positive impact on our industry. We are not currently subject directly to any state laws or regulations controlling participants in the legal cannabis industry. However, regulation of the cannabis industry does impact those that we believe represent many end-users for our products and, accordingly, there can be no assurance that changes in regulation of the industry and more rigorous enforcement by federal authorities will not have a material adverse effect on us.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Legislation and regulations pertaining to the use and cultivation of cannabis are enacted on both the state and federal government level within the United States. As a result, the laws governing the cultivation and use of cannabis may be subject to change. Any new laws and regulations limiting the use or cultivation of cannabis and any enforcement actions by state and federal governments could indirectly reduce demand for our products and may impact our current and planned future operations.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Individual state laws regarding the cultivation and possession of cannabis for adult and medical uses conflict with federal laws prohibiting the cultivation, possession and use of cannabis for any purpose. A number of states have passed legislation legalizing or decriminalizing cannabis for adult-use, other states have enacted legislation specifically permitting the cultivation and use of cannabis for medicinal purposes, and several states have enacted legislation permitting cannabis cultivation and use for both adult and medicinal purposes. Evolving federal and state laws and regulations pertaining to the use or cultivation of cannabis, as well active enforcement by federal or state authorities of the laws and regulations governing the use and cultivation of cannabis may indirectly and adversely affect our business, our revenues and our profits.</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Certain of our products may be purchased for use in new and emerging industries and/or be subject to varying, inconsistent, and rapidly changing laws, regulations, administrative practices, enforcement approaches, judicial interpretations, future scientific research and public perception.</w:t>
      </w:r>
    </w:p>
    <w:p>
      <w:pPr>
        <w:spacing w:after="0" w:line="124"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In addition to selling our products through our own online platform, www.Zenhydro.com, we sell products, including hydroponic gardening products, through third-party retailers and resellers. End users may purchase these products for use in new and emerging industries that may not achieve market acceptance in a manner that we can predict. The demand for these products is dependent on the growth of these industries, which is uncertain, as well as the laws governing the growth, possession, and use of cannabis by adults for both adult and medical use.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Laws and regulations affecting the U.S. cannabis industry are continually changing, which could detrimentally affect our growth, revenues, results of operations and success generally. Local, state and federal cannabis laws and regulations are broad in scope and subject to evolving interpretations, which could require the end users of certain of our products or us to incur substantial costs associated with compliance or to alter our respective business plans. In addition, violations of these laws, or allegations of such violations, could disrupt our business and result in a material adverse effect on our results of operation and financial condition.</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Scientific research related to the benefits of cannabis remains in its early stages, is subject to a number of important assumptions, and may prove to be inaccurate. Future research studies and clinical trials may reach negative conclusions regarding the viability, safety, efficacy, dosing, social acceptance or other facts and perceptions related to medical cannabis, which could materially impact the demand for our products.</w:t>
      </w:r>
    </w:p>
    <w:p>
      <w:pPr>
        <w:spacing w:after="0" w:line="16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public’s perception of cannabis may significantly impact the cannabis industry’s success. Both the medical and adult-use of cannabis are controversial topics, and there is no guarantee that future scientific research, publicity, regulations, medical opinion, and public opinion relating to cannabis will be favorable. The cannabis industry is an early-stage business that is constantly evolving with no guarantee of viability. The market for medical and adult-use of cannabis is uncertain, and any adverse or negative publicity, scientific research, limiting regulations, medical opinion and public opinion (whether or not accurate or with merit) relating to the consumption of cannabis, whether in the United States or internationally, may have a material adverse effect on our operational results, consumer base, and financial results. Among other things, such a shift in public opinion could cause state jurisdictions to abandon initiatives or proposals to legalize medical or adult cannabis or adopt new laws or regulations restricting or prohibiting the medical or adult-use of cannabis where it is now legal, thereby limiting the Cannabis Industry Participants.</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Demand for our products may be negatively impacted depending on how laws, regulations, administrative practices, enforcement approaches, judicial interpretations, and consumer perceptions develop. We cannot predict the nature of such developments or the effect, if any, that such developments could have on our business.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Our indirect involvement in the cannabis industry could affect the public’s perception of us and be detrimental to our reputation.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Damage to our reputation can be the result of the actual or perceived occurrence of any number of events, and could include any negative publicity, whether true or not. Cannabis has often been associated with various other narcotics, violence and criminal activities, the risk of which is that our retailers and resellers that transact with those businesses might attract negative publicity. There is also risk that the action(s) of other participants, companies and service providers in the cannabis industry may negatively affect the reputation of the industry as a whole and thereby negatively impact our reputation. The increased use of social media and other web-based tools used to generate, publish and discuss user-generated content and to connect with other users has made it increasingly easier for individuals and groups to communicate and share opinions and views with regard to cannabis companies and their activities, whether true or not and the cannabis industry in general, whether true or not. We do not ultimately have direct control over how the cannabis industry is perceived by others. Reputation loss may result in decreased investor confidence, increased challenges in developing and maintaining community relations and an impediment to our overall ability to advance our business strategy and realize our growth prospects, thereby having a material adverse impact on our business.</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third parties with whom we may do business could perceive that they are exposed to reputational risk as a result of the involvement of some of our customers in the cannabis business. Failure to establish or maintain business relationships due to reputational risk arising in connection with the nature of our business could have a material adverse effect on our business, financial condition and results of operations.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Businesses involved in the cannabis industry, and investments in such businesses, are subject to a variety of laws and regulations related to money laundering, financial recordkeeping, and proceeds of crimes.</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sell our products through our website, www.Zenhydro.com, as well as through online third party retail platforms which do not exclusively sell to customers operating in the cannabis industry. Nonetheless, some of our customers may be using our products for purposes of cultivating cannabis. Investments in the U.S. cannabis industry are subject to a variety of laws and regulations that involve money laundering, financial recordkeeping and proceeds of crime, including the BSA, as amended by the U.S. PATRIOT Act, other anti-money laundering laws, and any related or similar rules, regulations or guidelines, issued, administered or enforced by governmental authorities in the United States. In February 2014, the Financial Crimes Enforcement Network of the Treasury Department (“FinCEN”) issued a memorandum (the “FinCEN Memo”) providing guidance to banks seeking to provide services to cannabis businesses. The FinCEN Memo outlines circumstances under which banks may provide services to cannabis businesses without risking prosecution for violation of U.S. federal money laundering laws. It refers to supplementary guidance that Deputy Attorney General Cole issued to U.S. federal prosecutors relating to the prosecution of U.S. money laundering offenses predicated on cannabis violations of the CSA and outlines extensive due diligence and reporting requirements, which most banks have viewed as onerous. On June 29, 2020, FinCEN issued additional guidance for financial institutions conducting due diligence and filing suspicious activity reports in connection with hemp-related business customers. While these guidelines clarify that financial institutions are not required to file suspicious activity reports solely based on a customer’s hemp-related business operations, which must be operating lawfully under applicable state law and regulations, these requirements can still present challenges for certain end users of our products to establish and maintain banking connections, and restrictions on cannabis-related banking activities remain. In September 2019, the United States House of Representatives passed the SAFE Banking Act, which would permit commercial banks to offer services to cannabis companies that are in compliance with state law, but the Senate has not taken up the SAFE Banking Act or other similar legislation.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founders, officers and directors control, and will continue to control, our company for the foreseeable future, including the outcome of matters requiring stockholder approval.</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founders, officers and directors collectively will beneficially own approximately 54.26% of our outstanding shares of Common Stock. As a result, such individuals will, for the foreseeable future, have the ability, acting together, to control the election of our directors and the outcome of corporate actions requiring stockholder approval, such as: (i) a merger or a sale of our company, (ii) a sale of all or substantially all of our assets, and (iii) amendments to our articles of incorporation and bylaws. This concentration of voting power and control could have a significant effect in delaying, deferring, or preventing an action that might otherwise be beneficial to our other stockholders and be disadvantageous to our stockholders with interests different from those entities and individuals. Certain of these individuals also have significant control over our business, policies and affairs as officers or directors of our company. Therefore, you should not invest in reliance on your ability to have any control over our company. See “Principal Stockholders” for further discussion of the stockholding of our founders and principal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the market price of our Common Stock to decline.</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 a public company, sales of a substantial number of shares of our Common Stock in the public market, or the perception that these sales might occur, could depress the market price of our Common Stock and could impair our ability to raise capital through the sale of additional equity securities.</w:t>
      </w:r>
    </w:p>
    <w:p>
      <w:pPr>
        <w:spacing w:after="0" w:line="120"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General Risk Factors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risks, including stock market volatility, inherent in owning our common stock.</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market price and volume of our common stock have been, and may continue to be, subject to significant fluctuations. These fluctuations may arise from general stock market conditions, the impact of risk factors described herein on our results of operations and financial position, or a change in opinion in the market regarding our business prospects or other factors, many of which may be outside our immediate control.</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decision to pay cash dividends on our Common Stock rests with our board of directors and will depend on our earnings, unencumbered cash, capital requirements and financial condition. We do not anticipate declaring any dividends in the foreseeable future, as we intend to use any excess cash to fund our operations and growth. Investors in our Common Stock should not expect to receive dividend income on their investment, and investors will be dependent on the appreciation of our Common Stock to earn a return on their investment.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i w:val="1"/>
          <w:iCs w:val="1"/>
          <w:color w:val="auto"/>
        </w:rPr>
        <w:t>We may require additional capital to support the growth of our business, and this capital might not be available on acceptable terms, if at all.</w:t>
      </w:r>
    </w:p>
    <w:p>
      <w:pPr>
        <w:spacing w:after="0" w:line="24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Prior to our initial public offering in May 2021, we funded our operations primarily through borrowing funds, the sale of convertible notes and equity securities, and the sales of our products.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As a public company, we are subject to increased costs in relation to maintaining SEC and Nasdaq-related reporting requirements and our management is required to devote substantial time to compliance with our public company reporting responsibilities and corporate governance practices.</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a Nasdaq-listed public company, we face significant legal, accounting, and other expenses that we did not incur as a private company, which we expect to further increase after we are no longer an “emerging growth company.” The Sarbanes-Oxley Act, the Dodd-Frank Wall Street Reform and Consumer Protection Act, the listing requirements of the Nasdaq Stock Market, and other applicable securities rules and regulations impose various requirements on public companies. Our management and other personnel devote a substantial amount of time to ensuring compliance with these requirements. Moreover, these rules and regulations increase our legal and financial compliance costs and make some activities more time-consuming and costly as compared to when we were operating as a private company. As a newly public company, we are unable to predict or estimate the amount of additional costs we will incur as a public company or the specific timing of such costs.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As a result of being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Common Stock.</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We are required, pursuant to Section 404 </w:t>
      </w:r>
      <w:r>
        <w:rPr>
          <w:rFonts w:ascii="Arial" w:cs="Arial" w:eastAsia="Arial" w:hAnsi="Arial"/>
          <w:sz w:val="17"/>
          <w:szCs w:val="17"/>
          <w:color w:val="auto"/>
          <w:highlight w:val="white"/>
        </w:rPr>
        <w:t>of t</w:t>
      </w:r>
      <w:r>
        <w:rPr>
          <w:rFonts w:ascii="Arial" w:cs="Arial" w:eastAsia="Arial" w:hAnsi="Arial"/>
          <w:sz w:val="17"/>
          <w:szCs w:val="17"/>
          <w:color w:val="auto"/>
        </w:rPr>
        <w:t>he Sarbanes-Oxley Act of 2002, or Section 404, to furnish a report by management on the effectiveness of our internal control over financial reporting for the fiscal year ending June 30, 2022. This assessment will need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We have recently commenced the costly and challenging process of compiling the system and processing documentation necessary to perform the evaluation needed to comply with Section 404, but we may not be able to complete our evaluation, testing and any required remediation in a timely fashion once initiated. Our compliance with Section 404 will require that we incur substantial accounting expenses and expend significant management efforts. We currently do not have an internal audit group, and we will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18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During the evaluation and testing process of our internal controls, if we identify one or more material weaknesses in our internal control over financial reporting, we will be unable to certify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Nasdaq Stock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2" w:name="page33"/>
    <w:bookmarkEnd w:id="32"/>
    <w:p>
      <w:pPr>
        <w:jc w:val="both"/>
        <w:spacing w:after="0" w:line="311" w:lineRule="auto"/>
        <w:rPr>
          <w:sz w:val="20"/>
          <w:szCs w:val="20"/>
          <w:color w:val="auto"/>
        </w:rPr>
      </w:pPr>
      <w:r>
        <w:rPr>
          <w:rFonts w:ascii="Arial" w:cs="Arial" w:eastAsia="Arial" w:hAnsi="Arial"/>
          <w:sz w:val="16"/>
          <w:szCs w:val="16"/>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14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JOBS Act, and, for as long as we continue to be an “emerging growth company,” we intend to take advantage of certain exemptions from various reporting requirements applicable to other public companies but not to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for up to five years following the effectiveness of this registration statement, or until the earliest of (i) the last day of the first fiscal year in which our annual gross revenues exceed $1.07 billion, (ii) 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or (iii) the date on which we have issued more than $1.0 billion in non-convertible debt during the preceding three year period.</w:t>
      </w:r>
    </w:p>
    <w:p>
      <w:pPr>
        <w:spacing w:after="0" w:line="18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prior June 30, or (2) our annual revenues exceeded $100 million during such completed fiscal year and the market value of our Common Stock held by non-affiliates exceeds $700 million as of the prior June 30. To the extent we take advantage of such reduced disclosure obligations, it may also make comparison of our financial statements with other public companies difficult or impossible. After we are no longer an “emerging growth company,”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 We cannot predict or estimate the amount of additional costs we may incur or the timing of such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stockholders will experience further dilution if we issue additional equity or equity-linked securities in the future.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we issue additional shares of Common Stock, or securities convertible into or exchangeable or exercisable for shares of Common Stock, our stockholders, including investors who purchase shares of Common Stock in this offering, will experience additional dilution, and any such issuances may result in downward pressure on the price of our common stock. As a result, investors purchasing shares or other securities in the future could have rights superior to existing stockholders.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adversely change their recommendations regarding our Common Stock, the market price for our Common Stock and trading volume could decline.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trading market for our Common Stock is influenced by research or reports that industry or securities analysts publish about our business. If industry or securities analysts decide to cover us and in the future downgrade our Common Stock, the market price for our securities would likely decline. If one or more of these analysts cease to cover us or fail to regularly publish reports on us, we could lose visibility in the financial markets, which in turn could cause the market price or trading volume for our Common Stock to decline.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Now that we are an actively-traded Nasdaq-listed company, the market price of our Common Stock may be volatile.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our securities are publicly-traded and even though an active market for our Common Stock has developed, the market price for our Common Stock may be volatile and subject to wide fluctuations in response to factors including the following:</w:t>
      </w:r>
    </w:p>
    <w:p>
      <w:pPr>
        <w:spacing w:after="0" w:line="170"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financial operational estimates or projections;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conditions in markets generally;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economic performance or market valuations of companies similar to ours;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or political conditions in the United States and elsewhere.</w:t>
      </w:r>
    </w:p>
    <w:p>
      <w:pPr>
        <w:spacing w:after="0" w:line="21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securities market has from time to time experienced significant price and volume fluctuations that are not related to the operating performance of particular companies. These market fluctuations may also materially and adversely affect the market price of shares of our Common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the event of liquidation or dissolution of our company, stockholders may not recoup all or any portion of their investment.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the event of a liquidation, dissolution or winding-up of our Company, whether voluntary or involuntary, the proceeds and/or assets of our Company remaining after giving effect to such transaction, and the payment of all of our debts and liabilities will be distributed to the holders of Common Stock on a pro rata basis. There can be no assurance that we will have available assets to pay to the holders of Common Stock, or any amounts, upon such a liquidation, dissolution or winding-up of our Company. In this event, stockholders could lose some or all of their investment.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principal offices are located at 2399 Bateman Avenue, Duarte, CA 91010, which property is approximately 48,867 square feet and we lease at the rate of approximately $42,000 per month. This property serves as both our principal offices and our primary fulfillment center. We also lease approximately 99,347 square feet of space located at 8798 9th Street, Rancho Cucamonga, California, which space is used for the storage and distribution of hydroponic equipment, lighting and garden accessories, home products, pet products, other consumer products and other ancillary uses. The term of the Rancho Cucamonga lease is for 74 months. The lease commencement date is February 10, 2022, the rent commencement date is May 11, 2022 and the expiration date is May 31, 2028. The base rental fee is $114,249 to $140,079 per month through the expiration date, May 31, 2028.</w:t>
      </w:r>
    </w:p>
    <w:p>
      <w:pPr>
        <w:spacing w:after="0" w:line="164"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In addition to our primary fulfillment centers in Duarte and Rancho Cucamonga, we maintain a 22,700 square foot fulfillment center located at 14750 E. Nelson Avenue, Unit #I, Industry City, CA 91744, which we have leased at the rate of approximately $28,000 per month since September 2020.</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February 15, 2022, upon completion of the acquisition of Anivia Limited, the Company assumed operating lease of offices in People’s Republic of China.</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May 1, 2022, the Company leased another fulfillment center at 2397 Bateman Avenue, Duarte, CA 91010, which is approximately 49,500 square feet. The base rental fee is $56,000 to $59,410 per month through April 30, 2025.</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former placement agent, Boustead Securities LLC, has brought a legal action against us following our communication to Boustead to unilaterally terminate an engagement agreement under which we and Boustead had originally intended for Boustead to be engaged to act as an exclusive underwriter in our initial public offering. To date, we have been unable to reach a settlement with Boustead. On April 30, 2021, Boustead filed a statement of claim with FINRA demanding to arbitrate the dispute, and is seeking, among other things, monetary damages against the Company and D.A. Davidson</w:t>
      </w:r>
    </w:p>
    <w:p>
      <w:pPr>
        <w:spacing w:after="0" w:line="1" w:lineRule="exact"/>
        <w:rPr>
          <w:sz w:val="20"/>
          <w:szCs w:val="20"/>
          <w:color w:val="auto"/>
        </w:rPr>
      </w:pPr>
    </w:p>
    <w:p>
      <w:pPr>
        <w:jc w:val="both"/>
        <w:ind w:firstLine="8"/>
        <w:spacing w:after="0" w:line="268" w:lineRule="auto"/>
        <w:tabs>
          <w:tab w:leader="none" w:pos="189"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 We are presently waiting for the FINRA panel to schedule a hearing date on the matter. We believe that we have meritorious defenses to any claims that Boustead may assert, and we do not believe that such claims will have a material adverse effect on our business, financial condition or operating results. However, we have agreed to indemnify D.A. Davidson &amp; Co. and the other underwriters who participated in our initial public offering against any liability or expense they may incur or be subject to arising out of the Boustead dispute. In addition, Chenlong Tan, our Chairman, President and Chief Executive Officer and a beneficial owner more than 5% of our common stock, has agreed to reimburse us for any judgments, fines and amounts paid or actually incurred by us or an indemnitee in connection with such legal action or in connection with any settlement agreement entered into by us or an indemnitee up to a maximum of $3.5 million in the aggregate, with the sole source of funding for such reimbursement to come from sales of shares then owned by Mr. Tan. For further information, see “</w:t>
      </w:r>
      <w:r>
        <w:rPr>
          <w:rFonts w:ascii="Arial" w:cs="Arial" w:eastAsia="Arial" w:hAnsi="Arial"/>
          <w:sz w:val="17"/>
          <w:szCs w:val="17"/>
          <w:u w:val="single" w:color="auto"/>
          <w:color w:val="0000EE"/>
        </w:rPr>
        <w:t>Risk Factors</w:t>
      </w:r>
      <w:r>
        <w:rPr>
          <w:rFonts w:ascii="Arial" w:cs="Arial" w:eastAsia="Arial" w:hAnsi="Arial"/>
          <w:sz w:val="17"/>
          <w:szCs w:val="17"/>
          <w:color w:val="auto"/>
        </w:rPr>
        <w:t xml:space="preserve"> – </w:t>
      </w:r>
      <w:r>
        <w:rPr>
          <w:rFonts w:ascii="Arial" w:cs="Arial" w:eastAsia="Arial" w:hAnsi="Arial"/>
          <w:sz w:val="17"/>
          <w:szCs w:val="17"/>
          <w:i w:val="1"/>
          <w:iCs w:val="1"/>
          <w:color w:val="auto"/>
        </w:rPr>
        <w:t>Prior to our initial public offering we unilaterally terminated an engagement agreement</w:t>
      </w:r>
      <w:r>
        <w:rPr>
          <w:rFonts w:ascii="Arial" w:cs="Arial" w:eastAsia="Arial" w:hAnsi="Arial"/>
          <w:sz w:val="17"/>
          <w:szCs w:val="17"/>
          <w:color w:val="auto"/>
        </w:rPr>
        <w:t xml:space="preserve"> </w:t>
      </w:r>
      <w:r>
        <w:rPr>
          <w:rFonts w:ascii="Arial" w:cs="Arial" w:eastAsia="Arial" w:hAnsi="Arial"/>
          <w:sz w:val="17"/>
          <w:szCs w:val="17"/>
          <w:i w:val="1"/>
          <w:iCs w:val="1"/>
          <w:color w:val="auto"/>
        </w:rPr>
        <w:t>with Boustead Securities LLC and may be subject to litigation in the event we are not able to come to agreement on the amounts Boustead deems itself to be owed under such agreement</w:t>
      </w:r>
      <w:r>
        <w:rPr>
          <w:rFonts w:ascii="Arial" w:cs="Arial" w:eastAsia="Arial" w:hAnsi="Arial"/>
          <w:sz w:val="17"/>
          <w:szCs w:val="17"/>
          <w:color w:val="auto"/>
        </w:rPr>
        <w:t>” and “</w:t>
      </w:r>
      <w:r>
        <w:rPr>
          <w:rFonts w:ascii="Arial" w:cs="Arial" w:eastAsia="Arial" w:hAnsi="Arial"/>
          <w:sz w:val="17"/>
          <w:szCs w:val="17"/>
          <w:u w:val="single" w:color="auto"/>
          <w:color w:val="0000EE"/>
        </w:rPr>
        <w:t>Certain Relationships and Related Transactions</w:t>
      </w:r>
      <w:r>
        <w:rPr>
          <w:rFonts w:ascii="Arial" w:cs="Arial" w:eastAsia="Arial" w:hAnsi="Arial"/>
          <w:sz w:val="17"/>
          <w:szCs w:val="17"/>
          <w:color w:val="auto"/>
        </w:rPr>
        <w:t>.”</w:t>
      </w:r>
    </w:p>
    <w:p>
      <w:pPr>
        <w:spacing w:after="0" w:line="1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not presently party to any pending or other threatened legal proceedings or claims that we believe will have a material adverse effect on our business, financial condition or operating results, although from time to time, we may become involved in legal proceedings in the ordinary course of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common stock commenced trading on the NASDAQ Capital Market, or NASDAQ, under the symbol “IPW” on May 14, 2021. Prior to that time, our common stock was not traded on any exchange or quoted on any over the counter market. The prices set forth below reflect the quarterly high and low sales prices per share for our common stock for the fiscal year ended June 30, 2022, as reported by the NASDAQ:</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High</w:t>
            </w: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ind w:left="260"/>
              <w:spacing w:after="0"/>
              <w:rPr>
                <w:sz w:val="20"/>
                <w:szCs w:val="20"/>
                <w:color w:val="auto"/>
              </w:rPr>
            </w:pPr>
            <w:r>
              <w:rPr>
                <w:rFonts w:ascii="Arial" w:cs="Arial" w:eastAsia="Arial" w:hAnsi="Arial"/>
                <w:sz w:val="18"/>
                <w:szCs w:val="18"/>
                <w:color w:val="auto"/>
              </w:rPr>
              <w:t>Low</w:t>
            </w:r>
          </w:p>
        </w:tc>
      </w:tr>
      <w:tr>
        <w:trPr>
          <w:trHeight w:val="195"/>
        </w:trPr>
        <w:tc>
          <w:tcPr>
            <w:tcW w:w="360" w:type="dxa"/>
            <w:vAlign w:val="bottom"/>
            <w:tcBorders>
              <w:top w:val="single" w:sz="8" w:color="EEEEEE"/>
              <w:bottom w:val="single" w:sz="8" w:color="auto"/>
            </w:tcBorders>
            <w:shd w:val="clear" w:color="auto" w:fill="EEEEEE"/>
          </w:tcPr>
          <w:p>
            <w:pPr>
              <w:spacing w:after="0" w:line="169" w:lineRule="exact"/>
              <w:rPr>
                <w:sz w:val="20"/>
                <w:szCs w:val="20"/>
                <w:color w:val="auto"/>
              </w:rPr>
            </w:pPr>
            <w:r>
              <w:rPr>
                <w:rFonts w:ascii="Arial" w:cs="Arial" w:eastAsia="Arial" w:hAnsi="Arial"/>
                <w:sz w:val="18"/>
                <w:szCs w:val="18"/>
                <w:color w:val="auto"/>
                <w:w w:val="84"/>
              </w:rPr>
              <w:t>2022</w:t>
            </w:r>
          </w:p>
        </w:tc>
        <w:tc>
          <w:tcPr>
            <w:tcW w:w="4040" w:type="dxa"/>
            <w:vAlign w:val="bottom"/>
            <w:tcBorders>
              <w:top w:val="single" w:sz="8" w:color="EEEEEE"/>
              <w:bottom w:val="single" w:sz="8" w:color="EEEEEE"/>
            </w:tcBorders>
            <w:shd w:val="clear" w:color="auto" w:fill="EEEEEE"/>
          </w:tcPr>
          <w:p>
            <w:pPr>
              <w:spacing w:after="0"/>
              <w:rPr>
                <w:sz w:val="16"/>
                <w:szCs w:val="16"/>
                <w:color w:val="auto"/>
              </w:rPr>
            </w:pPr>
          </w:p>
        </w:tc>
        <w:tc>
          <w:tcPr>
            <w:tcW w:w="3260" w:type="dxa"/>
            <w:vAlign w:val="bottom"/>
            <w:tcBorders>
              <w:top w:val="single" w:sz="8" w:color="EEEEEE"/>
              <w:bottom w:val="single" w:sz="8" w:color="EEEEEE"/>
            </w:tcBorders>
            <w:shd w:val="clear" w:color="auto" w:fill="EEEEEE"/>
          </w:tcPr>
          <w:p>
            <w:pPr>
              <w:spacing w:after="0"/>
              <w:rPr>
                <w:sz w:val="16"/>
                <w:szCs w:val="16"/>
                <w:color w:val="auto"/>
              </w:rPr>
            </w:pPr>
          </w:p>
        </w:tc>
        <w:tc>
          <w:tcPr>
            <w:tcW w:w="1120" w:type="dxa"/>
            <w:vAlign w:val="bottom"/>
            <w:tcBorders>
              <w:top w:val="single" w:sz="8" w:color="auto"/>
              <w:bottom w:val="single" w:sz="8" w:color="EEEEEE"/>
            </w:tcBorders>
            <w:shd w:val="clear" w:color="auto" w:fill="EEEEEE"/>
          </w:tcPr>
          <w:p>
            <w:pPr>
              <w:spacing w:after="0"/>
              <w:rPr>
                <w:sz w:val="16"/>
                <w:szCs w:val="16"/>
                <w:color w:val="auto"/>
              </w:rPr>
            </w:pPr>
          </w:p>
        </w:tc>
        <w:tc>
          <w:tcPr>
            <w:tcW w:w="460" w:type="dxa"/>
            <w:vAlign w:val="bottom"/>
            <w:tcBorders>
              <w:top w:val="single" w:sz="8" w:color="auto"/>
              <w:bottom w:val="single" w:sz="8" w:color="EEEEEE"/>
            </w:tcBorders>
            <w:shd w:val="clear" w:color="auto" w:fill="EEEEEE"/>
          </w:tcPr>
          <w:p>
            <w:pPr>
              <w:spacing w:after="0"/>
              <w:rPr>
                <w:sz w:val="16"/>
                <w:szCs w:val="16"/>
                <w:color w:val="auto"/>
              </w:rPr>
            </w:pPr>
          </w:p>
        </w:tc>
        <w:tc>
          <w:tcPr>
            <w:tcW w:w="320" w:type="dxa"/>
            <w:vAlign w:val="bottom"/>
            <w:tcBorders>
              <w:top w:val="single" w:sz="8" w:color="EEEEEE"/>
              <w:bottom w:val="single" w:sz="8" w:color="EEEEEE"/>
            </w:tcBorders>
            <w:shd w:val="clear" w:color="auto" w:fill="EEEEEE"/>
          </w:tcPr>
          <w:p>
            <w:pPr>
              <w:spacing w:after="0"/>
              <w:rPr>
                <w:sz w:val="16"/>
                <w:szCs w:val="16"/>
                <w:color w:val="auto"/>
              </w:rPr>
            </w:pPr>
          </w:p>
        </w:tc>
        <w:tc>
          <w:tcPr>
            <w:tcW w:w="360" w:type="dxa"/>
            <w:vAlign w:val="bottom"/>
            <w:tcBorders>
              <w:top w:val="single" w:sz="8" w:color="auto"/>
              <w:bottom w:val="single" w:sz="8" w:color="EEEEEE"/>
            </w:tcBorders>
            <w:shd w:val="clear" w:color="auto" w:fill="EEEEEE"/>
          </w:tcPr>
          <w:p>
            <w:pPr>
              <w:spacing w:after="0"/>
              <w:rPr>
                <w:sz w:val="16"/>
                <w:szCs w:val="16"/>
                <w:color w:val="auto"/>
              </w:rPr>
            </w:pPr>
          </w:p>
        </w:tc>
        <w:tc>
          <w:tcPr>
            <w:tcW w:w="1220" w:type="dxa"/>
            <w:vAlign w:val="bottom"/>
            <w:tcBorders>
              <w:top w:val="single" w:sz="8" w:color="auto"/>
              <w:bottom w:val="single" w:sz="8" w:color="EEEEEE"/>
            </w:tcBorders>
            <w:shd w:val="clear" w:color="auto" w:fill="EEEEEE"/>
          </w:tcPr>
          <w:p>
            <w:pPr>
              <w:spacing w:after="0"/>
              <w:rPr>
                <w:sz w:val="16"/>
                <w:szCs w:val="16"/>
                <w:color w:val="auto"/>
              </w:rPr>
            </w:pPr>
          </w:p>
        </w:tc>
        <w:tc>
          <w:tcPr>
            <w:tcW w:w="100" w:type="dxa"/>
            <w:vAlign w:val="bottom"/>
            <w:tcBorders>
              <w:top w:val="single" w:sz="8" w:color="EEEEEE"/>
              <w:bottom w:val="single" w:sz="8" w:color="EEEEEE"/>
            </w:tcBorders>
            <w:shd w:val="clear" w:color="auto" w:fill="EEEEEE"/>
          </w:tcPr>
          <w:p>
            <w:pPr>
              <w:spacing w:after="0"/>
              <w:rPr>
                <w:sz w:val="16"/>
                <w:szCs w:val="16"/>
                <w:color w:val="auto"/>
              </w:rPr>
            </w:pPr>
          </w:p>
        </w:tc>
      </w:tr>
      <w:tr>
        <w:trPr>
          <w:trHeight w:val="216"/>
        </w:trPr>
        <w:tc>
          <w:tcPr>
            <w:tcW w:w="4400" w:type="dxa"/>
            <w:vAlign w:val="bottom"/>
            <w:tcBorders>
              <w:top w:val="single" w:sz="8" w:color="EEEEEE"/>
            </w:tcBorders>
            <w:gridSpan w:val="2"/>
          </w:tcPr>
          <w:p>
            <w:pPr>
              <w:spacing w:after="0"/>
              <w:rPr>
                <w:sz w:val="20"/>
                <w:szCs w:val="20"/>
                <w:color w:val="auto"/>
              </w:rPr>
            </w:pPr>
            <w:r>
              <w:rPr>
                <w:rFonts w:ascii="Arial" w:cs="Arial" w:eastAsia="Arial" w:hAnsi="Arial"/>
                <w:sz w:val="18"/>
                <w:szCs w:val="18"/>
                <w:color w:val="auto"/>
              </w:rPr>
              <w:t>First Quarter</w:t>
            </w:r>
          </w:p>
        </w:tc>
        <w:tc>
          <w:tcPr>
            <w:tcW w:w="4380" w:type="dxa"/>
            <w:vAlign w:val="bottom"/>
            <w:tcBorders>
              <w:top w:val="single" w:sz="8" w:color="EEEEEE"/>
            </w:tcBorders>
            <w:gridSpan w:val="2"/>
          </w:tcPr>
          <w:p>
            <w:pPr>
              <w:jc w:val="right"/>
              <w:ind w:right="93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EEEEEE"/>
            </w:tcBorders>
            <w:gridSpan w:val="2"/>
          </w:tcPr>
          <w:p>
            <w:pPr>
              <w:jc w:val="right"/>
              <w:ind w:right="320"/>
              <w:spacing w:after="0"/>
              <w:rPr>
                <w:sz w:val="20"/>
                <w:szCs w:val="20"/>
                <w:color w:val="auto"/>
              </w:rPr>
            </w:pPr>
            <w:r>
              <w:rPr>
                <w:rFonts w:ascii="Arial" w:cs="Arial" w:eastAsia="Arial" w:hAnsi="Arial"/>
                <w:sz w:val="18"/>
                <w:szCs w:val="18"/>
                <w:color w:val="auto"/>
              </w:rPr>
              <w:t>8.78</w:t>
            </w:r>
          </w:p>
        </w:tc>
        <w:tc>
          <w:tcPr>
            <w:tcW w:w="360" w:type="dxa"/>
            <w:vAlign w:val="bottom"/>
            <w:tcBorders>
              <w:top w:val="single" w:sz="8" w:color="EEEEEE"/>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EEEEEE"/>
            </w:tcBorders>
            <w:gridSpan w:val="2"/>
          </w:tcPr>
          <w:p>
            <w:pPr>
              <w:jc w:val="right"/>
              <w:ind w:right="100"/>
              <w:spacing w:after="0"/>
              <w:rPr>
                <w:sz w:val="20"/>
                <w:szCs w:val="20"/>
                <w:color w:val="auto"/>
              </w:rPr>
            </w:pPr>
            <w:r>
              <w:rPr>
                <w:rFonts w:ascii="Arial" w:cs="Arial" w:eastAsia="Arial" w:hAnsi="Arial"/>
                <w:sz w:val="18"/>
                <w:szCs w:val="18"/>
                <w:color w:val="auto"/>
              </w:rPr>
              <w:t>3.92</w:t>
            </w:r>
          </w:p>
        </w:tc>
      </w:tr>
      <w:tr>
        <w:trPr>
          <w:trHeight w:val="216"/>
        </w:trPr>
        <w:tc>
          <w:tcPr>
            <w:tcW w:w="44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Second Quarter</w:t>
            </w:r>
          </w:p>
        </w:tc>
        <w:tc>
          <w:tcPr>
            <w:tcW w:w="326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3.97</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2.08</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3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2.43</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r>
      <w:tr>
        <w:trPr>
          <w:trHeight w:val="216"/>
        </w:trPr>
        <w:tc>
          <w:tcPr>
            <w:tcW w:w="44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Fourth Quarter</w:t>
            </w:r>
          </w:p>
        </w:tc>
        <w:tc>
          <w:tcPr>
            <w:tcW w:w="326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1.85</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3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1"/>
        </w:trPr>
        <w:tc>
          <w:tcPr>
            <w:tcW w:w="360" w:type="dxa"/>
            <w:vAlign w:val="bottom"/>
            <w:tcBorders>
              <w:bottom w:val="single" w:sz="8" w:color="auto"/>
            </w:tcBorders>
            <w:shd w:val="clear" w:color="auto" w:fill="EEEEEE"/>
          </w:tcPr>
          <w:p>
            <w:pPr>
              <w:spacing w:after="0" w:line="176" w:lineRule="exact"/>
              <w:rPr>
                <w:sz w:val="20"/>
                <w:szCs w:val="20"/>
                <w:color w:val="auto"/>
              </w:rPr>
            </w:pPr>
            <w:r>
              <w:rPr>
                <w:rFonts w:ascii="Arial" w:cs="Arial" w:eastAsia="Arial" w:hAnsi="Arial"/>
                <w:sz w:val="18"/>
                <w:szCs w:val="18"/>
                <w:color w:val="auto"/>
                <w:w w:val="84"/>
              </w:rPr>
              <w:t>2021</w:t>
            </w:r>
          </w:p>
        </w:tc>
        <w:tc>
          <w:tcPr>
            <w:tcW w:w="4040" w:type="dxa"/>
            <w:vAlign w:val="bottom"/>
            <w:tcBorders>
              <w:bottom w:val="single" w:sz="8" w:color="EEEEEE"/>
            </w:tcBorders>
            <w:shd w:val="clear" w:color="auto" w:fill="EEEEEE"/>
          </w:tcPr>
          <w:p>
            <w:pPr>
              <w:spacing w:after="0"/>
              <w:rPr>
                <w:sz w:val="17"/>
                <w:szCs w:val="17"/>
                <w:color w:val="auto"/>
              </w:rPr>
            </w:pPr>
          </w:p>
        </w:tc>
        <w:tc>
          <w:tcPr>
            <w:tcW w:w="3260" w:type="dxa"/>
            <w:vAlign w:val="bottom"/>
            <w:tcBorders>
              <w:bottom w:val="single" w:sz="8" w:color="EEEEEE"/>
            </w:tcBorders>
            <w:shd w:val="clear" w:color="auto" w:fill="EEEEEE"/>
          </w:tcPr>
          <w:p>
            <w:pPr>
              <w:spacing w:after="0"/>
              <w:rPr>
                <w:sz w:val="17"/>
                <w:szCs w:val="17"/>
                <w:color w:val="auto"/>
              </w:rPr>
            </w:pPr>
          </w:p>
        </w:tc>
        <w:tc>
          <w:tcPr>
            <w:tcW w:w="1120" w:type="dxa"/>
            <w:vAlign w:val="bottom"/>
            <w:tcBorders>
              <w:bottom w:val="single" w:sz="8" w:color="EEEEEE"/>
            </w:tcBorders>
            <w:shd w:val="clear" w:color="auto" w:fill="EEEEEE"/>
          </w:tcPr>
          <w:p>
            <w:pPr>
              <w:spacing w:after="0"/>
              <w:rPr>
                <w:sz w:val="17"/>
                <w:szCs w:val="17"/>
                <w:color w:val="auto"/>
              </w:rPr>
            </w:pPr>
          </w:p>
        </w:tc>
        <w:tc>
          <w:tcPr>
            <w:tcW w:w="460" w:type="dxa"/>
            <w:vAlign w:val="bottom"/>
            <w:tcBorders>
              <w:bottom w:val="single" w:sz="8" w:color="EEEEEE"/>
            </w:tcBorders>
            <w:shd w:val="clear" w:color="auto" w:fill="EEEEEE"/>
          </w:tcPr>
          <w:p>
            <w:pPr>
              <w:spacing w:after="0"/>
              <w:rPr>
                <w:sz w:val="17"/>
                <w:szCs w:val="17"/>
                <w:color w:val="auto"/>
              </w:rPr>
            </w:pPr>
          </w:p>
        </w:tc>
        <w:tc>
          <w:tcPr>
            <w:tcW w:w="320" w:type="dxa"/>
            <w:vAlign w:val="bottom"/>
            <w:tcBorders>
              <w:bottom w:val="single" w:sz="8" w:color="EEEEEE"/>
            </w:tcBorders>
            <w:shd w:val="clear" w:color="auto" w:fill="EEEEEE"/>
          </w:tcPr>
          <w:p>
            <w:pPr>
              <w:spacing w:after="0"/>
              <w:rPr>
                <w:sz w:val="17"/>
                <w:szCs w:val="17"/>
                <w:color w:val="auto"/>
              </w:rPr>
            </w:pPr>
          </w:p>
        </w:tc>
        <w:tc>
          <w:tcPr>
            <w:tcW w:w="360" w:type="dxa"/>
            <w:vAlign w:val="bottom"/>
            <w:tcBorders>
              <w:bottom w:val="single" w:sz="8" w:color="EEEEEE"/>
            </w:tcBorders>
            <w:shd w:val="clear" w:color="auto" w:fill="EEEEEE"/>
          </w:tcPr>
          <w:p>
            <w:pPr>
              <w:spacing w:after="0"/>
              <w:rPr>
                <w:sz w:val="17"/>
                <w:szCs w:val="17"/>
                <w:color w:val="auto"/>
              </w:rPr>
            </w:pPr>
          </w:p>
        </w:tc>
        <w:tc>
          <w:tcPr>
            <w:tcW w:w="122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r>
      <w:tr>
        <w:trPr>
          <w:trHeight w:val="230"/>
        </w:trPr>
        <w:tc>
          <w:tcPr>
            <w:tcW w:w="4400" w:type="dxa"/>
            <w:vAlign w:val="bottom"/>
            <w:tcBorders>
              <w:top w:val="single" w:sz="8" w:color="EEEEEE"/>
            </w:tcBorders>
            <w:gridSpan w:val="2"/>
          </w:tcPr>
          <w:p>
            <w:pPr>
              <w:spacing w:after="0"/>
              <w:rPr>
                <w:sz w:val="20"/>
                <w:szCs w:val="20"/>
                <w:color w:val="auto"/>
              </w:rPr>
            </w:pPr>
            <w:r>
              <w:rPr>
                <w:rFonts w:ascii="Arial" w:cs="Arial" w:eastAsia="Arial" w:hAnsi="Arial"/>
                <w:sz w:val="18"/>
                <w:szCs w:val="18"/>
                <w:color w:val="auto"/>
              </w:rPr>
              <w:t>Fourth Quarter</w:t>
            </w:r>
          </w:p>
        </w:tc>
        <w:tc>
          <w:tcPr>
            <w:tcW w:w="4380" w:type="dxa"/>
            <w:vAlign w:val="bottom"/>
            <w:tcBorders>
              <w:top w:val="single" w:sz="8" w:color="EEEEEE"/>
            </w:tcBorders>
            <w:gridSpan w:val="2"/>
          </w:tcPr>
          <w:p>
            <w:pPr>
              <w:jc w:val="right"/>
              <w:ind w:right="93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EEEEEE"/>
            </w:tcBorders>
            <w:gridSpan w:val="2"/>
          </w:tcPr>
          <w:p>
            <w:pPr>
              <w:jc w:val="right"/>
              <w:ind w:right="320"/>
              <w:spacing w:after="0"/>
              <w:rPr>
                <w:sz w:val="20"/>
                <w:szCs w:val="20"/>
                <w:color w:val="auto"/>
              </w:rPr>
            </w:pPr>
            <w:r>
              <w:rPr>
                <w:rFonts w:ascii="Arial" w:cs="Arial" w:eastAsia="Arial" w:hAnsi="Arial"/>
                <w:sz w:val="18"/>
                <w:szCs w:val="18"/>
                <w:color w:val="auto"/>
              </w:rPr>
              <w:t>8.35</w:t>
            </w:r>
          </w:p>
        </w:tc>
        <w:tc>
          <w:tcPr>
            <w:tcW w:w="360" w:type="dxa"/>
            <w:vAlign w:val="bottom"/>
            <w:tcBorders>
              <w:top w:val="single" w:sz="8" w:color="EEEEEE"/>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EEEEEE"/>
            </w:tcBorders>
            <w:gridSpan w:val="2"/>
          </w:tcPr>
          <w:p>
            <w:pPr>
              <w:jc w:val="right"/>
              <w:ind w:right="100"/>
              <w:spacing w:after="0"/>
              <w:rPr>
                <w:sz w:val="20"/>
                <w:szCs w:val="20"/>
                <w:color w:val="auto"/>
              </w:rPr>
            </w:pPr>
            <w:r>
              <w:rPr>
                <w:rFonts w:ascii="Arial" w:cs="Arial" w:eastAsia="Arial" w:hAnsi="Arial"/>
                <w:sz w:val="18"/>
                <w:szCs w:val="18"/>
                <w:color w:val="auto"/>
              </w:rPr>
              <w:t>4.83</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September 27, 2022, we had 23 holders of record of our common stock and 29,572,382 shares of common stock issued and outstanding.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never paid cash dividends on our common stock. Holders of our common stock are entitled to receive dividends, if any, declared and paid from time to time by the board of directors out of funds legally available. We intend to retain any earnings for the operation and expansion of our business and do not anticipate paying cash dividends on our common stock in the foreseeable future. Any future determination as to the payment of cash dividends will depend upon future earnings, results of operations, capital requirements, our financial condition and other factors that our board of directors may consider.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total number of underlying shares of the Company’s common stock available for grant to directors, officers, key employees and consultants of the Company or a subsidiary of the Company under the Company’s Amended and Restated 2020 Equity Inventive Plan (the “Equity Incentive Plan”) was 5,000,000 shares. Grants made under the Equity Incentive Plan must be approved by the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6" w:name="page37"/>
    <w:bookmarkEnd w:id="36"/>
    <w:p>
      <w:pPr>
        <w:ind w:left="660"/>
        <w:spacing w:after="0"/>
        <w:rPr>
          <w:sz w:val="20"/>
          <w:szCs w:val="20"/>
          <w:color w:val="auto"/>
        </w:rPr>
      </w:pPr>
      <w:r>
        <w:rPr>
          <w:rFonts w:ascii="Arial" w:cs="Arial" w:eastAsia="Arial" w:hAnsi="Arial"/>
          <w:sz w:val="18"/>
          <w:szCs w:val="18"/>
          <w:color w:val="auto"/>
        </w:rPr>
        <w:t>The following table provides information as of June 30, 2022 about our equity compensation plans and arrangements.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380"/>
              <w:spacing w:after="0"/>
              <w:rPr>
                <w:sz w:val="20"/>
                <w:szCs w:val="20"/>
                <w:color w:val="auto"/>
              </w:rPr>
            </w:pPr>
            <w:r>
              <w:rPr>
                <w:rFonts w:ascii="Arial" w:cs="Arial" w:eastAsia="Arial" w:hAnsi="Arial"/>
                <w:sz w:val="18"/>
                <w:szCs w:val="18"/>
                <w:color w:val="auto"/>
                <w:w w:val="95"/>
              </w:rPr>
              <w:t>Number of</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Number of</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securities to be</w:t>
            </w:r>
          </w:p>
        </w:tc>
        <w:tc>
          <w:tcPr>
            <w:tcW w:w="120" w:type="dxa"/>
            <w:vAlign w:val="bottom"/>
          </w:tcPr>
          <w:p>
            <w:pPr>
              <w:spacing w:after="0"/>
              <w:rPr>
                <w:sz w:val="18"/>
                <w:szCs w:val="18"/>
                <w:color w:val="auto"/>
              </w:rPr>
            </w:pPr>
          </w:p>
        </w:tc>
        <w:tc>
          <w:tcPr>
            <w:tcW w:w="1760" w:type="dxa"/>
            <w:vAlign w:val="bottom"/>
            <w:gridSpan w:val="2"/>
          </w:tcPr>
          <w:p>
            <w:pPr>
              <w:jc w:val="center"/>
              <w:ind w:right="500"/>
              <w:spacing w:after="0"/>
              <w:rPr>
                <w:sz w:val="20"/>
                <w:szCs w:val="20"/>
                <w:color w:val="auto"/>
              </w:rPr>
            </w:pPr>
            <w:r>
              <w:rPr>
                <w:rFonts w:ascii="Arial" w:cs="Arial" w:eastAsia="Arial" w:hAnsi="Arial"/>
                <w:sz w:val="18"/>
                <w:szCs w:val="18"/>
                <w:color w:val="auto"/>
                <w:w w:val="90"/>
              </w:rPr>
              <w:t>Weighted-</w:t>
            </w:r>
          </w:p>
        </w:tc>
        <w:tc>
          <w:tcPr>
            <w:tcW w:w="16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securities</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issued upon</w:t>
            </w:r>
          </w:p>
        </w:tc>
        <w:tc>
          <w:tcPr>
            <w:tcW w:w="120" w:type="dxa"/>
            <w:vAlign w:val="bottom"/>
          </w:tcPr>
          <w:p>
            <w:pPr>
              <w:spacing w:after="0"/>
              <w:rPr>
                <w:sz w:val="18"/>
                <w:szCs w:val="18"/>
                <w:color w:val="auto"/>
              </w:rPr>
            </w:pPr>
          </w:p>
        </w:tc>
        <w:tc>
          <w:tcPr>
            <w:tcW w:w="1760" w:type="dxa"/>
            <w:vAlign w:val="bottom"/>
            <w:gridSpan w:val="2"/>
          </w:tcPr>
          <w:p>
            <w:pPr>
              <w:jc w:val="center"/>
              <w:ind w:right="480"/>
              <w:spacing w:after="0"/>
              <w:rPr>
                <w:sz w:val="20"/>
                <w:szCs w:val="20"/>
                <w:color w:val="auto"/>
              </w:rPr>
            </w:pPr>
            <w:r>
              <w:rPr>
                <w:rFonts w:ascii="Arial" w:cs="Arial" w:eastAsia="Arial" w:hAnsi="Arial"/>
                <w:sz w:val="18"/>
                <w:szCs w:val="18"/>
                <w:color w:val="auto"/>
                <w:w w:val="86"/>
              </w:rPr>
              <w:t>average</w:t>
            </w: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remaining</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exercise of</w:t>
            </w:r>
          </w:p>
        </w:tc>
        <w:tc>
          <w:tcPr>
            <w:tcW w:w="120" w:type="dxa"/>
            <w:vAlign w:val="bottom"/>
          </w:tcPr>
          <w:p>
            <w:pPr>
              <w:spacing w:after="0"/>
              <w:rPr>
                <w:sz w:val="18"/>
                <w:szCs w:val="18"/>
                <w:color w:val="auto"/>
              </w:rPr>
            </w:pPr>
          </w:p>
        </w:tc>
        <w:tc>
          <w:tcPr>
            <w:tcW w:w="1760" w:type="dxa"/>
            <w:vAlign w:val="bottom"/>
            <w:gridSpan w:val="2"/>
          </w:tcPr>
          <w:p>
            <w:pPr>
              <w:jc w:val="center"/>
              <w:ind w:right="480"/>
              <w:spacing w:after="0"/>
              <w:rPr>
                <w:sz w:val="20"/>
                <w:szCs w:val="20"/>
                <w:color w:val="auto"/>
              </w:rPr>
            </w:pPr>
            <w:r>
              <w:rPr>
                <w:rFonts w:ascii="Arial" w:cs="Arial" w:eastAsia="Arial" w:hAnsi="Arial"/>
                <w:sz w:val="18"/>
                <w:szCs w:val="18"/>
                <w:color w:val="auto"/>
                <w:w w:val="91"/>
              </w:rPr>
              <w:t>exercise price of</w:t>
            </w: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available for</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outstanding</w:t>
            </w:r>
          </w:p>
        </w:tc>
        <w:tc>
          <w:tcPr>
            <w:tcW w:w="120" w:type="dxa"/>
            <w:vAlign w:val="bottom"/>
          </w:tcPr>
          <w:p>
            <w:pPr>
              <w:spacing w:after="0"/>
              <w:rPr>
                <w:sz w:val="18"/>
                <w:szCs w:val="18"/>
                <w:color w:val="auto"/>
              </w:rPr>
            </w:pPr>
          </w:p>
        </w:tc>
        <w:tc>
          <w:tcPr>
            <w:tcW w:w="1760" w:type="dxa"/>
            <w:vAlign w:val="bottom"/>
            <w:gridSpan w:val="2"/>
          </w:tcPr>
          <w:p>
            <w:pPr>
              <w:jc w:val="center"/>
              <w:ind w:right="480"/>
              <w:spacing w:after="0"/>
              <w:rPr>
                <w:sz w:val="20"/>
                <w:szCs w:val="20"/>
                <w:color w:val="auto"/>
              </w:rPr>
            </w:pPr>
            <w:r>
              <w:rPr>
                <w:rFonts w:ascii="Arial" w:cs="Arial" w:eastAsia="Arial" w:hAnsi="Arial"/>
                <w:sz w:val="18"/>
                <w:szCs w:val="18"/>
                <w:color w:val="auto"/>
                <w:w w:val="90"/>
              </w:rPr>
              <w:t>outstanding</w:t>
            </w:r>
          </w:p>
        </w:tc>
        <w:tc>
          <w:tcPr>
            <w:tcW w:w="168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future issuance</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options,</w:t>
            </w:r>
          </w:p>
        </w:tc>
        <w:tc>
          <w:tcPr>
            <w:tcW w:w="120" w:type="dxa"/>
            <w:vAlign w:val="bottom"/>
          </w:tcPr>
          <w:p>
            <w:pPr>
              <w:spacing w:after="0"/>
              <w:rPr>
                <w:sz w:val="18"/>
                <w:szCs w:val="18"/>
                <w:color w:val="auto"/>
              </w:rPr>
            </w:pPr>
          </w:p>
        </w:tc>
        <w:tc>
          <w:tcPr>
            <w:tcW w:w="176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options,</w:t>
            </w: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under equity</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warrants and</w:t>
            </w:r>
          </w:p>
        </w:tc>
        <w:tc>
          <w:tcPr>
            <w:tcW w:w="120" w:type="dxa"/>
            <w:vAlign w:val="bottom"/>
          </w:tcPr>
          <w:p>
            <w:pPr>
              <w:spacing w:after="0"/>
              <w:rPr>
                <w:sz w:val="18"/>
                <w:szCs w:val="18"/>
                <w:color w:val="auto"/>
              </w:rPr>
            </w:pPr>
          </w:p>
        </w:tc>
        <w:tc>
          <w:tcPr>
            <w:tcW w:w="1760" w:type="dxa"/>
            <w:vAlign w:val="bottom"/>
            <w:gridSpan w:val="2"/>
          </w:tcPr>
          <w:p>
            <w:pPr>
              <w:jc w:val="center"/>
              <w:ind w:right="480"/>
              <w:spacing w:after="0"/>
              <w:rPr>
                <w:sz w:val="20"/>
                <w:szCs w:val="20"/>
                <w:color w:val="auto"/>
              </w:rPr>
            </w:pPr>
            <w:r>
              <w:rPr>
                <w:rFonts w:ascii="Arial" w:cs="Arial" w:eastAsia="Arial" w:hAnsi="Arial"/>
                <w:sz w:val="18"/>
                <w:szCs w:val="18"/>
                <w:color w:val="auto"/>
                <w:w w:val="88"/>
              </w:rPr>
              <w:t>warrants and</w:t>
            </w:r>
          </w:p>
        </w:tc>
        <w:tc>
          <w:tcPr>
            <w:tcW w:w="16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compensation</w:t>
            </w:r>
          </w:p>
        </w:tc>
        <w:tc>
          <w:tcPr>
            <w:tcW w:w="0" w:type="dxa"/>
            <w:vAlign w:val="bottom"/>
          </w:tcPr>
          <w:p>
            <w:pPr>
              <w:spacing w:after="0"/>
              <w:rPr>
                <w:sz w:val="1"/>
                <w:szCs w:val="1"/>
                <w:color w:val="auto"/>
              </w:rPr>
            </w:pPr>
          </w:p>
        </w:tc>
      </w:tr>
      <w:tr>
        <w:trPr>
          <w:trHeight w:val="230"/>
        </w:trPr>
        <w:tc>
          <w:tcPr>
            <w:tcW w:w="5740" w:type="dxa"/>
            <w:vAlign w:val="bottom"/>
            <w:gridSpan w:val="2"/>
          </w:tcPr>
          <w:p>
            <w:pPr>
              <w:ind w:left="2260"/>
              <w:spacing w:after="0"/>
              <w:rPr>
                <w:sz w:val="20"/>
                <w:szCs w:val="20"/>
                <w:color w:val="auto"/>
              </w:rPr>
            </w:pPr>
            <w:r>
              <w:rPr>
                <w:rFonts w:ascii="Arial" w:cs="Arial" w:eastAsia="Arial" w:hAnsi="Arial"/>
                <w:sz w:val="18"/>
                <w:szCs w:val="18"/>
                <w:color w:val="auto"/>
              </w:rPr>
              <w:t>Plan category</w:t>
            </w:r>
          </w:p>
        </w:tc>
        <w:tc>
          <w:tcPr>
            <w:tcW w:w="1940" w:type="dxa"/>
            <w:vAlign w:val="bottom"/>
            <w:gridSpan w:val="2"/>
          </w:tcPr>
          <w:p>
            <w:pPr>
              <w:ind w:left="600"/>
              <w:spacing w:after="0"/>
              <w:rPr>
                <w:sz w:val="20"/>
                <w:szCs w:val="20"/>
                <w:color w:val="auto"/>
              </w:rPr>
            </w:pPr>
            <w:r>
              <w:rPr>
                <w:rFonts w:ascii="Arial" w:cs="Arial" w:eastAsia="Arial" w:hAnsi="Arial"/>
                <w:sz w:val="18"/>
                <w:szCs w:val="18"/>
                <w:color w:val="auto"/>
              </w:rPr>
              <w:t>rights</w:t>
            </w:r>
          </w:p>
        </w:tc>
        <w:tc>
          <w:tcPr>
            <w:tcW w:w="120" w:type="dxa"/>
            <w:vAlign w:val="bottom"/>
          </w:tcPr>
          <w:p>
            <w:pPr>
              <w:spacing w:after="0"/>
              <w:rPr>
                <w:sz w:val="20"/>
                <w:szCs w:val="20"/>
                <w:color w:val="auto"/>
              </w:rPr>
            </w:pPr>
          </w:p>
        </w:tc>
        <w:tc>
          <w:tcPr>
            <w:tcW w:w="1760" w:type="dxa"/>
            <w:vAlign w:val="bottom"/>
            <w:gridSpan w:val="2"/>
          </w:tcPr>
          <w:p>
            <w:pPr>
              <w:jc w:val="right"/>
              <w:ind w:right="900"/>
              <w:spacing w:after="0"/>
              <w:rPr>
                <w:sz w:val="20"/>
                <w:szCs w:val="20"/>
                <w:color w:val="auto"/>
              </w:rPr>
            </w:pPr>
            <w:r>
              <w:rPr>
                <w:rFonts w:ascii="Arial" w:cs="Arial" w:eastAsia="Arial" w:hAnsi="Arial"/>
                <w:sz w:val="18"/>
                <w:szCs w:val="18"/>
                <w:color w:val="auto"/>
              </w:rPr>
              <w:t>rights</w:t>
            </w:r>
          </w:p>
        </w:tc>
        <w:tc>
          <w:tcPr>
            <w:tcW w:w="1680" w:type="dxa"/>
            <w:vAlign w:val="bottom"/>
            <w:gridSpan w:val="2"/>
          </w:tcPr>
          <w:p>
            <w:pPr>
              <w:ind w:left="600"/>
              <w:spacing w:after="0"/>
              <w:rPr>
                <w:sz w:val="20"/>
                <w:szCs w:val="20"/>
                <w:color w:val="auto"/>
              </w:rPr>
            </w:pPr>
            <w:r>
              <w:rPr>
                <w:rFonts w:ascii="Arial" w:cs="Arial" w:eastAsia="Arial" w:hAnsi="Arial"/>
                <w:sz w:val="18"/>
                <w:szCs w:val="18"/>
                <w:color w:val="auto"/>
              </w:rPr>
              <w:t>plans</w:t>
            </w:r>
          </w:p>
        </w:tc>
        <w:tc>
          <w:tcPr>
            <w:tcW w:w="0" w:type="dxa"/>
            <w:vAlign w:val="bottom"/>
          </w:tcPr>
          <w:p>
            <w:pPr>
              <w:spacing w:after="0"/>
              <w:rPr>
                <w:sz w:val="1"/>
                <w:szCs w:val="1"/>
                <w:color w:val="auto"/>
              </w:rPr>
            </w:pPr>
          </w:p>
        </w:tc>
      </w:tr>
      <w:tr>
        <w:trPr>
          <w:trHeight w:val="209"/>
        </w:trPr>
        <w:tc>
          <w:tcPr>
            <w:tcW w:w="552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220" w:type="dxa"/>
            <w:vAlign w:val="bottom"/>
            <w:tcBorders>
              <w:top w:val="single" w:sz="8" w:color="EEEEEE"/>
            </w:tcBorders>
            <w:shd w:val="clear" w:color="auto" w:fill="EEEEEE"/>
          </w:tcPr>
          <w:p>
            <w:pPr>
              <w:spacing w:after="0"/>
              <w:rPr>
                <w:sz w:val="18"/>
                <w:szCs w:val="18"/>
                <w:color w:val="auto"/>
              </w:rPr>
            </w:pPr>
          </w:p>
        </w:tc>
        <w:tc>
          <w:tcPr>
            <w:tcW w:w="16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3,469,674</w:t>
            </w:r>
          </w:p>
        </w:tc>
        <w:tc>
          <w:tcPr>
            <w:tcW w:w="3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1.12</w:t>
            </w:r>
          </w:p>
        </w:tc>
        <w:tc>
          <w:tcPr>
            <w:tcW w:w="3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1,530,326</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 (1)</w:t>
            </w: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40" w:type="dxa"/>
            <w:vAlign w:val="bottom"/>
            <w:tcBorders>
              <w:top w:val="single" w:sz="8" w:color="EEEEEE"/>
              <w:bottom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3,469,974</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1.12</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1,530,326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Recent Sales of Unregistered Securities</w:t>
            </w: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740" w:type="dxa"/>
            <w:vAlign w:val="bottom"/>
            <w:gridSpan w:val="2"/>
            <w:vMerge w:val="continue"/>
          </w:tcPr>
          <w:p>
            <w:pPr>
              <w:spacing w:after="0"/>
              <w:rPr>
                <w:sz w:val="24"/>
                <w:szCs w:val="24"/>
                <w:color w:val="auto"/>
              </w:rPr>
            </w:pP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Set forth below is information regarding all securities issued by us within the past three years. Also included is the consideration received by us for such securities, if any, and information relating to the section of the Securities Act, or rule of the SEC, under which exemption from registration was claimed.</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February 15, 2022, pursuant to the terms of a share transfer framework agreement (the “Transfer Agreement”) for acquisition of 100% of the ordinary shares of Anivia Limited (“Anivia”) and its subsidiaries and VIE, the Company issued 3,083,700 restricted shares (subject to a lock-up period of 180 days and insider trading rules) of the Company’s common stock to White Cherry Limited, a BVI company (“White Cherry”). Please see Note 4 of the Notes to Consolidated Financial Statements for details.</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January 27, 2021, the Company completed a private placement offering pursuant to which the Company sold to two accredited investors an aggregate of $3,000,000 in convertible notes with a 6% interest per annum (the “Convertible Note”) and warrants to purchase shares of Class A Common Stock equaling 80% of the number of shares of Class A Common Stock issuable upon conversion of the Convertible Notes. The warrants shall be exercisable for a period of three years from the IPO completion date at a per share exercise price equal to the IPO. The Convertible Notes shall be automatically converted into the Company’s Class A Common Stock upon a qualified IPO (the “Mandatory Conversion”) or repayable in cash at the option of the holders of the Convertible Notes with repayment to commence six months after January 27, 2021. The Convertible Notes convert at a price equal to the lesser of (a) a price representing a 30% discount to the public offering price per share of the Class A Common Stock in this Offering, or (b) a price representing a 30% discount to the price per share equal to dividing $200 million by the total number of (x) outstanding shares of Class A Common Stock immediately prior to the IPO, (y) the number of Class A Common Stock issuable upon conversion of the 34,500 shares of Series A Preferred Stock, and (z) the number of Class A Common Stock issuable upon conversion of all outstanding Convertible Notes. Any interest accrued on the Convertible Note will be waived upon conversion.</w:t>
      </w:r>
    </w:p>
    <w:p>
      <w:pPr>
        <w:spacing w:after="0" w:line="182"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In connection with the convertible note offering, the Company issued placement agent warrants to purchase 7.0% of the shares of Class A Common Stock underlying the Convertible Notes exercisable at the conversion price of the Convertible Note (the “Conversion Price”). The placement agent warrants were exercisable for a period of five years from the issuance date and are treated as a debt issuance cost.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7" w:name="page38"/>
    <w:bookmarkEnd w:id="37"/>
    <w:p>
      <w:pPr>
        <w:jc w:val="both"/>
        <w:ind w:firstLine="648"/>
        <w:spacing w:after="0" w:line="296" w:lineRule="auto"/>
        <w:rPr>
          <w:sz w:val="20"/>
          <w:szCs w:val="20"/>
          <w:color w:val="auto"/>
        </w:rPr>
      </w:pPr>
      <w:r>
        <w:rPr>
          <w:rFonts w:ascii="Arial" w:cs="Arial" w:eastAsia="Arial" w:hAnsi="Arial"/>
          <w:sz w:val="16"/>
          <w:szCs w:val="16"/>
          <w:color w:val="auto"/>
        </w:rPr>
        <w:t>On December 30, 2020, we issued a total of 34,500 shares of Series A convertible preferred stock, par value $0.001 per share, to a total of three accredited investors, at a purchase price of $10.00 per share, for a total purchase price of $345,000. Boustead Securities, LLC acted as placement agent in the Series A preferred offering, and received compensation of $27,600 and warrants to purchase 2,415 shares of Series A convertible preferred stock. The shares were issued to accredited investors pursuant to exemption from registration under Rule 506(b) of Regulation D under the Securities Act. Following completion of our IPO, on May 14, 2021, the placement agent warrants issued in relation to the 2020 and 2021 private placements were exercised in full.</w:t>
      </w:r>
    </w:p>
    <w:p>
      <w:pPr>
        <w:spacing w:after="0" w:line="16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October 20, 2020, we issued 14,000,000 shares of our Class B Common Stock, par value $0.001 per share, to our two founders, Allan Huang and Chenlong Tan in exchange for a total purchase price of $14,000. The shares were issued to our two founders pursuant to an exemption from registration under Section 4(a)(2) of the Securities Act. The shares of Class B Common Stock entitled the holders to 10 votes per share and were eligible to convert into shares of Class A Common Stock, on a one-for-ten basis, at any time following twelve (12) months after the Company’s completion of its initial public offering. On April 14, 2021, the Company amended its articles of incorporation to permit immediate conversion of the Class B Common Stock and the Company’s two founders converted all of their 14,000,000 shares of Class B Common Stock into 1,400,000 additional shares of Class A Common Stock, bringing their total ownership to an aggregate of 16,046,668 shares of Class A Common Stock or 60.67% of the 26,448,663 shares of Class A Common Stock t. Effective April 14, 2021, the Company amended and restated its Articles of Incorporation to permit the immediate conversion of the Class B Common Stock and to eliminate any future issuances of Class B Common Stock. On April 23, 2021, the Company further amended and restated its articles of incorporation to eliminate the Class A and Class B Common Stock and authorize for issuance 180,000,000 shares which are solely designated as Common Stock.</w:t>
      </w:r>
    </w:p>
    <w:p>
      <w:pPr>
        <w:spacing w:after="0" w:line="18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On January 15, 2020, we issued a total of 204,496 shares of our Common Stock to Sugarmade Inc. as a refund of cash related to a terminated merger agreement. The shares were issued to Sugarmade Inc. pursuant to an exemption from registration under Section 4(a)(2) of the Securities Act.</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April 2018 and July 2020, we issued a total of 20,000,000 shares of our Common Stock, par value $0.001 per share, to our two founders and four key employees. The shares were issued to our founders and key employees pursuant to an exemption from registration under Section 4(a)(2) of the Securities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required for smaller reporting companies.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The following Management’s Discussion and Analysis should be read in conjunction with our financial statements and the related notes thereto included elsewhere herein. The Management’s Discussion and Analysis (“MD&amp;A”) contains forward-looking statements that involve risks and uncertainties, such as statements of our plans, objectives, expectations and intentions. Any statements that are not statements of historical fact are forward-looking statements. When used, the words “believe,” “plan,” “intend,” “anticipate,” “target,” “estimate,” “expect,” and the like, and/or future-tense or conditional constructions (“will,” “may,” “could,” “should,” etc.), or similar expressions, identify certain of these forward-looking statements. These forward-looking statements are subject to risks and uncertainties that could cause actual results or events to differ materially from those expressed or implied by the forward-looking statements in this form. Our actual results and the timing of events could differ materially from those anticipated in these forward-looking statements as a result of several factors.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Historical results may not indicate future performance. Our forward-looking statements reflect our current views about future events, are based on assumptions and are subject to known and unknown risks and uncertainties that could cause actual results to differ materially from those contemplated by these statements. We undertake no obligation to publicly update or revise any forward-looking statements, including any changes that might result from any facts, events, or circumstances after the date hereof that may bear upon forward-looking statements. Furthermore, we cannot guarantee future results, events, levels of activity, performance, or achievements.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iPower Inc. is an online hydroponic equipment supplier based in the United States. Through the operations of our e-commerce platform, www.Zenhydro.com, our 99,000 square foot fulfillment center in Rancho Cucamonga, California, and our combined 121,000 square foot fulfillment centers in Los Angeles, California, we believe we are one of the leading marketers, distributors and retailers of grow-light systems, ventilation systems, activated carbon filters, nutrients, growing media, hydroponic water-resistant grow tents, trimming machines, pumps and accessories for hydroponic gardening, based on management’s estimates. We have a diverse customer base that includes commercial users and individuals. Our core strategy continues to focus on expanding our geographic reach across the United States through organic growth, both in terms of expanding customer base as well as brand and product development.</w:t>
      </w:r>
    </w:p>
    <w:p>
      <w:pPr>
        <w:spacing w:after="0" w:line="19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We are actively developing and acquiring our in-house branded products, which to date include the </w:t>
      </w:r>
      <w:r>
        <w:rPr>
          <w:rFonts w:ascii="Arial" w:cs="Arial" w:eastAsia="Arial" w:hAnsi="Arial"/>
          <w:sz w:val="17"/>
          <w:szCs w:val="17"/>
          <w:b w:val="1"/>
          <w:bCs w:val="1"/>
          <w:i w:val="1"/>
          <w:iCs w:val="1"/>
          <w:color w:val="auto"/>
        </w:rPr>
        <w:t>iPower</w:t>
      </w:r>
      <w:r>
        <w:rPr>
          <w:rFonts w:ascii="Arial" w:cs="Arial" w:eastAsia="Arial" w:hAnsi="Arial"/>
          <w:sz w:val="17"/>
          <w:szCs w:val="17"/>
          <w:color w:val="auto"/>
        </w:rPr>
        <w:t xml:space="preserve"> and </w:t>
      </w:r>
      <w:r>
        <w:rPr>
          <w:rFonts w:ascii="Arial" w:cs="Arial" w:eastAsia="Arial" w:hAnsi="Arial"/>
          <w:sz w:val="17"/>
          <w:szCs w:val="17"/>
          <w:b w:val="1"/>
          <w:bCs w:val="1"/>
          <w:i w:val="1"/>
          <w:iCs w:val="1"/>
          <w:color w:val="auto"/>
        </w:rPr>
        <w:t>Simple Deluxe</w:t>
      </w:r>
      <w:r>
        <w:rPr>
          <w:rFonts w:ascii="Arial" w:cs="Arial" w:eastAsia="Arial" w:hAnsi="Arial"/>
          <w:sz w:val="17"/>
          <w:szCs w:val="17"/>
          <w:color w:val="auto"/>
        </w:rPr>
        <w:t xml:space="preserve"> brands, and consist of more than 4,000 SKUs of products such as grow-light systems, ventilation systems, activated carbon filters, nutrients, growing media, hydroponic water-resistant grow tents, trimming machines, pumps and many more hydroponic-related items; some of which have been designated as Amazon best seller product leaders, among others. For the fiscal year ended June 30, 2022, our top five product categories accounted for 70% of our total sales. While we will continue focusing on our top products, we are working to expand its product line to include nutrients.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Acquisitions and Joint Ventures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February 15, 2022, in exchange for total consideration with a fair value of $10.6 million, we acquired 100% of the ordinary shares of Anivia Limited (the “Target Company”), a corporation organized under the laws of the British Virgin Islands (“BVI”), in accordance with the terms of a share transfer framework agreement (the “Transfer Agreement”), dated February 15, 2022, by and between the Company, White Cherry Limited, a BVI company (“White Cherry”), White Cherry’s equity holders, Li Zanyu and Xie Jing (together with White Cherry, the “Sellers”), the Target Company, Fly Elephant Limited, a Hong Kong company, Dayourenzai (Shenzhen) Technology Co., Ltd., and Daheshou (Shenzhen) Information Technology Co., Ltd. The Target Company owns 100% of the equity of Fly Elephant Limited, which in turn owns 100% of the equity of Dayourenzai (Shenzhen) Technology Co., Ltd., a corporation located in the People’s Republic of China (“PRC”) and which is a wholly foreign-owned enterprise (“WFOE”) of Fly Elephant Limited. The WFOE controls, through a series of contractual arrangements summarized below, the business, revenues and profits of Daheshou (Shenzhen) Information Technology Co., Ltd., a company organized under the Laws of the PRC (the “Operating Company”) and located in Shenzhen, China. The Operating Company is principally engaged in selling of a wide range of products and providing logistic services in the PRC.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9" w:name="page40"/>
    <w:bookmarkEnd w:id="39"/>
    <w:p>
      <w:pPr>
        <w:jc w:val="both"/>
        <w:ind w:firstLine="648"/>
        <w:spacing w:after="0" w:line="255" w:lineRule="auto"/>
        <w:rPr>
          <w:sz w:val="20"/>
          <w:szCs w:val="20"/>
          <w:color w:val="auto"/>
        </w:rPr>
      </w:pPr>
      <w:r>
        <w:rPr>
          <w:rFonts w:ascii="Arial" w:cs="Arial" w:eastAsia="Arial" w:hAnsi="Arial"/>
          <w:sz w:val="18"/>
          <w:szCs w:val="18"/>
          <w:color w:val="auto"/>
        </w:rPr>
        <w:t>On February 10, 2022, we entered into a joint venture agreement with Bro Angel, LLC, Ji Shin and Bing Luo (the “GSM Joint Venture Agreement”). Pursuant to the terms of the GSM Joint Venture Agreement, the parties formed a Nevada limited liability company, Global Social Media, LLC (“GSM”), for the principal purpose of providing a social media platform, contents and services to assist businesses, including the Company and other businesses, in the marketing of their products. Following entry into the GSM Joint Venture Agreement, GSM issued 10,000 certificated units of membership interest (the “GSM Equity Units”), of which the Company was issued 6,000 GSM Equity Units and Bro Angel was issued 4,000 GSM Equity Units. Messrs. Shin and Luo are the owners of 100% of the equity of Bro Angel.</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terms of the GSM limited liability operating agreement (the “GSM LLC Agreement”), the Company will contribute $100,000 to the capital of GSM and Bro Angel granted GSM, pursuant to the terms of an intellectual property licensing agreement, dated February 10, 2022 (the “IP License Agreement”), an exclusive worldwide paid up right and license to use all intellectual property of Bro Angel and its members for the purpose of furthering the proposed business of GSM. The LLC Agreement prohibits the issuance of additional GSM Equity Units and certain other actions unless approved in advance by the Company.</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the GSM Joint Venture Agreement, the Company and GSM also intend to enter into an occupancy management agreement pursuant to which the Company will grant to GSM the right to have access to and use of up to approximately 4,000 square feet of office space along with internet access at the Company’s facility located at 2399 Bateman Avenue, Irwindale, CA 91010. It is contemplated that only approximately 300-400 square feet will be initially used by GSM.</w:t>
      </w:r>
    </w:p>
    <w:p>
      <w:pPr>
        <w:spacing w:after="0" w:line="1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January 13, 2020 we entered into a joint venture agreement with Titanium Plus Autoparts, Inc. (“TPA”), Tony Chiu, and Bin Xiao (the “TPA Joint Venture Agreement”). Pursuant to the terms of the TPA Joint Venture Agreement, the parties formed a Nevada limited liability company, Box Harmony, LLC (“Box Harmony”), for the principal purpose of providing logistic services primarily for foreign-based manufacturers or distributors who desire to sell their products online in the United States with such logistic services to include, without limitation, receiving, storing, and transporting such products. Following entry into the TPA Joint Venture Agreement, Box Harmony issued a total of 6,000 certificated units of membership interest, designated as Class A voting units (“Equity Units”), as follows: (i) we agreed to contribute $50,000 in cash and agreed to provide Box Harmony with the use and access to certain warehouse facilities leased by the Company in exchange for 2,400 Equity Units in Box Harmony, and (ii) TPA received 1,200 Equity Units in exchange for (a) $1,200 and contributing the TPA IP License referred to below, (b) its existing and future customer contracts, and (c) granting Box Harmony the use of shipping accounts (FedEx and UPS) and all other TPA carrier contracts, and (iii) Bin Xiao received 2,400 Equity Units in exchange for $2,400 and his agreement to manage the day to day operations of Box Harmony. We also entered into services agreement with Box Harmony pursuant to which we provide a portion of our fulfillment center infrastructure to Box Harmony in exchange for their payment.</w:t>
      </w:r>
    </w:p>
    <w:p>
      <w:pPr>
        <w:spacing w:after="0" w:line="17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terms of the Box Harmony limited liability operating agreement, TPA and Bin Xiao each granted to us an unconditional and irrevocable right and option to purchase from Bin Xiao and TPA at any time within the first 18 months following January 13, 2022, up to 1,200 Class A voting units, at an exercise price of up to $550 per Class A voting unit, for a total exercise price of up to $660,000. If such option is fully exercised, we would own 3,600 Equity Units or 60% of the total outstanding Equity Units. The Box Harmony LLC Agreement prohibits the issuance of additional Equity Units and certain other actions unless approved in advance by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Trends and Expectations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and Brand Development</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plan to increase investments in product and brand development. We actively evaluate potential acquisition opportunities of companies and product brand names that can complement our product catalog and improve on existing products and supply chain efficiencies.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Global Economic Disruption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While at present the majority of our products are sourced either in the United States or China, the military conflict between Russia and Ukraine may nonetheless increase the likelihood of supply chain interruptions and hinder our ability to find the materials we need to make our products. Thus far, as a result of the general global economic disruption, we have experienced a decrease in the speed with which we are able to purchase new inventory, as well as an increase in costs due to delays in shipping, resulting increase in time with which products remain in our warehouse facilities, thus resulting in reduced profits. In addition, supply chain disruptions may make it harder for us to find favorable pricing and reliable sources for the materials we need, putting upward pressure on our costs and increasing the risk that we may be unable to acquire the materials and services we need to continue to make certain products.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Ongoing COVID-19 Outbreak and Related Disruptions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continuing to closely monitor the impact of the ongoing COVID-19 outbreak on our business, results of operations and financial results. The situation surrounding the COVID-19 outbreak remains fluid and the full extent of the positive or negative impact of the COVID-19 outbreak on our business will depend on certain developments including the length of time that the outbreak continues, the impact on consumer activity and behaviors and the effect on our customers, employees, suppliers, and stockholders, all of which are uncertain and cannot be predicted. Our focus remains on promoting the health, safety and financial security of our employees and serving our customers. As a result, we have taken a number of precautionary measures, including implementing social distancing and enhanced cleaning measures in our facilities, suspending all non-essential travel, transitioning certain of our employees to working-from-home arrangements, reimbursing certain employee technology purchases, providing emergency paid time off and targeted hourly pay increases and developing no contact delivery methods.</w:t>
      </w:r>
    </w:p>
    <w:p>
      <w:pPr>
        <w:spacing w:after="0" w:line="17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an effort to contain or slow the COVID-19 outbreak, authorities across the world have implemented various measures, some of which have been subsequently rescinded or modified, including travel bans, stay-at-home orders and shutdowns of certain businesses. We anticipate that these actions and the global health crisis caused by the COVID-19 outbreak, including any resurgences, will continue to negatively impact global economic activity. While the COVID-19 outbreak has not had a material adverse impact on our operations to date and we believe the long-term opportunity that we see for shopping online remains unchanged, it is difficult to predict all of the positive or negative impacts the COVID-19 outbreak will have on our business.</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short term, we have continued to see increased sales and order activity in the market since the COVID-19 outbreak. In order to keep up with the increased orders, we have hired and are continuing to hire additional personnel. However, much is unknown and, accordingly, the situation remains dynamic and subject to rapid and possibly material change. We will continue to actively monitor the situation and may take further actions that alter our business operations as may be required by federal, state, local or foreign authorities, or that we determine are in the best interests of our customers, employees, suppliers, stockholders and communities.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Environment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sell hydroponic gardening products to end users that may use such products in new and emerging industries or segments, including the growing of cannabis. The demand for hydroponic gardening products depends on the uncertain growth of these industries or segments due to varying, inconsistent, and rapidly changing laws, regulations, administrative practices, enforcement approaches, judicial interpretations and consumer perceptions. For example, certain countries and a total of 44 U.S. states plus the District of Columbia have adopted frameworks that authorize, regulate and tax the cultivation, processing, sale and use of cannabis for medicinal and/or non-medicinal use, including legalization of hemp and CBD, while the U.S. Controlled Substances Act and the laws of U.S. states prohibit growing cannabis. Demand for our products could be impacted by changes in the regulatory environment with respect to such industries and segments.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years ended June, 2022 and 2021</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presents certain consolidated statement of operations information and presentation of that data as a percentage of change from period to period.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ind w:right="601"/>
              <w:spacing w:after="0"/>
              <w:rPr>
                <w:sz w:val="20"/>
                <w:szCs w:val="20"/>
                <w:color w:val="auto"/>
              </w:rPr>
            </w:pPr>
            <w:r>
              <w:rPr>
                <w:rFonts w:ascii="Arial" w:cs="Arial" w:eastAsia="Arial" w:hAnsi="Arial"/>
                <w:sz w:val="18"/>
                <w:szCs w:val="18"/>
                <w:b w:val="1"/>
                <w:bCs w:val="1"/>
                <w:color w:val="auto"/>
              </w:rPr>
              <w:t>Year Ended</w:t>
            </w:r>
          </w:p>
        </w:tc>
        <w:tc>
          <w:tcPr>
            <w:tcW w:w="180" w:type="dxa"/>
            <w:vAlign w:val="bottom"/>
          </w:tcPr>
          <w:p>
            <w:pPr>
              <w:spacing w:after="0"/>
              <w:rPr>
                <w:sz w:val="18"/>
                <w:szCs w:val="18"/>
                <w:color w:val="auto"/>
              </w:rPr>
            </w:pPr>
          </w:p>
        </w:tc>
        <w:tc>
          <w:tcPr>
            <w:tcW w:w="1700" w:type="dxa"/>
            <w:vAlign w:val="bottom"/>
            <w:gridSpan w:val="2"/>
          </w:tcPr>
          <w:p>
            <w:pPr>
              <w:jc w:val="right"/>
              <w:ind w:right="561"/>
              <w:spacing w:after="0"/>
              <w:rPr>
                <w:sz w:val="20"/>
                <w:szCs w:val="20"/>
                <w:color w:val="auto"/>
              </w:rPr>
            </w:pPr>
            <w:r>
              <w:rPr>
                <w:rFonts w:ascii="Arial" w:cs="Arial" w:eastAsia="Arial" w:hAnsi="Arial"/>
                <w:sz w:val="18"/>
                <w:szCs w:val="18"/>
                <w:b w:val="1"/>
                <w:bCs w:val="1"/>
                <w:color w:val="auto"/>
              </w:rPr>
              <w:t>Year Ended</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right"/>
              <w:ind w:right="541"/>
              <w:spacing w:after="0"/>
              <w:rPr>
                <w:sz w:val="20"/>
                <w:szCs w:val="20"/>
                <w:color w:val="auto"/>
              </w:rPr>
            </w:pPr>
            <w:r>
              <w:rPr>
                <w:rFonts w:ascii="Arial" w:cs="Arial" w:eastAsia="Arial" w:hAnsi="Arial"/>
                <w:sz w:val="18"/>
                <w:szCs w:val="18"/>
                <w:b w:val="1"/>
                <w:bCs w:val="1"/>
                <w:color w:val="auto"/>
                <w:w w:val="95"/>
              </w:rPr>
              <w:t>June 30, 2022</w:t>
            </w:r>
          </w:p>
        </w:tc>
        <w:tc>
          <w:tcPr>
            <w:tcW w:w="180" w:type="dxa"/>
            <w:vAlign w:val="bottom"/>
          </w:tcPr>
          <w:p>
            <w:pPr>
              <w:spacing w:after="0"/>
              <w:rPr>
                <w:sz w:val="20"/>
                <w:szCs w:val="20"/>
                <w:color w:val="auto"/>
              </w:rPr>
            </w:pPr>
          </w:p>
        </w:tc>
        <w:tc>
          <w:tcPr>
            <w:tcW w:w="1700" w:type="dxa"/>
            <w:vAlign w:val="bottom"/>
            <w:gridSpan w:val="2"/>
          </w:tcPr>
          <w:p>
            <w:pPr>
              <w:jc w:val="right"/>
              <w:ind w:right="501"/>
              <w:spacing w:after="0"/>
              <w:rPr>
                <w:sz w:val="20"/>
                <w:szCs w:val="20"/>
                <w:color w:val="auto"/>
              </w:rPr>
            </w:pPr>
            <w:r>
              <w:rPr>
                <w:rFonts w:ascii="Arial" w:cs="Arial" w:eastAsia="Arial" w:hAnsi="Arial"/>
                <w:sz w:val="18"/>
                <w:szCs w:val="18"/>
                <w:b w:val="1"/>
                <w:bCs w:val="1"/>
                <w:color w:val="auto"/>
                <w:w w:val="93"/>
              </w:rPr>
              <w:t>June 30, 2021</w:t>
            </w:r>
          </w:p>
        </w:tc>
        <w:tc>
          <w:tcPr>
            <w:tcW w:w="1680" w:type="dxa"/>
            <w:vAlign w:val="bottom"/>
            <w:gridSpan w:val="2"/>
          </w:tcPr>
          <w:p>
            <w:pPr>
              <w:jc w:val="right"/>
              <w:ind w:right="461"/>
              <w:spacing w:after="0"/>
              <w:rPr>
                <w:sz w:val="20"/>
                <w:szCs w:val="20"/>
                <w:color w:val="auto"/>
              </w:rPr>
            </w:pPr>
            <w:r>
              <w:rPr>
                <w:rFonts w:ascii="Arial" w:cs="Arial" w:eastAsia="Arial" w:hAnsi="Arial"/>
                <w:sz w:val="18"/>
                <w:szCs w:val="18"/>
                <w:b w:val="1"/>
                <w:bCs w:val="1"/>
                <w:color w:val="auto"/>
              </w:rPr>
              <w:t>Variance</w:t>
            </w:r>
          </w:p>
        </w:tc>
      </w:tr>
      <w:tr>
        <w:trPr>
          <w:trHeight w:val="209"/>
        </w:trPr>
        <w:tc>
          <w:tcPr>
            <w:tcW w:w="50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Revenues</w:t>
            </w:r>
          </w:p>
        </w:tc>
        <w:tc>
          <w:tcPr>
            <w:tcW w:w="7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79,418,473</w:t>
            </w:r>
          </w:p>
        </w:tc>
        <w:tc>
          <w:tcPr>
            <w:tcW w:w="3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54,075,922</w:t>
            </w:r>
          </w:p>
        </w:tc>
        <w:tc>
          <w:tcPr>
            <w:tcW w:w="3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Cost of goods sold</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right"/>
              <w:ind w:right="261"/>
              <w:spacing w:after="0"/>
              <w:rPr>
                <w:sz w:val="20"/>
                <w:szCs w:val="20"/>
                <w:color w:val="auto"/>
              </w:rPr>
            </w:pPr>
            <w:r>
              <w:rPr>
                <w:rFonts w:ascii="Arial" w:cs="Arial" w:eastAsia="Arial" w:hAnsi="Arial"/>
                <w:sz w:val="18"/>
                <w:szCs w:val="18"/>
                <w:color w:val="auto"/>
              </w:rPr>
              <w:t>46,218,580</w:t>
            </w:r>
          </w:p>
        </w:tc>
        <w:tc>
          <w:tcPr>
            <w:tcW w:w="180" w:type="dxa"/>
            <w:vAlign w:val="bottom"/>
          </w:tcPr>
          <w:p>
            <w:pPr>
              <w:spacing w:after="0"/>
              <w:rPr>
                <w:sz w:val="19"/>
                <w:szCs w:val="19"/>
                <w:color w:val="auto"/>
              </w:rPr>
            </w:pPr>
          </w:p>
        </w:tc>
        <w:tc>
          <w:tcPr>
            <w:tcW w:w="1700" w:type="dxa"/>
            <w:vAlign w:val="bottom"/>
            <w:gridSpan w:val="2"/>
          </w:tcPr>
          <w:p>
            <w:pPr>
              <w:jc w:val="right"/>
              <w:ind w:right="241"/>
              <w:spacing w:after="0"/>
              <w:rPr>
                <w:sz w:val="20"/>
                <w:szCs w:val="20"/>
                <w:color w:val="auto"/>
              </w:rPr>
            </w:pPr>
            <w:r>
              <w:rPr>
                <w:rFonts w:ascii="Arial" w:cs="Arial" w:eastAsia="Arial" w:hAnsi="Arial"/>
                <w:sz w:val="18"/>
                <w:szCs w:val="18"/>
                <w:color w:val="auto"/>
              </w:rPr>
              <w:t>31,257,358</w:t>
            </w:r>
          </w:p>
        </w:tc>
        <w:tc>
          <w:tcPr>
            <w:tcW w:w="1680" w:type="dxa"/>
            <w:vAlign w:val="bottom"/>
            <w:gridSpan w:val="2"/>
          </w:tcPr>
          <w:p>
            <w:pPr>
              <w:jc w:val="right"/>
              <w:ind w:right="21"/>
              <w:spacing w:after="0"/>
              <w:rPr>
                <w:sz w:val="20"/>
                <w:szCs w:val="20"/>
                <w:color w:val="auto"/>
              </w:rPr>
            </w:pPr>
            <w:r>
              <w:rPr>
                <w:rFonts w:ascii="Arial" w:cs="Arial" w:eastAsia="Arial" w:hAnsi="Arial"/>
                <w:sz w:val="18"/>
                <w:szCs w:val="18"/>
                <w:color w:val="auto"/>
              </w:rPr>
              <w:t>47.9%</w:t>
            </w:r>
          </w:p>
        </w:tc>
      </w:tr>
      <w:tr>
        <w:trPr>
          <w:trHeight w:val="209"/>
        </w:trPr>
        <w:tc>
          <w:tcPr>
            <w:tcW w:w="50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Gross profit</w:t>
            </w:r>
          </w:p>
        </w:tc>
        <w:tc>
          <w:tcPr>
            <w:tcW w:w="7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auto"/>
            </w:tcBorders>
            <w:shd w:val="clear" w:color="auto" w:fill="EEEEEE"/>
          </w:tcPr>
          <w:p>
            <w:pPr>
              <w:spacing w:after="0"/>
              <w:rPr>
                <w:sz w:val="18"/>
                <w:szCs w:val="18"/>
                <w:color w:val="auto"/>
              </w:rPr>
            </w:pP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33,199,893</w:t>
            </w:r>
          </w:p>
        </w:tc>
        <w:tc>
          <w:tcPr>
            <w:tcW w:w="3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auto"/>
            </w:tcBorders>
            <w:shd w:val="clear" w:color="auto" w:fill="EEEEEE"/>
          </w:tcPr>
          <w:p>
            <w:pPr>
              <w:spacing w:after="0"/>
              <w:rPr>
                <w:sz w:val="18"/>
                <w:szCs w:val="18"/>
                <w:color w:val="auto"/>
              </w:rPr>
            </w:pPr>
          </w:p>
        </w:tc>
        <w:tc>
          <w:tcPr>
            <w:tcW w:w="1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22,818,564</w:t>
            </w:r>
          </w:p>
        </w:tc>
        <w:tc>
          <w:tcPr>
            <w:tcW w:w="3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Borders>
              <w:top w:val="single" w:sz="8" w:color="EEEEEE"/>
            </w:tcBorders>
            <w:shd w:val="clear" w:color="auto" w:fill="EEEEEE"/>
          </w:tcPr>
          <w:p>
            <w:pPr>
              <w:spacing w:after="0"/>
              <w:rPr>
                <w:sz w:val="18"/>
                <w:szCs w:val="18"/>
                <w:color w:val="auto"/>
              </w:rPr>
            </w:pPr>
          </w:p>
        </w:tc>
      </w:tr>
      <w:tr>
        <w:trPr>
          <w:trHeight w:val="209"/>
        </w:trPr>
        <w:tc>
          <w:tcPr>
            <w:tcW w:w="5020" w:type="dxa"/>
            <w:vAlign w:val="bottom"/>
          </w:tcPr>
          <w:p>
            <w:pPr>
              <w:spacing w:after="0"/>
              <w:rPr>
                <w:sz w:val="20"/>
                <w:szCs w:val="20"/>
                <w:color w:val="auto"/>
              </w:rPr>
            </w:pPr>
            <w:r>
              <w:rPr>
                <w:rFonts w:ascii="Arial" w:cs="Arial" w:eastAsia="Arial" w:hAnsi="Arial"/>
                <w:sz w:val="18"/>
                <w:szCs w:val="18"/>
                <w:color w:val="auto"/>
              </w:rPr>
              <w:t>Selling, fulfillment, general and administrative expenses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30,887,856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19,858,000</w:t>
            </w: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8"/>
                <w:szCs w:val="18"/>
                <w:color w:val="auto"/>
              </w:rPr>
            </w:pPr>
          </w:p>
        </w:tc>
      </w:tr>
      <w:tr>
        <w:trPr>
          <w:trHeight w:val="230"/>
        </w:trPr>
        <w:tc>
          <w:tcPr>
            <w:tcW w:w="5020" w:type="dxa"/>
            <w:vAlign w:val="bottom"/>
            <w:shd w:val="clear" w:color="auto" w:fill="EEEEEE"/>
          </w:tcPr>
          <w:p>
            <w:pPr>
              <w:spacing w:after="0"/>
              <w:rPr>
                <w:sz w:val="20"/>
                <w:szCs w:val="20"/>
                <w:color w:val="auto"/>
              </w:rPr>
            </w:pPr>
            <w:r>
              <w:rPr>
                <w:rFonts w:ascii="Arial" w:cs="Arial" w:eastAsia="Arial" w:hAnsi="Arial"/>
                <w:sz w:val="18"/>
                <w:szCs w:val="18"/>
                <w:color w:val="auto"/>
              </w:rPr>
              <w:t>Operating income</w:t>
            </w:r>
          </w:p>
        </w:tc>
        <w:tc>
          <w:tcPr>
            <w:tcW w:w="7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760" w:type="dxa"/>
            <w:vAlign w:val="bottom"/>
            <w:gridSpan w:val="2"/>
            <w:shd w:val="clear" w:color="auto" w:fill="EEEEEE"/>
          </w:tcPr>
          <w:p>
            <w:pPr>
              <w:jc w:val="right"/>
              <w:ind w:right="261"/>
              <w:spacing w:after="0"/>
              <w:rPr>
                <w:sz w:val="20"/>
                <w:szCs w:val="20"/>
                <w:color w:val="auto"/>
              </w:rPr>
            </w:pPr>
            <w:r>
              <w:rPr>
                <w:rFonts w:ascii="Arial" w:cs="Arial" w:eastAsia="Arial" w:hAnsi="Arial"/>
                <w:sz w:val="18"/>
                <w:szCs w:val="18"/>
                <w:color w:val="auto"/>
              </w:rPr>
              <w:t>2,312,037</w:t>
            </w:r>
          </w:p>
        </w:tc>
        <w:tc>
          <w:tcPr>
            <w:tcW w:w="180" w:type="dxa"/>
            <w:vAlign w:val="bottom"/>
            <w:shd w:val="clear" w:color="auto" w:fill="EEEEEE"/>
          </w:tcPr>
          <w:p>
            <w:pPr>
              <w:spacing w:after="0"/>
              <w:rPr>
                <w:sz w:val="19"/>
                <w:szCs w:val="19"/>
                <w:color w:val="auto"/>
              </w:rPr>
            </w:pPr>
          </w:p>
        </w:tc>
        <w:tc>
          <w:tcPr>
            <w:tcW w:w="170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2,960,564</w:t>
            </w:r>
          </w:p>
        </w:tc>
        <w:tc>
          <w:tcPr>
            <w:tcW w:w="1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(21.9%)</w:t>
            </w:r>
          </w:p>
        </w:tc>
      </w:tr>
      <w:tr>
        <w:trPr>
          <w:trHeight w:val="209"/>
        </w:trPr>
        <w:tc>
          <w:tcPr>
            <w:tcW w:w="502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Other (expenses)</w:t>
            </w:r>
          </w:p>
        </w:tc>
        <w:tc>
          <w:tcPr>
            <w:tcW w:w="720" w:type="dxa"/>
            <w:vAlign w:val="bottom"/>
            <w:tcBorders>
              <w:bottom w:val="single" w:sz="8" w:color="EEEEEE"/>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(248,419</w:t>
            </w:r>
          </w:p>
        </w:tc>
        <w:tc>
          <w:tcPr>
            <w:tcW w:w="340" w:type="dxa"/>
            <w:vAlign w:val="bottom"/>
            <w:tcBorders>
              <w:bottom w:val="single" w:sz="8" w:color="EEEEEE"/>
            </w:tcBorders>
          </w:tcPr>
          <w:p>
            <w:pPr>
              <w:jc w:val="right"/>
              <w:ind w:right="20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(2,969,551</w:t>
            </w:r>
          </w:p>
        </w:tc>
        <w:tc>
          <w:tcPr>
            <w:tcW w:w="320" w:type="dxa"/>
            <w:vAlign w:val="bottom"/>
            <w:tcBorders>
              <w:bottom w:val="single" w:sz="8" w:color="EEEEEE"/>
            </w:tcBorders>
          </w:tcPr>
          <w:p>
            <w:pPr>
              <w:jc w:val="right"/>
              <w:ind w:right="181"/>
              <w:spacing w:after="0"/>
              <w:rPr>
                <w:sz w:val="20"/>
                <w:szCs w:val="20"/>
                <w:color w:val="auto"/>
              </w:rPr>
            </w:pPr>
            <w:r>
              <w:rPr>
                <w:rFonts w:ascii="Arial" w:cs="Arial" w:eastAsia="Arial" w:hAnsi="Arial"/>
                <w:sz w:val="16"/>
                <w:szCs w:val="16"/>
                <w:color w:val="auto"/>
                <w:w w:val="74"/>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EEEEEE"/>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5020" w:type="dxa"/>
            <w:vAlign w:val="bottom"/>
            <w:shd w:val="clear" w:color="auto" w:fill="EEEEEE"/>
          </w:tcPr>
          <w:p>
            <w:pPr>
              <w:spacing w:after="0"/>
              <w:rPr>
                <w:sz w:val="20"/>
                <w:szCs w:val="20"/>
                <w:color w:val="auto"/>
              </w:rPr>
            </w:pPr>
            <w:r>
              <w:rPr>
                <w:rFonts w:ascii="Arial" w:cs="Arial" w:eastAsia="Arial" w:hAnsi="Arial"/>
                <w:sz w:val="18"/>
                <w:szCs w:val="18"/>
                <w:color w:val="auto"/>
              </w:rPr>
              <w:t>Income (Loss) before income taxes</w:t>
            </w:r>
          </w:p>
        </w:tc>
        <w:tc>
          <w:tcPr>
            <w:tcW w:w="7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2,063,618</w:t>
            </w: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(8,987)</w:t>
            </w:r>
          </w:p>
        </w:tc>
        <w:tc>
          <w:tcPr>
            <w:tcW w:w="320" w:type="dxa"/>
            <w:vAlign w:val="bottom"/>
            <w:shd w:val="clear" w:color="auto" w:fill="EEEEEE"/>
          </w:tcPr>
          <w:p>
            <w:pPr>
              <w:spacing w:after="0"/>
              <w:rPr>
                <w:sz w:val="18"/>
                <w:szCs w:val="18"/>
                <w:color w:val="auto"/>
              </w:rPr>
            </w:pPr>
          </w:p>
        </w:tc>
        <w:tc>
          <w:tcPr>
            <w:tcW w:w="1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23,062.3%</w:t>
            </w:r>
          </w:p>
        </w:tc>
        <w:tc>
          <w:tcPr>
            <w:tcW w:w="100" w:type="dxa"/>
            <w:vAlign w:val="bottom"/>
            <w:shd w:val="clear" w:color="auto" w:fill="EEEEEE"/>
          </w:tcPr>
          <w:p>
            <w:pPr>
              <w:spacing w:after="0"/>
              <w:rPr>
                <w:sz w:val="18"/>
                <w:szCs w:val="18"/>
                <w:color w:val="auto"/>
              </w:rPr>
            </w:pP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Income tax expenses</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right"/>
              <w:ind w:right="261"/>
              <w:spacing w:after="0"/>
              <w:rPr>
                <w:sz w:val="20"/>
                <w:szCs w:val="20"/>
                <w:color w:val="auto"/>
              </w:rPr>
            </w:pPr>
            <w:r>
              <w:rPr>
                <w:rFonts w:ascii="Arial" w:cs="Arial" w:eastAsia="Arial" w:hAnsi="Arial"/>
                <w:sz w:val="18"/>
                <w:szCs w:val="18"/>
                <w:color w:val="auto"/>
              </w:rPr>
              <w:t>558,975</w:t>
            </w:r>
          </w:p>
        </w:tc>
        <w:tc>
          <w:tcPr>
            <w:tcW w:w="180" w:type="dxa"/>
            <w:vAlign w:val="bottom"/>
          </w:tcPr>
          <w:p>
            <w:pPr>
              <w:spacing w:after="0"/>
              <w:rPr>
                <w:sz w:val="19"/>
                <w:szCs w:val="19"/>
                <w:color w:val="auto"/>
              </w:rPr>
            </w:pPr>
          </w:p>
        </w:tc>
        <w:tc>
          <w:tcPr>
            <w:tcW w:w="1700" w:type="dxa"/>
            <w:vAlign w:val="bottom"/>
            <w:gridSpan w:val="2"/>
          </w:tcPr>
          <w:p>
            <w:pPr>
              <w:jc w:val="right"/>
              <w:ind w:right="241"/>
              <w:spacing w:after="0"/>
              <w:rPr>
                <w:sz w:val="20"/>
                <w:szCs w:val="20"/>
                <w:color w:val="auto"/>
              </w:rPr>
            </w:pPr>
            <w:r>
              <w:rPr>
                <w:rFonts w:ascii="Arial" w:cs="Arial" w:eastAsia="Arial" w:hAnsi="Arial"/>
                <w:sz w:val="18"/>
                <w:szCs w:val="18"/>
                <w:color w:val="auto"/>
              </w:rPr>
              <w:t>766,762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(27.1%)</w:t>
            </w:r>
          </w:p>
        </w:tc>
      </w:tr>
      <w:tr>
        <w:trPr>
          <w:trHeight w:val="209"/>
        </w:trPr>
        <w:tc>
          <w:tcPr>
            <w:tcW w:w="50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7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1,504,643</w:t>
            </w:r>
          </w:p>
        </w:tc>
        <w:tc>
          <w:tcPr>
            <w:tcW w:w="3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3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(775,749)</w:t>
            </w:r>
          </w:p>
        </w:tc>
        <w:tc>
          <w:tcPr>
            <w:tcW w:w="3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right"/>
              <w:ind w:right="201"/>
              <w:spacing w:after="0"/>
              <w:rPr>
                <w:sz w:val="20"/>
                <w:szCs w:val="20"/>
                <w:color w:val="auto"/>
              </w:rPr>
            </w:pPr>
            <w:r>
              <w:rPr>
                <w:rFonts w:ascii="Arial" w:cs="Arial" w:eastAsia="Arial" w:hAnsi="Arial"/>
                <w:sz w:val="18"/>
                <w:szCs w:val="18"/>
                <w:color w:val="auto"/>
              </w:rPr>
              <w:t>(13,232)</w:t>
            </w:r>
          </w:p>
        </w:tc>
        <w:tc>
          <w:tcPr>
            <w:tcW w:w="180" w:type="dxa"/>
            <w:vAlign w:val="bottom"/>
          </w:tcPr>
          <w:p>
            <w:pPr>
              <w:spacing w:after="0"/>
              <w:rPr>
                <w:sz w:val="19"/>
                <w:szCs w:val="19"/>
                <w:color w:val="auto"/>
              </w:rPr>
            </w:pPr>
          </w:p>
        </w:tc>
        <w:tc>
          <w:tcPr>
            <w:tcW w:w="17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50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income (loss) attributable to iPower Inc.</w:t>
            </w:r>
          </w:p>
        </w:tc>
        <w:tc>
          <w:tcPr>
            <w:tcW w:w="7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1,517,875</w:t>
            </w:r>
          </w:p>
        </w:tc>
        <w:tc>
          <w:tcPr>
            <w:tcW w:w="3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3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(775,749)</w:t>
            </w:r>
          </w:p>
        </w:tc>
        <w:tc>
          <w:tcPr>
            <w:tcW w:w="3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295.7%</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right"/>
              <w:ind w:right="261"/>
              <w:spacing w:after="0"/>
              <w:rPr>
                <w:sz w:val="20"/>
                <w:szCs w:val="20"/>
                <w:color w:val="auto"/>
              </w:rPr>
            </w:pPr>
            <w:r>
              <w:rPr>
                <w:rFonts w:ascii="Arial" w:cs="Arial" w:eastAsia="Arial" w:hAnsi="Arial"/>
                <w:sz w:val="18"/>
                <w:szCs w:val="18"/>
                <w:color w:val="auto"/>
              </w:rPr>
              <w:t>5,678</w:t>
            </w:r>
          </w:p>
        </w:tc>
        <w:tc>
          <w:tcPr>
            <w:tcW w:w="180" w:type="dxa"/>
            <w:vAlign w:val="bottom"/>
          </w:tcPr>
          <w:p>
            <w:pPr>
              <w:spacing w:after="0"/>
              <w:rPr>
                <w:sz w:val="19"/>
                <w:szCs w:val="19"/>
                <w:color w:val="auto"/>
              </w:rPr>
            </w:pPr>
          </w:p>
        </w:tc>
        <w:tc>
          <w:tcPr>
            <w:tcW w:w="17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02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Comprehensive income (loss) attributable to iPower Inc.</w:t>
            </w:r>
          </w:p>
        </w:tc>
        <w:tc>
          <w:tcPr>
            <w:tcW w:w="7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1,523,553</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(775,749</w:t>
            </w:r>
          </w:p>
        </w:tc>
        <w:tc>
          <w:tcPr>
            <w:tcW w:w="320" w:type="dxa"/>
            <w:vAlign w:val="bottom"/>
            <w:tcBorders>
              <w:top w:val="single" w:sz="8" w:color="EEEEEE"/>
              <w:bottom w:val="single" w:sz="8" w:color="EEEEEE"/>
            </w:tcBorders>
            <w:shd w:val="clear" w:color="auto" w:fill="EEEEEE"/>
          </w:tcPr>
          <w:p>
            <w:pPr>
              <w:jc w:val="right"/>
              <w:ind w:right="181"/>
              <w:spacing w:after="0"/>
              <w:rPr>
                <w:sz w:val="20"/>
                <w:szCs w:val="20"/>
                <w:color w:val="auto"/>
              </w:rPr>
            </w:pPr>
            <w:r>
              <w:rPr>
                <w:rFonts w:ascii="Arial" w:cs="Arial" w:eastAsia="Arial" w:hAnsi="Arial"/>
                <w:sz w:val="16"/>
                <w:szCs w:val="16"/>
                <w:color w:val="auto"/>
                <w:w w:val="74"/>
              </w:rPr>
              <w:t>)</w:t>
            </w: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296.4%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020" w:type="dxa"/>
            <w:vAlign w:val="bottom"/>
            <w:shd w:val="clear" w:color="auto" w:fill="EEEEEE"/>
          </w:tcPr>
          <w:p>
            <w:pPr>
              <w:spacing w:after="0"/>
              <w:rPr>
                <w:sz w:val="20"/>
                <w:szCs w:val="20"/>
                <w:color w:val="auto"/>
              </w:rPr>
            </w:pPr>
            <w:r>
              <w:rPr>
                <w:rFonts w:ascii="Arial" w:cs="Arial" w:eastAsia="Arial" w:hAnsi="Arial"/>
                <w:sz w:val="18"/>
                <w:szCs w:val="18"/>
                <w:color w:val="auto"/>
              </w:rPr>
              <w:t>Gross profit % of revenues</w:t>
            </w:r>
          </w:p>
        </w:tc>
        <w:tc>
          <w:tcPr>
            <w:tcW w:w="7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261"/>
              <w:spacing w:after="0"/>
              <w:rPr>
                <w:sz w:val="20"/>
                <w:szCs w:val="20"/>
                <w:color w:val="auto"/>
              </w:rPr>
            </w:pPr>
            <w:r>
              <w:rPr>
                <w:rFonts w:ascii="Arial" w:cs="Arial" w:eastAsia="Arial" w:hAnsi="Arial"/>
                <w:sz w:val="18"/>
                <w:szCs w:val="18"/>
                <w:color w:val="auto"/>
              </w:rPr>
              <w:t>41.80%</w:t>
            </w:r>
          </w:p>
        </w:tc>
        <w:tc>
          <w:tcPr>
            <w:tcW w:w="18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42.20%</w:t>
            </w:r>
          </w:p>
        </w:tc>
        <w:tc>
          <w:tcPr>
            <w:tcW w:w="1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Operating income % of revenues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ind w:right="261"/>
              <w:spacing w:after="0"/>
              <w:rPr>
                <w:sz w:val="20"/>
                <w:szCs w:val="20"/>
                <w:color w:val="auto"/>
              </w:rPr>
            </w:pPr>
            <w:r>
              <w:rPr>
                <w:rFonts w:ascii="Arial" w:cs="Arial" w:eastAsia="Arial" w:hAnsi="Arial"/>
                <w:sz w:val="18"/>
                <w:szCs w:val="18"/>
                <w:color w:val="auto"/>
              </w:rPr>
              <w:t>2.91%</w:t>
            </w:r>
          </w:p>
        </w:tc>
        <w:tc>
          <w:tcPr>
            <w:tcW w:w="180" w:type="dxa"/>
            <w:vAlign w:val="bottom"/>
          </w:tcPr>
          <w:p>
            <w:pPr>
              <w:spacing w:after="0"/>
              <w:rPr>
                <w:sz w:val="18"/>
                <w:szCs w:val="18"/>
                <w:color w:val="auto"/>
              </w:rPr>
            </w:pPr>
          </w:p>
        </w:tc>
        <w:tc>
          <w:tcPr>
            <w:tcW w:w="1700" w:type="dxa"/>
            <w:vAlign w:val="bottom"/>
            <w:gridSpan w:val="2"/>
          </w:tcPr>
          <w:p>
            <w:pPr>
              <w:jc w:val="right"/>
              <w:ind w:right="241"/>
              <w:spacing w:after="0"/>
              <w:rPr>
                <w:sz w:val="20"/>
                <w:szCs w:val="20"/>
                <w:color w:val="auto"/>
              </w:rPr>
            </w:pPr>
            <w:r>
              <w:rPr>
                <w:rFonts w:ascii="Arial" w:cs="Arial" w:eastAsia="Arial" w:hAnsi="Arial"/>
                <w:sz w:val="18"/>
                <w:szCs w:val="18"/>
                <w:color w:val="auto"/>
              </w:rPr>
              <w:t>5.47%</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EEEEEE"/>
          </w:tcPr>
          <w:p>
            <w:pPr>
              <w:spacing w:after="0"/>
              <w:rPr>
                <w:sz w:val="20"/>
                <w:szCs w:val="20"/>
                <w:color w:val="auto"/>
              </w:rPr>
            </w:pPr>
            <w:r>
              <w:rPr>
                <w:rFonts w:ascii="Arial" w:cs="Arial" w:eastAsia="Arial" w:hAnsi="Arial"/>
                <w:sz w:val="18"/>
                <w:szCs w:val="18"/>
                <w:color w:val="auto"/>
              </w:rPr>
              <w:t>Net income (loss) attributable to iPower Inc. % of revenues</w:t>
            </w:r>
          </w:p>
        </w:tc>
        <w:tc>
          <w:tcPr>
            <w:tcW w:w="7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261"/>
              <w:spacing w:after="0"/>
              <w:rPr>
                <w:sz w:val="20"/>
                <w:szCs w:val="20"/>
                <w:color w:val="auto"/>
              </w:rPr>
            </w:pPr>
            <w:r>
              <w:rPr>
                <w:rFonts w:ascii="Arial" w:cs="Arial" w:eastAsia="Arial" w:hAnsi="Arial"/>
                <w:sz w:val="18"/>
                <w:szCs w:val="18"/>
                <w:color w:val="auto"/>
              </w:rPr>
              <w:t>1.91%</w:t>
            </w:r>
          </w:p>
        </w:tc>
        <w:tc>
          <w:tcPr>
            <w:tcW w:w="18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181"/>
              <w:spacing w:after="0"/>
              <w:rPr>
                <w:sz w:val="20"/>
                <w:szCs w:val="20"/>
                <w:color w:val="auto"/>
              </w:rPr>
            </w:pPr>
            <w:r>
              <w:rPr>
                <w:rFonts w:ascii="Arial" w:cs="Arial" w:eastAsia="Arial" w:hAnsi="Arial"/>
                <w:sz w:val="18"/>
                <w:szCs w:val="18"/>
                <w:color w:val="auto"/>
              </w:rPr>
              <w:t>(1.43%)</w:t>
            </w:r>
          </w:p>
        </w:tc>
        <w:tc>
          <w:tcPr>
            <w:tcW w:w="1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Revenues for the year ended June 30, 2022 increased 46.9% to $79,418,473 as compared to $54,075,922 for the year ended June 30, 2021. While pricing remained stable, the increased revenue mainly resulted from an increase in sales volume and expansion of sales to other regions, such as Canada, Europe and Asia. In addition to our organic growth, which we achieved as a result of improved products and more effective online marketing and merchandising efforts, the increase in sales was positively impacted by people continuing to shop online and pursuing gardening and growing projects during the COVID-19 pandemic. However, while the revenues for the current year improved over last year, we cannot assure that this trend will continue, and our business may be adversely affected by poor overall economic conditions and shipping delays caused by the ongoing COVID-19 pandemic.</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Goods Sold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Costs of goods sold for the year ended June 30, 2022 increased 47.9% to $46,218,580 as compared to $31,257,358 for the year ended June 30, 2021. The increase was due to an increase in sales as discussed above. In addition, we experienced a slight increase of cost of goods sold as a percentage of revenue resulting from a combination of an increase of import duty and freight charges and selling more products under in-house brands as opposed to third party brands. See discussions on gross profit below.</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Gross profit was $33,199,893 for the year ended June 30, 2022 as compared to $22,818,564 for the year ended June 30, 2021. The gross profit ratio was slightly decreased to 41.80% for the year ended June 30, 2022 from 42.20% for the year ended June 30, 2021. The slight decrease was mainly due to an increase of import duty and freight charges, which was partially offset by an increase in sales, as discussed above, and selling more products under in-house brands as opposed to third party brands. The gross margin for in-house branded products is, on average, 20% higher than our gross margin for third party brands.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Fulfillment, General and Administrative Expenses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Selling, fulfillment, general and administrative expenses for the year ended June 30, 2022 increased 55.5% to $30,887,856 as compared to $19,858,000 for the year ended June 30, 2021. The increase was mainly due to an increase in selling and fulfillment expenses of $5.7 million and general and administrative expenses of $5.3 million, which included payroll expenses, warehouse and storage fees, stock-based compensation expense, legal and professional fees in connection with the acquisition and joint ventures, insurance expenses, and other operating expenses including expenses associated with being a publicly traded company. We have recorded a net loss for the three months ended June 30, 2022 comparing to last quarter due to the increase in the operating expenses.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Other (expenses) consist of interest expense, financing fees and other non-operating income (expenses). Other expenses for the year ended June 30, 2022 were $(248,419) as compared to $(2,969,551) for the year ended June 30, 2021. The decrease in other expenses was mainly due to a decrease of amortization of debt discount of $1.5 million, and change in fair value of conversion feature and warrant liabilities of $1.4 million resulted from the issuance of our Series A Convertible Preferred Stock, convertible notes and warrants during the year ended June 30,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Attributable to iPower Inc.</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income (loss) attributable to iPower Inc. for the year ended June 30, 2022 was $1,517,875 as compared to net loss of $775,749 for the year ended June 30, 2021, representing an increase of $2,293,624. The increase in net income as percentage of revenues for the year ended June 30, 2022 was primarily due to the changes in operating and non-operating income and expenses discussed above and the slight decrease in income tax resulting from decrease in taxable income from operations, the deferred taxes and revision of income tax provision based on actual income taxes paid for the year ended June 30,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 Attributable to iPower Inc.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Comprehensive income (loss) attributable to iPower Inc. for the year ended June 30, 2022 was $1,523,553 as compared to comprehensive loss of ($775,749) for the year ended June 30, 2021, representing an increase of $2,299,302. The increase was due to the reasons discussed above and the other comprehensive income of $5,678, which was the foreign currency translation adjustments resulting from the translation of RMB, the functional currency of our VIE in PRC, to USD, the reporting currency of the Company.</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year ended June 30, 2022 we primarily funded our operations with cash and cash equivalents generated from operations, as well as through completion of two private placements in 2020 and 2021, completion of our initial public offering in May of 2021, and borrowing under our credit facility and loans from the Small Business Administration and JPMorgan Chase Bank. We had cash and cash equivalents of $1,821,947 as of June 30, 2022, representing a $4,829,758 decrease from $6,651,705 in cash as of June 30, 2021. The cash decrease was primarily the result of the increase in net cash used in operating activities, including increased investment in inventory to support our increasing sales, payment of income taxes, and the increase in accounts receivable from Amazon resulting from increased sales.</w:t>
      </w:r>
    </w:p>
    <w:p>
      <w:pPr>
        <w:spacing w:after="0" w:line="192"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Based on our current operating plan, and despite the current uncertainty resulting from the ongoing COVID-19 pandemic, we believe that our existing cash and cash equivalents and cash flows from operations will be sufficient to finance our operations during the next 12 months.</w:t>
      </w:r>
    </w:p>
    <w:p>
      <w:pPr>
        <w:spacing w:after="0" w:line="14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cash requirements consist primarily of day-to-day operating expenses and obligations with respect to warehouse leases. We lease all our office and warehouse facilities. We expect to make future payments on existing leases from cash generated from operations. We have credit terms in place with our major suppliers, however as we bring on new suppliers, we are often required to prepay our inventory purchases from them. This is consistent with our historical operating model which allowed us to operate using only cash generated by the business. Beyond the next 12 months we believe that our cash flow from operations should improve as supply chains begin to return to normal and new suppliers we are bringing online transition to credit terms more favorable to us. In addition, we plan to increase the size of our in-house product catalog, which will have a net beneficial impact to our margin profile and ability to generate cash. In addition, we have approximately $12.0 million unused credit under the revolving line with JPM. Given our current working capital position an available funding from our revolving credit line, we believe we will be able to manage through the current challenges by managing payment terms with customers and vendors.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As of June 30, 2022 and 2021, our working capital was $32,300,646 and $23,281,891, respectively. The historical seasonality in our business during the year can cause cash and cash equivalents, inventory, and accounts payable to fluctuate, resulting in changes in our working capital. We anticipate that past historical trends to remain in place through the balance of the fiscal year with working capital remaining near this level for the foreseeable future.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Net cash used in operating activities for the years ended June 30, 2022 and 2021 was $16,603,005 and $12,756,949, respectively. The increase in use of cash in operating activities resulted from an increased purchase of products in order to maintain the higher inventory levels required to meet our increasing sales volumes, payment of income taxes, and the increase in accounts receivable resulted from increased sales.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years ended June 30, 2022 and 2021, net cash used in investing activities was $139,386 and $61,498, respectively, The increase in use of cash in investing activities was mainly related to the purchase of office equipment and investment in joint venture, which was partially offset by cash acquired from acquisition of Anivia in February 2022.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cash provided by financing activities was $11,911,916 and $18,492,517, respectively, for the years ended June 30, 2022 and 2021. The main reason the Company experienced a decrease in net cash provided by financing activities was primarily due to receiving $12.4 million in proceeds from the draw-down of a $25 million asset-based revolving loan facility with JPMorgan Chase Bank comparing to net proceeds of $16.6 million from our IPO, our revolving facility with WFC and the closing of our private placements of an aggregate of $345,000 in Series A convertible preferred stock and $3,000,000 in convertible notes in the fiscal year ended June 30, 2021.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do not have any off-balance sheet arrangements (as that term is defined in Item 303 of Regulation S-K) that are reasonably likely to have a current or future material effect on our financial condition, revenue or expenses, results of operations, liquidity, capital expenditures or capital resources.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prepare our consolidated financial statements in accordance with accounting principles generally accepted in the United States, or GAAP and pursuant to the rules and regulations of the Securities Exchange Commission (“SEC”). The preparation of consolidated financial statements in conformity with GAAP requires management to make estimates and assumptions that affect the amounts reported in the consolidated financial statements and accompanying notes. Actual results could differ from those estimates. In some cases, changes in the accounting estimates are reasonably likely to occur from period to period. Accordingly, actual results could differ materially from our estimates. To the extent that there are material differences between these estimates and actual results, our financial condition and results of operations will be affected. We base our estimates on experience and other assumptions that we believe are reasonable under the circumstances, and we evaluate these estimates on an ongoing basis. We refer to accounting estimates of this type as critical accounting policies, which we discuss further below. While our significant accounting policies are more fully described in Note 2 to our audited consolidated financial statements, we believe that the following accounting policies are critical to the process of making significant judgments and estimates in the preparation of our audited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has adopted Accounting Standards Codification (“ASC”) 606 since its inception on April 11, 2018 and recognizes revenue from product sales revenues, net of promotional discounts and return allowances, when the following revenue recognition criteria are met: a contract has been identified, separate performance obligations are identified, the transaction price is determined, the transaction price is allocated to separate performance obligations and revenue is recognized upon satisfying each performance obligation. The Company transfers the risk of loss or damage upon shipment, therefore, revenue from product sales is recognized when it is shipped to the customer. Return allowances, which reduce product revenue by the Company’s best estimate of expected product returns, are estimated using historical experience.</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evaluates the criteria of ASC 606 - Revenue Recognition Principal Agent Considerations in determining whether it is appropriate to record the gross amount of product sales and related costs or the net amount earned as commissions. Generally, when the Company is primarily responsible for fulfilling the promise to provide a specified good or service, the Company is subject to inventory risk before the good or service has been transferred to a customer and the Company has discretion in establishing the price, revenue is recorded at gross.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Payments received prior to the delivery of goods to customers are recorded as customer deposits.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5" w:name="page46"/>
    <w:bookmarkEnd w:id="45"/>
    <w:p>
      <w:pPr>
        <w:jc w:val="both"/>
        <w:ind w:firstLine="648"/>
        <w:spacing w:after="0" w:line="263" w:lineRule="auto"/>
        <w:rPr>
          <w:sz w:val="20"/>
          <w:szCs w:val="20"/>
          <w:color w:val="auto"/>
        </w:rPr>
      </w:pPr>
      <w:r>
        <w:rPr>
          <w:rFonts w:ascii="Arial" w:cs="Arial" w:eastAsia="Arial" w:hAnsi="Arial"/>
          <w:sz w:val="18"/>
          <w:szCs w:val="18"/>
          <w:color w:val="auto"/>
        </w:rPr>
        <w:t>The Company periodically provides incentive offers to its customers to encourage purchases. Such offers include current discount offers, such as percentage discounts off current purchases and other similar offers. Current discount offers, when accepted by the Company’s customers, are treated as a reduction to the purchase price of the related transaction.</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Sales discounts are recorded in the period in which the related sale is recognized. Sales return allowances are estimated based on historical amounts and are recorded upon recognizing the related sales. Shipping and handling costs are recorded as selling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 net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Inventory consists of finished goods ready for sale and is stated at the lower of cost or market. The Company value its inventory using the weighted average costing method. The Company’s policy is to include as a part of cost of goods sold any freight incurred to ship the product from its vendors to warehouses. Outbound freight costs related to shipping costs to customers are considered period costs and reflected in selling and fulfillment expenses. The Company regularly review inventory and consider forecasts of future demand, market conditions and product obsolescence.</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If the estimated realizable value of the inventory is less than cost, the Company makes provisions in order to reduce its carrying value to its estimated market value. The Company also reviews inventory for slow moving and obsolescence and records allowance for obsolescence.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method investment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accounts for its ownership interest in Box Harmony, a 40% owned joint venture, following the equity method of accounting, in accordance with ASC 323, Investments — Equity Method and Joint Ventures. Under this method, the carrying cost is initially recorded at cost and then increased or decreased by recording its percentage of gain or loss in its statement of operations and a corresponding charge or credit to the carrying value of the asset.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Combination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February 15, 2022, the Company acquired 100% of the ordinary shares of Anivia Limited (“Anivia”) and its subsidiaries, including the VIE. The Company applies the acquisition method of accounting for business combinations. Under the acquisition method, the acquiring entity in a business combination recognizes 100% of the assets acquired and liabilities assumed at their acquisition date fair values. Management utilizes valuation techniques appropriate for the asset or liability being measured in determining these fair values. Any excess of the purchase price over amounts allocated to assets acquired, including identifiable intangible assets, and liabilities assumed is recorded as goodwill. Where amounts allocated to assets acquired and liabilities assumed is greater than the purchase price, a bargain purchase gain is recognized. Acquisition-related costs are expensed as incurred. See Note 4 for details on acquisition.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Variable interest entities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February 15, 2022, the Company acquired 100% of the ordinary shares of Anivia Limited (“Anivia”) and its subsidiaries, including Daheshou (Shenzhen) Information Technology Co., Ltd., a company organized under the Laws of the PRC (“DHS”). Pursuant to the terms of the Agreements, the Company does not have direct ownership in DHS but is actively involved in DHS’s operations as the sole manager to direct the activities and significantly impact DHS’s economic performance. DHS’s operational funding is provided by the Company after February 15, 2022. During the term of the agreements, the Company bears all the risk of loss and has the right to receive all of the benefits from DHS. As such, based on the determination that the Company is the primary beneficiary of DHS, in accordance with ASC 810-10-25-38A through 25-38J, DHS is considered a variable interest entity (“VIE”) of the Company and the financial statements of DHS have been consolidated from the date such control existed, February 15, 2022. See Note 4 and Note 5 for details on acquisition.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auto"/>
        </w:rPr>
        <w:t>Goodwill</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Goodwill represents the excess of the purchase price over the fair value of assets acquired and liabilities assumed. The Company accounts for goodwill under </w:t>
      </w:r>
      <w:r>
        <w:rPr>
          <w:rFonts w:ascii="Arial" w:cs="Arial" w:eastAsia="Arial" w:hAnsi="Arial"/>
          <w:sz w:val="18"/>
          <w:szCs w:val="18"/>
          <w:i w:val="1"/>
          <w:iCs w:val="1"/>
          <w:color w:val="auto"/>
        </w:rPr>
        <w:t>ASC Topic 350, Intangibles-Goodwill and Other</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Goodwill is not amortized but is reviewed for potential impairment on an annual basis, or if events or circumstances indicate a potential impairment, at the reporting unit level. The Company’s review for impairment includes an assessment of qualitative factors to determine whether it is more likely than not that the fair value of a reporting unit is less than its carrying value, including goodwill. If it is determined that it is more likely than not that the fair value of a reporting unit is less than its carrying value, including goodwill, a quantitative goodwill impairment test is performed, which compares the fair value of the reporting unit with its carrying amounts, including goodwill. If the fair value of the reporting unit exceeds its carrying amount, goodwill of the reporting unit is considered not impaired. However, if the carrying amount of the reporting unit exceeds its fair value, additional procedures must be performed. That additional procedure compares the implied fair value of the reporting unit’s goodwill with the carrying amount of that goodwill. An impairment loss is recorded to the extent that the carrying amount of goodwill exceeds its implied fair value.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Intangible Assets, net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Finite life intangible assets at June 30, 2022 include covenant not to compete, supplier relationship, and software recognized as part of the acquisition of Anivia Limited. Intangible assets are recorded at the estimated fair value of these items at the date of acquisition, February 15, 2022. Intangible assets are amortized on a straight-line basis over their estimated useful life as followings: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Borders>
              <w:bottom w:val="single" w:sz="8" w:color="EEEEEE"/>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Useful Life</w:t>
            </w:r>
          </w:p>
        </w:tc>
      </w:tr>
      <w:tr>
        <w:trPr>
          <w:trHeight w:val="210"/>
        </w:trPr>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Covenant Not to Compete</w:t>
            </w:r>
          </w:p>
        </w:tc>
        <w:tc>
          <w:tcPr>
            <w:tcW w:w="14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10 years</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Supplier relationship</w:t>
            </w:r>
          </w:p>
        </w:tc>
        <w:tc>
          <w:tcPr>
            <w:tcW w:w="1460" w:type="dxa"/>
            <w:vAlign w:val="bottom"/>
          </w:tcPr>
          <w:p>
            <w:pPr>
              <w:jc w:val="center"/>
              <w:spacing w:after="0"/>
              <w:rPr>
                <w:sz w:val="20"/>
                <w:szCs w:val="20"/>
                <w:color w:val="auto"/>
              </w:rPr>
            </w:pPr>
            <w:r>
              <w:rPr>
                <w:rFonts w:ascii="Arial" w:cs="Arial" w:eastAsia="Arial" w:hAnsi="Arial"/>
                <w:sz w:val="18"/>
                <w:szCs w:val="18"/>
                <w:color w:val="auto"/>
                <w:w w:val="84"/>
              </w:rPr>
              <w:t>6 years</w:t>
            </w:r>
          </w:p>
        </w:tc>
      </w:tr>
      <w:tr>
        <w:trPr>
          <w:trHeight w:val="216"/>
        </w:trPr>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Software</w:t>
            </w:r>
          </w:p>
        </w:tc>
        <w:tc>
          <w:tcPr>
            <w:tcW w:w="14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4"/>
              </w:rPr>
              <w:t>5 years</w:t>
            </w: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reviews the recoverability of long-lived assets, including the intangible assets, when events or changes in circumstances occur that indicate the carrying value of the asset may not be recoverable. The assessment of possible impairment is based on the ability to recover the carrying value of the asset from the expected future pretax cash flows (undiscounted and without interest charges) of the related operations. If these cash flows are less than the carrying value of such asset, an impairment loss is recognized for the difference between estimated fair value and carrying value. The measurement of impairment requires management to make estimates of these cash flows related to long-lived assets, as well as other fair value determinations. As of June 30, 2022, there were no indicators of impairment.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Company applies ASC No. 718, “Compensation-Stock Compensation,” which requires that share-based payment transactions with employees and nonemployees upon adoption of ASU 2018-07, be measured based on the grant date fair value of the equity instrument and recognized as compensation expense over the requisite service period, with a corresponding addition to equity. Under this method, compensation cost related to employee share options or similar equity instruments is measured at the grant date based on the fair value of the award and is recognized over the period during which an employee is required to provide service in exchange for the award, which generally is the vesting period. In addition to the requisite service period, the Company also evaluates the performance condition and market condition under ASC 718-10-20. For an award that contains both a performance and a market condition, and where both conditions must be satisfied in order for the award to vest, the market condition is incorporated into the fair value of the award, and that fair value is recognized over the employee’s requisite service period or nonemployee’s vesting period if it is probable that the performance condition will be met. If the performance condition is ultimately not met, compensation cost related to the award should not be recognized (or should be reversed) because the vesting condition in the award has not been satisfied.</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will recognize forfeitures of such equity-based compensation as they occur.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auto"/>
        </w:rPr>
        <w:t>Recently issued accounting pronouncements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June 2022, FASB issued ASU 2022-03, Fair Value Measurement (Topic 82): Fair Value Measurement of Equity Securities Subject to Contractual Sale Restrictions. The amendments in this ASU clarify the guidance in ASC 820 on the fair value measurement of an equity security that is subject to a contractual sale restriction and require specific disclosures related to such an equity security. This standard is effective for fiscal years beginning after December 15, 2024. The Company does not expect the adoption of this standard to have a material impact on the consolidated financial statements.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October 2021, the FASB issued ASU 2021-08, Business Combinations (Topic 805), Accounting for Contract Assets and Contract Liabilities from Contracts with Customers. This ASU clarifies that an acquirer of a business should recognize and measure contract assets and contract liabilities in a business combination in accordance with ASU 2014-09, Revenue from Contracts with Customers (Topic 606) as if the entity had originated the contracts. The guidance is effective for fiscal years beginning after December 15, 2023, with early application permitted. The Company does not expect the adoption of this standard to have a material impact on the consolidated financial statements.</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August 2020, the FASB issued ASU 2020-06, “Debt – Debt with Conversion and Other Options (Subtopic 470-20) and Derivatives and Hedging – Contracts in Entity’s Own Equity (Subtopic 815-40).” This ASU reduces the number of accounting models for convertible debt instruments and convertible preferred stock, as well as amend the guidance for the derivatives scope exception for contracts in an entity’s own equity to reduce form-over-substance-based accounting conclusions. In addition, this ASU improves and amends the related EPS guidance. This standard is effective for the Company on July 1, 2024, including interim periods within those fiscal years. Adoption is either a modified retrospective method or a fully retrospective method of transition. The Company does not expect the adoption of this standard to have a material impact on the consolidated financial statements.</w:t>
      </w:r>
    </w:p>
    <w:p>
      <w:pPr>
        <w:spacing w:after="0" w:line="1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January 2020, the FASB issued ASU 2020-01, “Investments - Equity Securities (Topic 321), Investments - Equity Method and Joint Ventures (Topic 323), and Derivatives and Hedging (Topic 815) - Clarifying the Interactions between Topic 321, Topic 323, and Topic 815.” This ASU among other things clarifies that a company should consider observable transactions that require a company to either apply or discontinue the equity method of accounting under Topic 323, Investments—Equity Method and Joint Ventures, for the purposes of applying the measurement alternative in accordance with Topic 321 immediately before applying or upon discontinuing the equity method. The new ASU clarifies that, when determining the accounting for certain forward contracts and purchased options a company should not consider, whether upon settlement or exercise, if the underlying securities would be accounted for under the equity method or fair value option. ASU 2020-01 is effective. For public business entities for fiscal years, and interim periods within those fiscal years, beginning after December 15, 2021. An entity should apply ASU 2020-01 prospectively at the beginning of the interim period that includes the adoption date. The adoption of ASU 2020-01 is not expected to have material impact on the Company's Consolidated Financial Statements.</w:t>
      </w:r>
    </w:p>
    <w:p>
      <w:pPr>
        <w:spacing w:after="0" w:line="19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December 2019, the FASB issued ASU 2019-12, Income Taxes (Topic 740) – Simplifying the Accounting for Income Taxes. The update is intended to simplify the current rules regarding the accounting for income taxes and addresses several technical topics including accounting for franchise taxes, allocating income taxes between a loss in continuing operations and in other categories such as discontinued operations, reporting income taxes for legal entities that are not subject to income taxes, and interim accounting for enacted changes in tax laws. The new standard is effective for fiscal years beginning after December 15, 2021; however, early adoption is permitted. The Company does not expect the adoption of this standard have a material impact on the consolidated financial statements.</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January 2017, the FASB issued ASU 2017-04, “Intangibles - Goodwill and Other (Topic 350): Simplifying the Test for Goodwill Impairment,” which eliminates step two from the goodwill impairment test. Under ASU 2017-04, an entity should recognize an impairment charge for the amount by which the carrying amount of a reporting unit exceeds its fair value up to the amount of goodwill allocated to that reporting unit. All other entities, including not-for-profit entities, that are adopting the amendments in this Update should do so for their annual or any interim goodwill impairment tests in fiscal years beginning after December 15, 2021. The adoption of ASU 2017-04 is not expected to have material impact on the Company's Consolidated Financial Statements.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does not believe other recently issued but not yet effective accounting standards, if currently adopted, would have a material effect on the consolidated financial position, statements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Recent Financings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Asset-based revolving loan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November 12, 2021, the Company entered to a Credit Agreement with JPMorgan Chase Bank, N.A., as administrative agent, issuing bank and swingline lender, for an asset-based revolving loan (“ABL”) of up to $25 million with key terms listed as follows:</w:t>
      </w:r>
    </w:p>
    <w:p>
      <w:pPr>
        <w:spacing w:after="0" w:line="170" w:lineRule="exact"/>
        <w:rPr>
          <w:sz w:val="20"/>
          <w:szCs w:val="20"/>
          <w:color w:val="auto"/>
        </w:rPr>
      </w:pPr>
    </w:p>
    <w:p>
      <w:pPr>
        <w:ind w:left="1360" w:hanging="218"/>
        <w:spacing w:after="0"/>
        <w:tabs>
          <w:tab w:leader="none" w:pos="1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Borrowing base equal to the sum of</w:t>
      </w:r>
    </w:p>
    <w:p>
      <w:pPr>
        <w:spacing w:after="0" w:line="23" w:lineRule="exact"/>
        <w:rPr>
          <w:rFonts w:ascii="Arial" w:cs="Arial" w:eastAsia="Arial" w:hAnsi="Arial"/>
          <w:sz w:val="18"/>
          <w:szCs w:val="18"/>
          <w:color w:val="auto"/>
        </w:rPr>
      </w:pPr>
    </w:p>
    <w:p>
      <w:pPr>
        <w:ind w:left="1700" w:hanging="221"/>
        <w:spacing w:after="0"/>
        <w:tabs>
          <w:tab w:leader="none" w:pos="17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Up to 90% of eligible credit card receivables</w:t>
      </w:r>
    </w:p>
    <w:p>
      <w:pPr>
        <w:spacing w:after="0" w:line="9" w:lineRule="exact"/>
        <w:rPr>
          <w:rFonts w:ascii="Arial" w:cs="Arial" w:eastAsia="Arial" w:hAnsi="Arial"/>
          <w:sz w:val="18"/>
          <w:szCs w:val="18"/>
          <w:color w:val="auto"/>
        </w:rPr>
      </w:pPr>
    </w:p>
    <w:p>
      <w:pPr>
        <w:ind w:left="1700" w:hanging="221"/>
        <w:spacing w:after="0"/>
        <w:tabs>
          <w:tab w:leader="none" w:pos="17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Up to 85% of eligible trade accounts receivable</w:t>
      </w:r>
    </w:p>
    <w:p>
      <w:pPr>
        <w:spacing w:after="0" w:line="9" w:lineRule="exact"/>
        <w:rPr>
          <w:rFonts w:ascii="Arial" w:cs="Arial" w:eastAsia="Arial" w:hAnsi="Arial"/>
          <w:sz w:val="18"/>
          <w:szCs w:val="18"/>
          <w:color w:val="auto"/>
        </w:rPr>
      </w:pPr>
    </w:p>
    <w:p>
      <w:pPr>
        <w:ind w:left="1700" w:hanging="221"/>
        <w:spacing w:after="0"/>
        <w:tabs>
          <w:tab w:leader="none" w:pos="17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Up to the lesser of (i) 65% of cost of eligible inventory or (ii) 85% of net orderly liquidation value of eligible inventory</w:t>
      </w:r>
    </w:p>
    <w:p>
      <w:pPr>
        <w:spacing w:after="0" w:line="9" w:lineRule="exact"/>
        <w:rPr>
          <w:rFonts w:ascii="Arial" w:cs="Arial" w:eastAsia="Arial" w:hAnsi="Arial"/>
          <w:sz w:val="18"/>
          <w:szCs w:val="18"/>
          <w:color w:val="auto"/>
        </w:rPr>
      </w:pPr>
    </w:p>
    <w:p>
      <w:pPr>
        <w:ind w:left="1360" w:hanging="218"/>
        <w:spacing w:after="0"/>
        <w:tabs>
          <w:tab w:leader="none" w:pos="1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 rates of between LIBOR plus 2% and LIBOR plus 2.25% depending on utilization</w:t>
      </w:r>
    </w:p>
    <w:p>
      <w:pPr>
        <w:spacing w:after="0" w:line="9" w:lineRule="exact"/>
        <w:rPr>
          <w:rFonts w:ascii="Arial" w:cs="Arial" w:eastAsia="Arial" w:hAnsi="Arial"/>
          <w:sz w:val="18"/>
          <w:szCs w:val="18"/>
          <w:color w:val="auto"/>
        </w:rPr>
      </w:pPr>
    </w:p>
    <w:p>
      <w:pPr>
        <w:ind w:left="1360" w:hanging="218"/>
        <w:spacing w:after="0"/>
        <w:tabs>
          <w:tab w:leader="none" w:pos="1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Undrawn fee of between 0.25% and 0.375% depending on utilization</w:t>
      </w:r>
    </w:p>
    <w:p>
      <w:pPr>
        <w:spacing w:after="0" w:line="9" w:lineRule="exact"/>
        <w:rPr>
          <w:rFonts w:ascii="Arial" w:cs="Arial" w:eastAsia="Arial" w:hAnsi="Arial"/>
          <w:sz w:val="18"/>
          <w:szCs w:val="18"/>
          <w:color w:val="auto"/>
        </w:rPr>
      </w:pPr>
    </w:p>
    <w:p>
      <w:pPr>
        <w:ind w:left="1360" w:hanging="218"/>
        <w:spacing w:after="0"/>
        <w:tabs>
          <w:tab w:leader="none" w:pos="1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Maturity Date of November 12, 2024</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the ABL includes an accordion feature that allows the Company to borrow up to an additional $25 million. To secure complete payment and performance of the secured obligations, the Company granted a security interest in all of its right, title and interest in, to and under all of the Company’s assets as collateral to the ABL. Upon closing of the ABL, the Company paid $796,035 financing fees including 2% of $25.0 million or $500,000 paid to its financial advisor. The financing fees are recorded as debt discount and to be amortized over three years as financing expenses, the term of the ABL. For the year ended June 30, 2022, the Company recorded in interest expense – $176,812 of amortization of debt discount and $182,543 of interest expense and credit utilization fees. As of June 30, 2022, the outstanding amount of the long-term revolving loan payable, net of debt discount, was $12,314,627, including interest payable of $182,543.</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Promissory note payable and Investment Payable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February 15, 2022, as part of the consideration for acquisition of Anivia Limited, the Company issued a two-year unsecured 6% subordinated promissory note, payable in equal semi-annual installments commencing August 15, 2022 (the “Purchase Note”). The principal amount of the Purchase Note was $3.5 million with a fair value of $3.6 million as of February 15, 2022. For the year ended June 30, 2022, the Company recorded accrued interest of $78,750 and amortization of note premium of $18,609. As of June 30, 2022, the outstanding balance of the Purchase Note was $3,660,770, including $78,750 of accrued interest and $82,020 of unamortized premium.</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$1,500,000 in cash was to be paid after closing. However, as of the date of this report, the $1.5 million cash portion of the consideration, which was presented as an investment payable, had not yet been paid as the seller’s bank account was still not opened due to delays in accessing the bank resulting from COVID-19 conditions and restrictions in place in Hong Kong and China.</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auto"/>
        </w:rPr>
        <w:t>Initial Public Offering</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May 11, 2021, the Company entered into an underwriting agreement (the “Underwriting Agreement”) with D.A. Davidson &amp; Co., a Delaware limited liability company (“D.A. Davidson”), pursuant to which D.A. Davidson agreed to act as the lead underwriter in our initial public offering (the “IPO”) of up to 3,864,000 shares of the Company’s common stock, at an initial public offering price of $5.00 per share (the “IPO Purchase Price”). The IPO closed on May 14, 2021, with the sale of 3,360,000 shares of the Company’s Common Stock for gross proceeds of $16.80 million, and on May 21, 2021, the Company closed on a $2.52 million overallotment option through the sale of an additional 504,000 shares at the IPO Purchase Price.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Private Placement of Convertible Notes and Warrants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January 27, 2021, the Company completed a private placement offering pursuant to which we sold to two accredited investors an aggregate of $3,000,000 of our 6% convertible notes due six months from the date of issuance, subject to extension as provided below (the “Convertible Notes”), and warrants (the “Warrants”) pursuant to an exemption from registration under Rule 506(b) of Regulation D of the Securities Act of 1933, as amended. Boustead Securities, LLC acted as placement agent in the Convertible Note and Warrant offering and received commissions and non-accountable reimbursements of 8% of the gross proceeds received, of which one-half of such fees and expenses were payable upon the conversion of the Convertible Notes. In connection with the Convertible Note and Warrant offering, we issued placement agent warrants to purchase 7% of the shares of Common Stock underlying the Convertible Notes exercisable at the conversion price of the Convertible Note (the “Conversion Price”), of which Boustead Securities, LLC received 80% of the placement agent warrants, which were cashlessly exercised for a total of 21,378 shares of Common Stock on May 14, 2021.</w:t>
      </w:r>
    </w:p>
    <w:p>
      <w:pPr>
        <w:spacing w:after="0" w:line="16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Upon completion of our IPO, the Convertible Notes automatically converted into 857,144 shares of common stock in accordance with the terms of the Convertible Notes. In addition to the Convertible Notes, the purchasers of the Convertible Notes received three-year warrants entitling the holders to purchase a total of 685,714 shares of Common Stock which equals 80% of the number of shares of Common Stock issuable upon conversion of the Convertible Notes. In the event the Convertible Notes are repaid in cash by the Company, the warrants will expire and have no further value.</w:t>
      </w:r>
    </w:p>
    <w:p>
      <w:pPr>
        <w:spacing w:after="0" w:line="15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This description of Convertible Notes and Warrants is intended to be a useful overview of the material provisions of the Convertible Notes and Warrants. However, you should read the Form of Convertible Note and Warrant for a complete description of the obligations of the Company.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Private Placement of Series A Convertible Preferred Stock</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December 30, 2020, the Company sold in a private placement to approximately three accredited investors under Rule 506(b) promulgated under the Securities Act of 1933, as amended, an aggregate of 34,500 shares of the Company’s Series A convertible preferred stock (the “Series A Preferred Stock”) and received gross proceeds of $345,000. Boustead Securities, LLC acted as placement agent in such private placement and received commissions of $24,150 or 7% of the gross proceeds received, a non-accountable expense allowance of 1% of such gross proceeds and warrants to purchase 2,415 shares of Series A Preferred Stock at an exercise price equal to $10 per share, the offering price of the Series A Preferred Stock, which warrants were cashlessly exercised for a total of 3,073 shares of common stock on May 14, 2021. Upon completion of our IPO, the Series A Preferred Stock automatically converted into a total of 98,572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auto"/>
        </w:rPr>
        <w:t>Terms of the Series A Convertible Preferred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the certificate of designations of rights, privileges and limitations, the Series A Preferred Stock, prior to conversion:</w:t>
      </w:r>
    </w:p>
    <w:p>
      <w:pPr>
        <w:spacing w:after="0" w:line="225" w:lineRule="exact"/>
        <w:rPr>
          <w:sz w:val="20"/>
          <w:szCs w:val="20"/>
          <w:color w:val="auto"/>
        </w:rPr>
      </w:pPr>
    </w:p>
    <w:p>
      <w:pPr>
        <w:jc w:val="both"/>
        <w:ind w:left="980" w:hanging="324"/>
        <w:spacing w:after="0" w:line="255"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pays a dividend of nine percent (9%) per annum (the “Dividend”), which Dividend shall be cumulative and payable in cash only in the event of Redemption of the Series A Preferred Stock. In the event that the Series A Preferred Stock is converted into shares of Common Stock, no Dividend shall accrue or be payable;</w:t>
      </w:r>
    </w:p>
    <w:p>
      <w:pPr>
        <w:spacing w:after="0" w:line="2" w:lineRule="exact"/>
        <w:rPr>
          <w:rFonts w:ascii="Arial" w:cs="Arial" w:eastAsia="Arial" w:hAnsi="Arial"/>
          <w:sz w:val="18"/>
          <w:szCs w:val="18"/>
          <w:color w:val="auto"/>
        </w:rPr>
      </w:pPr>
    </w:p>
    <w:p>
      <w:pPr>
        <w:jc w:val="both"/>
        <w:ind w:left="980" w:hanging="324"/>
        <w:spacing w:after="0" w:line="281"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has one vote per share; however, shall have no right to vote as a separate class on any matter submitted to vote by the stockholders of the Corporation, excluding any proposed amendment that would adversely alter or change any preference or any relative or other right given to the Series A Preferred Stock, in which event the Series A Preferred Stock may vote as a separate class with respect to such amendment;</w:t>
      </w:r>
    </w:p>
    <w:p>
      <w:pPr>
        <w:spacing w:after="0" w:line="1" w:lineRule="exact"/>
        <w:rPr>
          <w:rFonts w:ascii="Arial" w:cs="Arial" w:eastAsia="Arial" w:hAnsi="Arial"/>
          <w:sz w:val="16"/>
          <w:szCs w:val="16"/>
          <w:color w:val="auto"/>
        </w:rPr>
      </w:pPr>
    </w:p>
    <w:p>
      <w:pPr>
        <w:ind w:left="980" w:hanging="324"/>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on a sale or liquidation of the Company the Series A Preferred Stock has a $10.00 per share preference over the Company Common Stock;</w:t>
      </w:r>
    </w:p>
    <w:p>
      <w:pPr>
        <w:spacing w:after="0" w:line="32" w:lineRule="exact"/>
        <w:rPr>
          <w:rFonts w:ascii="Arial" w:cs="Arial" w:eastAsia="Arial" w:hAnsi="Arial"/>
          <w:sz w:val="16"/>
          <w:szCs w:val="16"/>
          <w:color w:val="auto"/>
        </w:rPr>
      </w:pPr>
    </w:p>
    <w:p>
      <w:pPr>
        <w:jc w:val="both"/>
        <w:ind w:left="980" w:hanging="324"/>
        <w:spacing w:after="0" w:line="250"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by its terms, upon consummation of this offering, all of the issued and outstanding shares of Series A Preferred Stock will </w:t>
      </w:r>
      <w:r>
        <w:rPr>
          <w:rFonts w:ascii="Arial" w:cs="Arial" w:eastAsia="Arial" w:hAnsi="Arial"/>
          <w:sz w:val="18"/>
          <w:szCs w:val="18"/>
          <w:b w:val="1"/>
          <w:bCs w:val="1"/>
          <w:i w:val="1"/>
          <w:iCs w:val="1"/>
          <w:color w:val="auto"/>
        </w:rPr>
        <w:t>automatically</w:t>
      </w:r>
      <w:r>
        <w:rPr>
          <w:rFonts w:ascii="Arial" w:cs="Arial" w:eastAsia="Arial" w:hAnsi="Arial"/>
          <w:sz w:val="18"/>
          <w:szCs w:val="18"/>
          <w:color w:val="auto"/>
        </w:rPr>
        <w:t xml:space="preserve"> convert into shares of the Common Stock (the “Conversion Shares”) at a conversion price equal to 70% of the initial price per share of the Common Stock upon closing of the IPO);</w:t>
      </w:r>
    </w:p>
    <w:p>
      <w:pPr>
        <w:spacing w:after="0" w:line="1" w:lineRule="exact"/>
        <w:rPr>
          <w:rFonts w:ascii="Arial" w:cs="Arial" w:eastAsia="Arial" w:hAnsi="Arial"/>
          <w:sz w:val="18"/>
          <w:szCs w:val="18"/>
          <w:color w:val="auto"/>
        </w:rPr>
      </w:pPr>
    </w:p>
    <w:p>
      <w:pPr>
        <w:jc w:val="both"/>
        <w:ind w:left="980" w:hanging="324"/>
        <w:spacing w:after="0" w:line="253"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IPO has not been completed by December 31, 2021, the Company shall redeem and repurchase for cash all of the outstanding shares of Series A Preferred Stock for a purchase price equal to (a) the product of multiplying the $10.00 Stated Value of each outstanding share of Series A Preferred Stock by the total number of outstanding shares of Series A Preferred Stock, plus (b) all accrued and unpaid Dividends owed thereon.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Accordingly, certain specified reporting and other regulatory requirements for public companies are reduced for businesses that meet the qualifications for emerging growth companies.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include:</w:t>
      </w:r>
    </w:p>
    <w:p>
      <w:pPr>
        <w:spacing w:after="0" w:line="225" w:lineRule="exact"/>
        <w:rPr>
          <w:sz w:val="20"/>
          <w:szCs w:val="20"/>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our internal controls over financial reporting required by Section 404 of the Sarbanes-Oxley Act of 2002;</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exemption from the adoption of new or revised financial accounting standards until they would apply to private companies;</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exemption from compliance with any new requirements adopted by the Public Company Accounting Oversight Board, or the PCAOB, requiring mandatory audit firm rotation or a supplement to the auditor’s report in which the auditor would be required to provide additional information about our audit and our financial statements; and</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“smaller reporting company,” this item is not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4"/>
        </w:trPr>
        <w:tc>
          <w:tcPr>
            <w:tcW w:w="10600" w:type="dxa"/>
            <w:vAlign w:val="bottom"/>
            <w:gridSpan w:val="7"/>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640" w:type="dxa"/>
            <w:vAlign w:val="bottom"/>
          </w:tcPr>
          <w:p>
            <w:pPr>
              <w:spacing w:after="0"/>
              <w:rPr>
                <w:sz w:val="20"/>
                <w:szCs w:val="20"/>
                <w:color w:val="auto"/>
              </w:rPr>
            </w:pPr>
          </w:p>
        </w:tc>
      </w:tr>
      <w:tr>
        <w:trPr>
          <w:trHeight w:val="432"/>
        </w:trPr>
        <w:tc>
          <w:tcPr>
            <w:tcW w:w="3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60" w:type="dxa"/>
            <w:vAlign w:val="bottom"/>
            <w:gridSpan w:val="4"/>
          </w:tcPr>
          <w:p>
            <w:pPr>
              <w:ind w:left="320"/>
              <w:spacing w:after="0"/>
              <w:rPr>
                <w:sz w:val="20"/>
                <w:szCs w:val="20"/>
                <w:color w:val="auto"/>
              </w:rPr>
            </w:pPr>
            <w:r>
              <w:rPr>
                <w:rFonts w:ascii="Arial" w:cs="Arial" w:eastAsia="Arial" w:hAnsi="Arial"/>
                <w:sz w:val="18"/>
                <w:szCs w:val="18"/>
                <w:color w:val="auto"/>
              </w:rPr>
              <w:t>Index to Financial Statements</w:t>
            </w:r>
          </w:p>
        </w:tc>
        <w:tc>
          <w:tcPr>
            <w:tcW w:w="640" w:type="dxa"/>
            <w:vAlign w:val="bottom"/>
          </w:tcPr>
          <w:p>
            <w:pPr>
              <w:spacing w:after="0"/>
              <w:rPr>
                <w:sz w:val="24"/>
                <w:szCs w:val="24"/>
                <w:color w:val="auto"/>
              </w:rPr>
            </w:pPr>
          </w:p>
        </w:tc>
      </w:tr>
      <w:tr>
        <w:trPr>
          <w:trHeight w:val="446"/>
        </w:trPr>
        <w:tc>
          <w:tcPr>
            <w:tcW w:w="3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Page</w:t>
            </w:r>
          </w:p>
        </w:tc>
      </w:tr>
      <w:tr>
        <w:trPr>
          <w:trHeight w:val="385"/>
        </w:trPr>
        <w:tc>
          <w:tcPr>
            <w:tcW w:w="10600" w:type="dxa"/>
            <w:vAlign w:val="bottom"/>
            <w:gridSpan w:val="7"/>
          </w:tcPr>
          <w:p>
            <w:pPr>
              <w:spacing w:after="0"/>
              <w:rPr>
                <w:sz w:val="20"/>
                <w:szCs w:val="20"/>
                <w:color w:val="auto"/>
              </w:rPr>
            </w:pPr>
            <w:r>
              <w:rPr>
                <w:rFonts w:ascii="Arial" w:cs="Arial" w:eastAsia="Arial" w:hAnsi="Arial"/>
                <w:sz w:val="18"/>
                <w:szCs w:val="18"/>
                <w:color w:val="0000EE"/>
              </w:rPr>
              <w:t xml:space="preserve">Report of Independent Registered Public Accounting Firm </w:t>
            </w:r>
            <w:r>
              <w:rPr>
                <w:rFonts w:ascii="Arial" w:cs="Arial" w:eastAsia="Arial" w:hAnsi="Arial"/>
                <w:sz w:val="18"/>
                <w:szCs w:val="18"/>
                <w:color w:val="000000"/>
              </w:rPr>
              <w:t>PCAOB ID (1195)</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F-1</w:t>
            </w: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10600" w:type="dxa"/>
            <w:vAlign w:val="bottom"/>
            <w:gridSpan w:val="7"/>
          </w:tcPr>
          <w:p>
            <w:pPr>
              <w:spacing w:after="0"/>
              <w:rPr>
                <w:sz w:val="20"/>
                <w:szCs w:val="20"/>
                <w:color w:val="auto"/>
              </w:rPr>
            </w:pPr>
            <w:r>
              <w:rPr>
                <w:rFonts w:ascii="Arial" w:cs="Arial" w:eastAsia="Arial" w:hAnsi="Arial"/>
                <w:sz w:val="18"/>
                <w:szCs w:val="18"/>
                <w:color w:val="0000EE"/>
              </w:rPr>
              <w:t>Consolidated Balance Sheets as of June 30, 2022 and 2021</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F-2</w:t>
            </w:r>
          </w:p>
        </w:tc>
      </w:tr>
      <w:tr>
        <w:trPr>
          <w:trHeight w:val="20"/>
        </w:trPr>
        <w:tc>
          <w:tcPr>
            <w:tcW w:w="316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10600" w:type="dxa"/>
            <w:vAlign w:val="bottom"/>
            <w:gridSpan w:val="7"/>
          </w:tcPr>
          <w:p>
            <w:pPr>
              <w:spacing w:after="0"/>
              <w:rPr>
                <w:sz w:val="20"/>
                <w:szCs w:val="20"/>
                <w:color w:val="auto"/>
              </w:rPr>
            </w:pPr>
            <w:r>
              <w:rPr>
                <w:rFonts w:ascii="Arial" w:cs="Arial" w:eastAsia="Arial" w:hAnsi="Arial"/>
                <w:sz w:val="18"/>
                <w:szCs w:val="18"/>
                <w:color w:val="0000EE"/>
              </w:rPr>
              <w:t>Consolidated Statements of Operations and Comprehensive Income (Loss) for the years ended June 30, 2022 and 2021</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F-3</w:t>
            </w:r>
          </w:p>
        </w:tc>
      </w:tr>
      <w:tr>
        <w:trPr>
          <w:trHeight w:val="412"/>
        </w:trPr>
        <w:tc>
          <w:tcPr>
            <w:tcW w:w="856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0000EE"/>
              </w:rPr>
              <w:t>Consolidated Statements of Changes in Stockholders’ Equity for the years ended June 30, 2022 and 2021</w:t>
            </w:r>
          </w:p>
        </w:tc>
        <w:tc>
          <w:tcPr>
            <w:tcW w:w="20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F-4</w:t>
            </w:r>
          </w:p>
        </w:tc>
      </w:tr>
      <w:tr>
        <w:trPr>
          <w:trHeight w:val="412"/>
        </w:trPr>
        <w:tc>
          <w:tcPr>
            <w:tcW w:w="606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88"/>
              </w:rPr>
              <w:t>Consolidated Statements of Cash Flows for the years ended June 30, 2022 and 2021</w:t>
            </w:r>
          </w:p>
        </w:tc>
        <w:tc>
          <w:tcPr>
            <w:tcW w:w="1520" w:type="dxa"/>
            <w:vAlign w:val="bottom"/>
            <w:tcBorders>
              <w:top w:val="single" w:sz="8" w:color="0000EE"/>
            </w:tcBorders>
          </w:tcPr>
          <w:p>
            <w:pPr>
              <w:spacing w:after="0"/>
              <w:rPr>
                <w:sz w:val="24"/>
                <w:szCs w:val="24"/>
                <w:color w:val="auto"/>
              </w:rPr>
            </w:pPr>
          </w:p>
        </w:tc>
        <w:tc>
          <w:tcPr>
            <w:tcW w:w="3020" w:type="dxa"/>
            <w:vAlign w:val="bottom"/>
            <w:gridSpan w:val="2"/>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F-5</w:t>
            </w:r>
          </w:p>
        </w:tc>
      </w:tr>
      <w:tr>
        <w:trPr>
          <w:trHeight w:val="412"/>
        </w:trPr>
        <w:tc>
          <w:tcPr>
            <w:tcW w:w="31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9"/>
              </w:rPr>
              <w:t>Notes to Consolidated Financial Statements</w:t>
            </w:r>
          </w:p>
        </w:tc>
        <w:tc>
          <w:tcPr>
            <w:tcW w:w="7440" w:type="dxa"/>
            <w:vAlign w:val="bottom"/>
            <w:gridSpan w:val="6"/>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F-6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5349240" cy="5054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5349240"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iPower, Inc. (f/k/a BZRTH, Inc.) and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audited the accompanying consolidated balance sheets of iPower, Inc. (f/k/a BZRTH, Inc.) and subsidiaries (the “Company”) as of June 30, 2022 and 2021, and the related consolidated statements of operations and comprehensive income, changes in stockholders’ equity, and cash flows for the two years then ended and the related notes (collectively referred to as the consolidated financial statements). In our opinion, the consolidated financial statements present fairly, in all material respects, the financial position of the Company as of June 30, 2022 and 2021, and the results of their operations and their cash flows for the two years then ended, in conformity with accounting principles generally accepted in the United States of America.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UHY LLP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September 28, 2022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ind w:left="4600"/>
        <w:spacing w:after="0"/>
        <w:rPr>
          <w:sz w:val="20"/>
          <w:szCs w:val="20"/>
          <w:color w:val="auto"/>
        </w:rPr>
      </w:pPr>
      <w:r>
        <w:rPr>
          <w:rFonts w:ascii="Arial" w:cs="Arial" w:eastAsia="Arial" w:hAnsi="Arial"/>
          <w:sz w:val="18"/>
          <w:szCs w:val="18"/>
          <w:color w:val="auto"/>
        </w:rPr>
        <w:t>iPower Inc. and Subsidiaries</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As of June 30, 2022 and 2021</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gridSpan w:val="2"/>
          </w:tcPr>
          <w:p>
            <w:pPr>
              <w:jc w:val="right"/>
              <w:ind w:right="840"/>
              <w:spacing w:after="0"/>
              <w:rPr>
                <w:sz w:val="20"/>
                <w:szCs w:val="20"/>
                <w:color w:val="auto"/>
              </w:rPr>
            </w:pPr>
            <w:r>
              <w:rPr>
                <w:rFonts w:ascii="Arial" w:cs="Arial" w:eastAsia="Arial" w:hAnsi="Arial"/>
                <w:sz w:val="16"/>
                <w:szCs w:val="16"/>
                <w:color w:val="auto"/>
              </w:rPr>
              <w:t>June 30,</w:t>
            </w:r>
          </w:p>
        </w:tc>
        <w:tc>
          <w:tcPr>
            <w:tcW w:w="300" w:type="dxa"/>
            <w:vAlign w:val="bottom"/>
          </w:tcPr>
          <w:p>
            <w:pPr>
              <w:spacing w:after="0"/>
              <w:rPr>
                <w:sz w:val="17"/>
                <w:szCs w:val="17"/>
                <w:color w:val="auto"/>
              </w:rPr>
            </w:pPr>
          </w:p>
        </w:tc>
        <w:tc>
          <w:tcPr>
            <w:tcW w:w="1380" w:type="dxa"/>
            <w:vAlign w:val="bottom"/>
            <w:gridSpan w:val="2"/>
          </w:tcPr>
          <w:p>
            <w:pPr>
              <w:ind w:left="220"/>
              <w:spacing w:after="0"/>
              <w:rPr>
                <w:sz w:val="20"/>
                <w:szCs w:val="20"/>
                <w:color w:val="auto"/>
              </w:rPr>
            </w:pPr>
            <w:r>
              <w:rPr>
                <w:rFonts w:ascii="Arial" w:cs="Arial" w:eastAsia="Arial" w:hAnsi="Arial"/>
                <w:sz w:val="16"/>
                <w:szCs w:val="16"/>
                <w:color w:val="auto"/>
              </w:rPr>
              <w:t>June 30,</w:t>
            </w:r>
          </w:p>
        </w:tc>
      </w:tr>
      <w:tr>
        <w:trPr>
          <w:trHeight w:val="216"/>
        </w:trPr>
        <w:tc>
          <w:tcPr>
            <w:tcW w:w="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2022</w:t>
            </w:r>
          </w:p>
        </w:tc>
        <w:tc>
          <w:tcPr>
            <w:tcW w:w="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8"/>
                <w:szCs w:val="18"/>
                <w:color w:val="auto"/>
              </w:rPr>
            </w:pPr>
          </w:p>
        </w:tc>
      </w:tr>
      <w:tr>
        <w:trPr>
          <w:trHeight w:val="377"/>
        </w:trPr>
        <w:tc>
          <w:tcPr>
            <w:tcW w:w="7540" w:type="dxa"/>
            <w:vAlign w:val="bottom"/>
            <w:gridSpan w:val="3"/>
          </w:tcPr>
          <w:p>
            <w:pPr>
              <w:spacing w:after="0"/>
              <w:rPr>
                <w:sz w:val="20"/>
                <w:szCs w:val="20"/>
                <w:color w:val="auto"/>
              </w:rPr>
            </w:pPr>
            <w:r>
              <w:rPr>
                <w:rFonts w:ascii="Arial" w:cs="Arial" w:eastAsia="Arial" w:hAnsi="Arial"/>
                <w:sz w:val="16"/>
                <w:szCs w:val="16"/>
                <w:color w:val="auto"/>
              </w:rPr>
              <w:t>ASSETS</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
        </w:trPr>
        <w:tc>
          <w:tcPr>
            <w:tcW w:w="600" w:type="dxa"/>
            <w:vAlign w:val="bottom"/>
            <w:tcBorders>
              <w:top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7540" w:type="dxa"/>
            <w:vAlign w:val="bottom"/>
            <w:gridSpan w:val="3"/>
            <w:shd w:val="clear" w:color="auto" w:fill="EEEEEE"/>
          </w:tcPr>
          <w:p>
            <w:pPr>
              <w:spacing w:after="0"/>
              <w:rPr>
                <w:sz w:val="20"/>
                <w:szCs w:val="20"/>
                <w:color w:val="auto"/>
              </w:rPr>
            </w:pPr>
            <w:r>
              <w:rPr>
                <w:rFonts w:ascii="Arial" w:cs="Arial" w:eastAsia="Arial" w:hAnsi="Arial"/>
                <w:sz w:val="16"/>
                <w:szCs w:val="16"/>
                <w:color w:val="auto"/>
              </w:rPr>
              <w:t>Current assets</w:t>
            </w:r>
          </w:p>
        </w:tc>
        <w:tc>
          <w:tcPr>
            <w:tcW w:w="1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03"/>
        </w:trPr>
        <w:tc>
          <w:tcPr>
            <w:tcW w:w="7540" w:type="dxa"/>
            <w:vAlign w:val="bottom"/>
            <w:gridSpan w:val="3"/>
          </w:tcPr>
          <w:p>
            <w:pPr>
              <w:ind w:left="180"/>
              <w:spacing w:after="0"/>
              <w:rPr>
                <w:sz w:val="20"/>
                <w:szCs w:val="20"/>
                <w:color w:val="auto"/>
              </w:rPr>
            </w:pPr>
            <w:r>
              <w:rPr>
                <w:rFonts w:ascii="Arial" w:cs="Arial" w:eastAsia="Arial" w:hAnsi="Arial"/>
                <w:sz w:val="16"/>
                <w:szCs w:val="16"/>
                <w:color w:val="auto"/>
              </w:rPr>
              <w:t>Cash and cash equivalent</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ind w:right="320"/>
              <w:spacing w:after="0"/>
              <w:rPr>
                <w:sz w:val="20"/>
                <w:szCs w:val="20"/>
                <w:color w:val="auto"/>
              </w:rPr>
            </w:pPr>
            <w:r>
              <w:rPr>
                <w:rFonts w:ascii="Arial" w:cs="Arial" w:eastAsia="Arial" w:hAnsi="Arial"/>
                <w:sz w:val="16"/>
                <w:szCs w:val="16"/>
                <w:color w:val="auto"/>
              </w:rPr>
              <w:t>1,821,947</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6,651,705</w:t>
            </w:r>
          </w:p>
        </w:tc>
      </w:tr>
      <w:tr>
        <w:trPr>
          <w:trHeight w:val="203"/>
        </w:trPr>
        <w:tc>
          <w:tcPr>
            <w:tcW w:w="7540" w:type="dxa"/>
            <w:vAlign w:val="bottom"/>
            <w:gridSpan w:val="3"/>
            <w:shd w:val="clear" w:color="auto" w:fill="EEEEEE"/>
          </w:tcPr>
          <w:p>
            <w:pPr>
              <w:ind w:left="180"/>
              <w:spacing w:after="0"/>
              <w:rPr>
                <w:sz w:val="20"/>
                <w:szCs w:val="20"/>
                <w:color w:val="auto"/>
              </w:rPr>
            </w:pPr>
            <w:r>
              <w:rPr>
                <w:rFonts w:ascii="Arial" w:cs="Arial" w:eastAsia="Arial" w:hAnsi="Arial"/>
                <w:sz w:val="16"/>
                <w:szCs w:val="16"/>
                <w:color w:val="auto"/>
              </w:rPr>
              <w:t>Accounts receivable, net</w:t>
            </w:r>
          </w:p>
        </w:tc>
        <w:tc>
          <w:tcPr>
            <w:tcW w:w="1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60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17,432,287</w:t>
            </w:r>
          </w:p>
        </w:tc>
        <w:tc>
          <w:tcPr>
            <w:tcW w:w="300" w:type="dxa"/>
            <w:vAlign w:val="bottom"/>
            <w:shd w:val="clear" w:color="auto" w:fill="EEEEEE"/>
          </w:tcPr>
          <w:p>
            <w:pPr>
              <w:spacing w:after="0"/>
              <w:rPr>
                <w:sz w:val="17"/>
                <w:szCs w:val="17"/>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7,896,347</w:t>
            </w:r>
          </w:p>
        </w:tc>
      </w:tr>
      <w:tr>
        <w:trPr>
          <w:trHeight w:val="203"/>
        </w:trPr>
        <w:tc>
          <w:tcPr>
            <w:tcW w:w="7540" w:type="dxa"/>
            <w:vAlign w:val="bottom"/>
            <w:gridSpan w:val="3"/>
          </w:tcPr>
          <w:p>
            <w:pPr>
              <w:ind w:left="180"/>
              <w:spacing w:after="0"/>
              <w:rPr>
                <w:sz w:val="20"/>
                <w:szCs w:val="20"/>
                <w:color w:val="auto"/>
              </w:rPr>
            </w:pPr>
            <w:r>
              <w:rPr>
                <w:rFonts w:ascii="Arial" w:cs="Arial" w:eastAsia="Arial" w:hAnsi="Arial"/>
                <w:sz w:val="16"/>
                <w:szCs w:val="16"/>
                <w:color w:val="auto"/>
              </w:rPr>
              <w:t>Inventories, net</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6"/>
                <w:szCs w:val="16"/>
                <w:color w:val="auto"/>
              </w:rPr>
              <w:t>30,433,766</w:t>
            </w:r>
          </w:p>
        </w:tc>
        <w:tc>
          <w:tcPr>
            <w:tcW w:w="30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13,065,741</w:t>
            </w:r>
          </w:p>
        </w:tc>
      </w:tr>
      <w:tr>
        <w:trPr>
          <w:trHeight w:val="203"/>
        </w:trPr>
        <w:tc>
          <w:tcPr>
            <w:tcW w:w="7540" w:type="dxa"/>
            <w:vAlign w:val="bottom"/>
            <w:gridSpan w:val="3"/>
            <w:shd w:val="clear" w:color="auto" w:fill="EEEEEE"/>
          </w:tcPr>
          <w:p>
            <w:pPr>
              <w:ind w:left="180"/>
              <w:spacing w:after="0"/>
              <w:rPr>
                <w:sz w:val="20"/>
                <w:szCs w:val="20"/>
                <w:color w:val="auto"/>
              </w:rPr>
            </w:pPr>
            <w:r>
              <w:rPr>
                <w:rFonts w:ascii="Arial" w:cs="Arial" w:eastAsia="Arial" w:hAnsi="Arial"/>
                <w:sz w:val="16"/>
                <w:szCs w:val="16"/>
                <w:color w:val="auto"/>
              </w:rPr>
              <w:t>Other receivable - related party</w:t>
            </w:r>
          </w:p>
        </w:tc>
        <w:tc>
          <w:tcPr>
            <w:tcW w:w="1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60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51,762</w:t>
            </w:r>
          </w:p>
        </w:tc>
        <w:tc>
          <w:tcPr>
            <w:tcW w:w="300" w:type="dxa"/>
            <w:vAlign w:val="bottom"/>
            <w:shd w:val="clear" w:color="auto" w:fill="EEEEEE"/>
          </w:tcPr>
          <w:p>
            <w:pPr>
              <w:spacing w:after="0"/>
              <w:rPr>
                <w:sz w:val="17"/>
                <w:szCs w:val="17"/>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w:t>
            </w:r>
          </w:p>
        </w:tc>
      </w:tr>
      <w:tr>
        <w:trPr>
          <w:trHeight w:val="213"/>
        </w:trPr>
        <w:tc>
          <w:tcPr>
            <w:tcW w:w="7540" w:type="dxa"/>
            <w:vAlign w:val="bottom"/>
            <w:gridSpan w:val="3"/>
          </w:tcPr>
          <w:p>
            <w:pPr>
              <w:ind w:left="180"/>
              <w:spacing w:after="0"/>
              <w:rPr>
                <w:sz w:val="20"/>
                <w:szCs w:val="20"/>
                <w:color w:val="auto"/>
              </w:rPr>
            </w:pPr>
            <w:r>
              <w:rPr>
                <w:rFonts w:ascii="Arial" w:cs="Arial" w:eastAsia="Arial" w:hAnsi="Arial"/>
                <w:sz w:val="16"/>
                <w:szCs w:val="16"/>
                <w:color w:val="auto"/>
              </w:rPr>
              <w:t>Prepayments and other current assets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6"/>
                <w:szCs w:val="16"/>
                <w:color w:val="auto"/>
              </w:rPr>
              <w:t>5,444,463</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4,693,000</w:t>
            </w:r>
          </w:p>
        </w:tc>
      </w:tr>
      <w:tr>
        <w:trPr>
          <w:trHeight w:val="199"/>
        </w:trPr>
        <w:tc>
          <w:tcPr>
            <w:tcW w:w="7540" w:type="dxa"/>
            <w:vAlign w:val="bottom"/>
            <w:tcBorders>
              <w:top w:val="single" w:sz="8" w:color="EEEEEE"/>
            </w:tcBorders>
            <w:gridSpan w:val="3"/>
            <w:shd w:val="clear" w:color="auto" w:fill="EEEEEE"/>
          </w:tcPr>
          <w:p>
            <w:pPr>
              <w:ind w:left="540"/>
              <w:spacing w:after="0"/>
              <w:rPr>
                <w:sz w:val="20"/>
                <w:szCs w:val="20"/>
                <w:color w:val="auto"/>
              </w:rPr>
            </w:pPr>
            <w:r>
              <w:rPr>
                <w:rFonts w:ascii="Arial" w:cs="Arial" w:eastAsia="Arial" w:hAnsi="Arial"/>
                <w:sz w:val="16"/>
                <w:szCs w:val="16"/>
                <w:color w:val="auto"/>
              </w:rPr>
              <w:t>Total current assets</w:t>
            </w:r>
          </w:p>
        </w:tc>
        <w:tc>
          <w:tcPr>
            <w:tcW w:w="120" w:type="dxa"/>
            <w:vAlign w:val="bottom"/>
            <w:tcBorders>
              <w:top w:val="single" w:sz="8" w:color="EEEEEE"/>
            </w:tcBorders>
            <w:shd w:val="clear" w:color="auto" w:fill="EEEEEE"/>
          </w:tcPr>
          <w:p>
            <w:pPr>
              <w:spacing w:after="0"/>
              <w:rPr>
                <w:sz w:val="17"/>
                <w:szCs w:val="17"/>
                <w:color w:val="auto"/>
              </w:rPr>
            </w:pPr>
          </w:p>
        </w:tc>
        <w:tc>
          <w:tcPr>
            <w:tcW w:w="300" w:type="dxa"/>
            <w:vAlign w:val="bottom"/>
            <w:tcBorders>
              <w:top w:val="single" w:sz="8" w:color="auto"/>
              <w:bottom w:val="single" w:sz="8" w:color="auto"/>
            </w:tcBorders>
            <w:shd w:val="clear" w:color="auto" w:fill="EEEEEE"/>
          </w:tcPr>
          <w:p>
            <w:pPr>
              <w:spacing w:after="0"/>
              <w:rPr>
                <w:sz w:val="17"/>
                <w:szCs w:val="17"/>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55,184,225</w:t>
            </w:r>
          </w:p>
        </w:tc>
        <w:tc>
          <w:tcPr>
            <w:tcW w:w="320" w:type="dxa"/>
            <w:vAlign w:val="bottom"/>
            <w:tcBorders>
              <w:top w:val="single" w:sz="8" w:color="EEEEEE"/>
            </w:tcBorders>
            <w:shd w:val="clear" w:color="auto" w:fill="EEEEEE"/>
          </w:tcPr>
          <w:p>
            <w:pPr>
              <w:spacing w:after="0"/>
              <w:rPr>
                <w:sz w:val="17"/>
                <w:szCs w:val="17"/>
                <w:color w:val="auto"/>
              </w:rPr>
            </w:pPr>
          </w:p>
        </w:tc>
        <w:tc>
          <w:tcPr>
            <w:tcW w:w="300" w:type="dxa"/>
            <w:vAlign w:val="bottom"/>
            <w:tcBorders>
              <w:top w:val="single" w:sz="8" w:color="auto"/>
              <w:bottom w:val="single" w:sz="8" w:color="auto"/>
            </w:tcBorders>
            <w:shd w:val="clear" w:color="auto" w:fill="EEEEEE"/>
          </w:tcPr>
          <w:p>
            <w:pPr>
              <w:spacing w:after="0"/>
              <w:rPr>
                <w:sz w:val="17"/>
                <w:szCs w:val="17"/>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32,306,793</w:t>
            </w:r>
          </w:p>
        </w:tc>
        <w:tc>
          <w:tcPr>
            <w:tcW w:w="100" w:type="dxa"/>
            <w:vAlign w:val="bottom"/>
            <w:tcBorders>
              <w:top w:val="single" w:sz="8" w:color="EEEEEE"/>
            </w:tcBorders>
            <w:shd w:val="clear" w:color="auto" w:fill="EEEEEE"/>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40" w:type="dxa"/>
            <w:vAlign w:val="bottom"/>
            <w:gridSpan w:val="3"/>
            <w:shd w:val="clear" w:color="auto" w:fill="EEEEEE"/>
          </w:tcPr>
          <w:p>
            <w:pPr>
              <w:spacing w:after="0"/>
              <w:rPr>
                <w:sz w:val="20"/>
                <w:szCs w:val="20"/>
                <w:color w:val="auto"/>
              </w:rPr>
            </w:pPr>
            <w:r>
              <w:rPr>
                <w:rFonts w:ascii="Arial" w:cs="Arial" w:eastAsia="Arial" w:hAnsi="Arial"/>
                <w:sz w:val="16"/>
                <w:szCs w:val="16"/>
                <w:color w:val="auto"/>
              </w:rPr>
              <w:t>Non-current assets</w:t>
            </w:r>
          </w:p>
        </w:tc>
        <w:tc>
          <w:tcPr>
            <w:tcW w:w="1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03"/>
        </w:trPr>
        <w:tc>
          <w:tcPr>
            <w:tcW w:w="7540" w:type="dxa"/>
            <w:vAlign w:val="bottom"/>
            <w:gridSpan w:val="3"/>
          </w:tcPr>
          <w:p>
            <w:pPr>
              <w:ind w:left="180"/>
              <w:spacing w:after="0"/>
              <w:rPr>
                <w:sz w:val="20"/>
                <w:szCs w:val="20"/>
                <w:color w:val="auto"/>
              </w:rPr>
            </w:pPr>
            <w:r>
              <w:rPr>
                <w:rFonts w:ascii="Arial" w:cs="Arial" w:eastAsia="Arial" w:hAnsi="Arial"/>
                <w:sz w:val="16"/>
                <w:szCs w:val="16"/>
                <w:color w:val="auto"/>
              </w:rPr>
              <w:t>Right of use - non current</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6"/>
                <w:szCs w:val="16"/>
                <w:color w:val="auto"/>
              </w:rPr>
              <w:t>10,453,282</w:t>
            </w:r>
          </w:p>
        </w:tc>
        <w:tc>
          <w:tcPr>
            <w:tcW w:w="30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1,819,421</w:t>
            </w:r>
          </w:p>
        </w:tc>
      </w:tr>
      <w:tr>
        <w:trPr>
          <w:trHeight w:val="203"/>
        </w:trPr>
        <w:tc>
          <w:tcPr>
            <w:tcW w:w="7540" w:type="dxa"/>
            <w:vAlign w:val="bottom"/>
            <w:gridSpan w:val="3"/>
            <w:shd w:val="clear" w:color="auto" w:fill="EEEEEE"/>
          </w:tcPr>
          <w:p>
            <w:pPr>
              <w:ind w:left="180"/>
              <w:spacing w:after="0"/>
              <w:rPr>
                <w:sz w:val="20"/>
                <w:szCs w:val="20"/>
                <w:color w:val="auto"/>
              </w:rPr>
            </w:pPr>
            <w:r>
              <w:rPr>
                <w:rFonts w:ascii="Arial" w:cs="Arial" w:eastAsia="Arial" w:hAnsi="Arial"/>
                <w:sz w:val="16"/>
                <w:szCs w:val="16"/>
                <w:color w:val="auto"/>
              </w:rPr>
              <w:t>Property and equipment, net</w:t>
            </w:r>
          </w:p>
        </w:tc>
        <w:tc>
          <w:tcPr>
            <w:tcW w:w="1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60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544,633</w:t>
            </w:r>
          </w:p>
        </w:tc>
        <w:tc>
          <w:tcPr>
            <w:tcW w:w="300" w:type="dxa"/>
            <w:vAlign w:val="bottom"/>
            <w:shd w:val="clear" w:color="auto" w:fill="EEEEEE"/>
          </w:tcPr>
          <w:p>
            <w:pPr>
              <w:spacing w:after="0"/>
              <w:rPr>
                <w:sz w:val="17"/>
                <w:szCs w:val="17"/>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55,659</w:t>
            </w:r>
          </w:p>
        </w:tc>
      </w:tr>
      <w:tr>
        <w:trPr>
          <w:trHeight w:val="203"/>
        </w:trPr>
        <w:tc>
          <w:tcPr>
            <w:tcW w:w="7540" w:type="dxa"/>
            <w:vAlign w:val="bottom"/>
            <w:gridSpan w:val="3"/>
          </w:tcPr>
          <w:p>
            <w:pPr>
              <w:ind w:left="180"/>
              <w:spacing w:after="0"/>
              <w:rPr>
                <w:sz w:val="20"/>
                <w:szCs w:val="20"/>
                <w:color w:val="auto"/>
              </w:rPr>
            </w:pPr>
            <w:r>
              <w:rPr>
                <w:rFonts w:ascii="Arial" w:cs="Arial" w:eastAsia="Arial" w:hAnsi="Arial"/>
                <w:sz w:val="16"/>
                <w:szCs w:val="16"/>
                <w:color w:val="auto"/>
              </w:rPr>
              <w:t>Non-current prepayments</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6"/>
                <w:szCs w:val="16"/>
                <w:color w:val="auto"/>
              </w:rPr>
              <w:t>925,624</w:t>
            </w:r>
          </w:p>
        </w:tc>
        <w:tc>
          <w:tcPr>
            <w:tcW w:w="30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1,357,292</w:t>
            </w:r>
          </w:p>
        </w:tc>
      </w:tr>
      <w:tr>
        <w:trPr>
          <w:trHeight w:val="203"/>
        </w:trPr>
        <w:tc>
          <w:tcPr>
            <w:tcW w:w="7540" w:type="dxa"/>
            <w:vAlign w:val="bottom"/>
            <w:gridSpan w:val="3"/>
            <w:shd w:val="clear" w:color="auto" w:fill="EEEEEE"/>
          </w:tcPr>
          <w:p>
            <w:pPr>
              <w:ind w:left="180"/>
              <w:spacing w:after="0"/>
              <w:rPr>
                <w:sz w:val="20"/>
                <w:szCs w:val="20"/>
                <w:color w:val="auto"/>
              </w:rPr>
            </w:pPr>
            <w:r>
              <w:rPr>
                <w:rFonts w:ascii="Arial" w:cs="Arial" w:eastAsia="Arial" w:hAnsi="Arial"/>
                <w:sz w:val="16"/>
                <w:szCs w:val="16"/>
                <w:color w:val="auto"/>
              </w:rPr>
              <w:t>Goodwill</w:t>
            </w:r>
          </w:p>
        </w:tc>
        <w:tc>
          <w:tcPr>
            <w:tcW w:w="1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60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6,094,144</w:t>
            </w:r>
          </w:p>
        </w:tc>
        <w:tc>
          <w:tcPr>
            <w:tcW w:w="300" w:type="dxa"/>
            <w:vAlign w:val="bottom"/>
            <w:shd w:val="clear" w:color="auto" w:fill="EEEEEE"/>
          </w:tcPr>
          <w:p>
            <w:pPr>
              <w:spacing w:after="0"/>
              <w:rPr>
                <w:sz w:val="17"/>
                <w:szCs w:val="17"/>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7540" w:type="dxa"/>
            <w:vAlign w:val="bottom"/>
            <w:gridSpan w:val="3"/>
          </w:tcPr>
          <w:p>
            <w:pPr>
              <w:ind w:left="180"/>
              <w:spacing w:after="0"/>
              <w:rPr>
                <w:sz w:val="20"/>
                <w:szCs w:val="20"/>
                <w:color w:val="auto"/>
              </w:rPr>
            </w:pPr>
            <w:r>
              <w:rPr>
                <w:rFonts w:ascii="Arial" w:cs="Arial" w:eastAsia="Arial" w:hAnsi="Arial"/>
                <w:sz w:val="16"/>
                <w:szCs w:val="16"/>
                <w:color w:val="auto"/>
              </w:rPr>
              <w:t>Investment in joint venture</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6"/>
                <w:szCs w:val="16"/>
                <w:color w:val="auto"/>
              </w:rPr>
              <w:t>43,385</w:t>
            </w:r>
          </w:p>
        </w:tc>
        <w:tc>
          <w:tcPr>
            <w:tcW w:w="30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7540" w:type="dxa"/>
            <w:vAlign w:val="bottom"/>
            <w:gridSpan w:val="3"/>
            <w:shd w:val="clear" w:color="auto" w:fill="EEEEEE"/>
          </w:tcPr>
          <w:p>
            <w:pPr>
              <w:ind w:left="180"/>
              <w:spacing w:after="0"/>
              <w:rPr>
                <w:sz w:val="20"/>
                <w:szCs w:val="20"/>
                <w:color w:val="auto"/>
              </w:rPr>
            </w:pPr>
            <w:r>
              <w:rPr>
                <w:rFonts w:ascii="Arial" w:cs="Arial" w:eastAsia="Arial" w:hAnsi="Arial"/>
                <w:sz w:val="16"/>
                <w:szCs w:val="16"/>
                <w:color w:val="auto"/>
              </w:rPr>
              <w:t>Intangible assets, net</w:t>
            </w:r>
          </w:p>
        </w:tc>
        <w:tc>
          <w:tcPr>
            <w:tcW w:w="1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60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4,929,442</w:t>
            </w:r>
          </w:p>
        </w:tc>
        <w:tc>
          <w:tcPr>
            <w:tcW w:w="300" w:type="dxa"/>
            <w:vAlign w:val="bottom"/>
            <w:shd w:val="clear" w:color="auto" w:fill="EEEEEE"/>
          </w:tcPr>
          <w:p>
            <w:pPr>
              <w:spacing w:after="0"/>
              <w:rPr>
                <w:sz w:val="17"/>
                <w:szCs w:val="17"/>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w:t>
            </w:r>
          </w:p>
        </w:tc>
      </w:tr>
      <w:tr>
        <w:trPr>
          <w:trHeight w:val="213"/>
        </w:trPr>
        <w:tc>
          <w:tcPr>
            <w:tcW w:w="7540" w:type="dxa"/>
            <w:vAlign w:val="bottom"/>
            <w:gridSpan w:val="3"/>
          </w:tcPr>
          <w:p>
            <w:pPr>
              <w:ind w:left="180"/>
              <w:spacing w:after="0"/>
              <w:rPr>
                <w:sz w:val="20"/>
                <w:szCs w:val="20"/>
                <w:color w:val="auto"/>
              </w:rPr>
            </w:pPr>
            <w:r>
              <w:rPr>
                <w:rFonts w:ascii="Arial" w:cs="Arial" w:eastAsia="Arial" w:hAnsi="Arial"/>
                <w:sz w:val="16"/>
                <w:szCs w:val="16"/>
                <w:color w:val="auto"/>
              </w:rPr>
              <w:t>Other non-current assets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6"/>
                <w:szCs w:val="16"/>
                <w:color w:val="auto"/>
              </w:rPr>
              <w:t>406,732</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99,645</w:t>
            </w:r>
          </w:p>
        </w:tc>
      </w:tr>
      <w:tr>
        <w:trPr>
          <w:trHeight w:val="199"/>
        </w:trPr>
        <w:tc>
          <w:tcPr>
            <w:tcW w:w="7540" w:type="dxa"/>
            <w:vAlign w:val="bottom"/>
            <w:tcBorders>
              <w:top w:val="single" w:sz="8" w:color="EEEEEE"/>
            </w:tcBorders>
            <w:gridSpan w:val="3"/>
            <w:shd w:val="clear" w:color="auto" w:fill="EEEEEE"/>
          </w:tcPr>
          <w:p>
            <w:pPr>
              <w:ind w:left="540"/>
              <w:spacing w:after="0"/>
              <w:rPr>
                <w:sz w:val="20"/>
                <w:szCs w:val="20"/>
                <w:color w:val="auto"/>
              </w:rPr>
            </w:pPr>
            <w:r>
              <w:rPr>
                <w:rFonts w:ascii="Arial" w:cs="Arial" w:eastAsia="Arial" w:hAnsi="Arial"/>
                <w:sz w:val="16"/>
                <w:szCs w:val="16"/>
                <w:color w:val="auto"/>
              </w:rPr>
              <w:t>Total non-current assets</w:t>
            </w:r>
          </w:p>
        </w:tc>
        <w:tc>
          <w:tcPr>
            <w:tcW w:w="120" w:type="dxa"/>
            <w:vAlign w:val="bottom"/>
            <w:tcBorders>
              <w:top w:val="single" w:sz="8" w:color="EEEEEE"/>
            </w:tcBorders>
            <w:shd w:val="clear" w:color="auto" w:fill="EEEEEE"/>
          </w:tcPr>
          <w:p>
            <w:pPr>
              <w:spacing w:after="0"/>
              <w:rPr>
                <w:sz w:val="17"/>
                <w:szCs w:val="17"/>
                <w:color w:val="auto"/>
              </w:rPr>
            </w:pPr>
          </w:p>
        </w:tc>
        <w:tc>
          <w:tcPr>
            <w:tcW w:w="300" w:type="dxa"/>
            <w:vAlign w:val="bottom"/>
            <w:tcBorders>
              <w:top w:val="single" w:sz="8" w:color="auto"/>
              <w:bottom w:val="single" w:sz="8" w:color="auto"/>
            </w:tcBorders>
            <w:shd w:val="clear" w:color="auto" w:fill="EEEEEE"/>
          </w:tcPr>
          <w:p>
            <w:pPr>
              <w:spacing w:after="0"/>
              <w:rPr>
                <w:sz w:val="17"/>
                <w:szCs w:val="17"/>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23,397,242</w:t>
            </w:r>
          </w:p>
        </w:tc>
        <w:tc>
          <w:tcPr>
            <w:tcW w:w="320" w:type="dxa"/>
            <w:vAlign w:val="bottom"/>
            <w:tcBorders>
              <w:top w:val="single" w:sz="8" w:color="EEEEEE"/>
            </w:tcBorders>
            <w:shd w:val="clear" w:color="auto" w:fill="EEEEEE"/>
          </w:tcPr>
          <w:p>
            <w:pPr>
              <w:spacing w:after="0"/>
              <w:rPr>
                <w:sz w:val="17"/>
                <w:szCs w:val="17"/>
                <w:color w:val="auto"/>
              </w:rPr>
            </w:pPr>
          </w:p>
        </w:tc>
        <w:tc>
          <w:tcPr>
            <w:tcW w:w="300" w:type="dxa"/>
            <w:vAlign w:val="bottom"/>
            <w:tcBorders>
              <w:top w:val="single" w:sz="8" w:color="auto"/>
              <w:bottom w:val="single" w:sz="8" w:color="auto"/>
            </w:tcBorders>
            <w:shd w:val="clear" w:color="auto" w:fill="EEEEEE"/>
          </w:tcPr>
          <w:p>
            <w:pPr>
              <w:spacing w:after="0"/>
              <w:rPr>
                <w:sz w:val="17"/>
                <w:szCs w:val="17"/>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3,332,017</w:t>
            </w:r>
          </w:p>
        </w:tc>
        <w:tc>
          <w:tcPr>
            <w:tcW w:w="100" w:type="dxa"/>
            <w:vAlign w:val="bottom"/>
            <w:tcBorders>
              <w:top w:val="single" w:sz="8" w:color="EEEEEE"/>
            </w:tcBorders>
            <w:shd w:val="clear" w:color="auto" w:fill="EEEEEE"/>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7"/>
        </w:trPr>
        <w:tc>
          <w:tcPr>
            <w:tcW w:w="7540" w:type="dxa"/>
            <w:vAlign w:val="bottom"/>
            <w:gridSpan w:val="3"/>
            <w:shd w:val="clear" w:color="auto" w:fill="EEEEEE"/>
          </w:tcPr>
          <w:p>
            <w:pPr>
              <w:ind w:left="540"/>
              <w:spacing w:after="0"/>
              <w:rPr>
                <w:sz w:val="20"/>
                <w:szCs w:val="20"/>
                <w:color w:val="auto"/>
              </w:rPr>
            </w:pPr>
            <w:r>
              <w:rPr>
                <w:rFonts w:ascii="Arial" w:cs="Arial" w:eastAsia="Arial" w:hAnsi="Arial"/>
                <w:sz w:val="16"/>
                <w:szCs w:val="16"/>
                <w:color w:val="auto"/>
              </w:rPr>
              <w:t>Total assets</w:t>
            </w:r>
          </w:p>
        </w:tc>
        <w:tc>
          <w:tcPr>
            <w:tcW w:w="42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78,581,467</w:t>
            </w:r>
          </w:p>
        </w:tc>
        <w:tc>
          <w:tcPr>
            <w:tcW w:w="300" w:type="dxa"/>
            <w:vAlign w:val="bottom"/>
            <w:shd w:val="clear" w:color="auto" w:fill="EEEEEE"/>
          </w:tcPr>
          <w:p>
            <w:pPr>
              <w:jc w:val="right"/>
              <w:ind w:right="144"/>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35,638,810</w:t>
            </w:r>
          </w:p>
        </w:tc>
      </w:tr>
      <w:tr>
        <w:trPr>
          <w:trHeight w:val="20"/>
        </w:trPr>
        <w:tc>
          <w:tcPr>
            <w:tcW w:w="600" w:type="dxa"/>
            <w:vAlign w:val="bottom"/>
            <w:tcBorders>
              <w:top w:val="single" w:sz="8" w:color="EEEEEE"/>
            </w:tcBorders>
          </w:tcPr>
          <w:p>
            <w:pPr>
              <w:spacing w:after="0" w:line="20" w:lineRule="exact"/>
              <w:rPr>
                <w:sz w:val="1"/>
                <w:szCs w:val="1"/>
                <w:color w:val="auto"/>
              </w:rPr>
            </w:pPr>
          </w:p>
        </w:tc>
        <w:tc>
          <w:tcPr>
            <w:tcW w:w="1360" w:type="dxa"/>
            <w:vAlign w:val="bottom"/>
            <w:tcBorders>
              <w:top w:val="single" w:sz="8" w:color="EEEEEE"/>
            </w:tcBorders>
          </w:tcPr>
          <w:p>
            <w:pPr>
              <w:spacing w:after="0" w:line="20" w:lineRule="exact"/>
              <w:rPr>
                <w:sz w:val="1"/>
                <w:szCs w:val="1"/>
                <w:color w:val="auto"/>
              </w:rPr>
            </w:pPr>
          </w:p>
        </w:tc>
        <w:tc>
          <w:tcPr>
            <w:tcW w:w="558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r>
        <w:trPr>
          <w:trHeight w:val="186"/>
        </w:trPr>
        <w:tc>
          <w:tcPr>
            <w:tcW w:w="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7540" w:type="dxa"/>
            <w:vAlign w:val="bottom"/>
            <w:gridSpan w:val="3"/>
            <w:shd w:val="clear" w:color="auto" w:fill="EEEEEE"/>
          </w:tcPr>
          <w:p>
            <w:pPr>
              <w:spacing w:after="0" w:line="162" w:lineRule="exact"/>
              <w:rPr>
                <w:sz w:val="20"/>
                <w:szCs w:val="20"/>
                <w:color w:val="auto"/>
              </w:rPr>
            </w:pPr>
            <w:r>
              <w:rPr>
                <w:rFonts w:ascii="Arial" w:cs="Arial" w:eastAsia="Arial" w:hAnsi="Arial"/>
                <w:sz w:val="16"/>
                <w:szCs w:val="16"/>
                <w:color w:val="auto"/>
              </w:rPr>
              <w:t>LIABILITIES AND EQUITY</w:t>
            </w:r>
          </w:p>
        </w:tc>
        <w:tc>
          <w:tcPr>
            <w:tcW w:w="1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128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128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r>
      <w:tr>
        <w:trPr>
          <w:trHeight w:val="203"/>
        </w:trPr>
        <w:tc>
          <w:tcPr>
            <w:tcW w:w="196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Current liabilities</w:t>
            </w:r>
          </w:p>
        </w:tc>
        <w:tc>
          <w:tcPr>
            <w:tcW w:w="5580" w:type="dxa"/>
            <w:vAlign w:val="bottom"/>
            <w:tcBorders>
              <w:top w:val="single" w:sz="8" w:color="EEEEEE"/>
            </w:tcBorders>
          </w:tcPr>
          <w:p>
            <w:pPr>
              <w:spacing w:after="0"/>
              <w:rPr>
                <w:sz w:val="17"/>
                <w:szCs w:val="17"/>
                <w:color w:val="auto"/>
              </w:rPr>
            </w:pPr>
          </w:p>
        </w:tc>
        <w:tc>
          <w:tcPr>
            <w:tcW w:w="120" w:type="dxa"/>
            <w:vAlign w:val="bottom"/>
            <w:tcBorders>
              <w:top w:val="single" w:sz="8" w:color="EEEEEE"/>
            </w:tcBorders>
          </w:tcPr>
          <w:p>
            <w:pPr>
              <w:spacing w:after="0"/>
              <w:rPr>
                <w:sz w:val="17"/>
                <w:szCs w:val="17"/>
                <w:color w:val="auto"/>
              </w:rPr>
            </w:pPr>
          </w:p>
        </w:tc>
        <w:tc>
          <w:tcPr>
            <w:tcW w:w="300" w:type="dxa"/>
            <w:vAlign w:val="bottom"/>
            <w:tcBorders>
              <w:top w:val="single" w:sz="8" w:color="EEEEEE"/>
            </w:tcBorders>
          </w:tcPr>
          <w:p>
            <w:pPr>
              <w:spacing w:after="0"/>
              <w:rPr>
                <w:sz w:val="17"/>
                <w:szCs w:val="17"/>
                <w:color w:val="auto"/>
              </w:rPr>
            </w:pPr>
          </w:p>
        </w:tc>
        <w:tc>
          <w:tcPr>
            <w:tcW w:w="1280" w:type="dxa"/>
            <w:vAlign w:val="bottom"/>
            <w:tcBorders>
              <w:top w:val="single" w:sz="8" w:color="EEEEEE"/>
            </w:tcBorders>
          </w:tcPr>
          <w:p>
            <w:pPr>
              <w:spacing w:after="0"/>
              <w:rPr>
                <w:sz w:val="17"/>
                <w:szCs w:val="17"/>
                <w:color w:val="auto"/>
              </w:rPr>
            </w:pPr>
          </w:p>
        </w:tc>
        <w:tc>
          <w:tcPr>
            <w:tcW w:w="320" w:type="dxa"/>
            <w:vAlign w:val="bottom"/>
            <w:tcBorders>
              <w:top w:val="single" w:sz="8" w:color="EEEEEE"/>
            </w:tcBorders>
          </w:tcPr>
          <w:p>
            <w:pPr>
              <w:spacing w:after="0"/>
              <w:rPr>
                <w:sz w:val="17"/>
                <w:szCs w:val="17"/>
                <w:color w:val="auto"/>
              </w:rPr>
            </w:pPr>
          </w:p>
        </w:tc>
        <w:tc>
          <w:tcPr>
            <w:tcW w:w="300" w:type="dxa"/>
            <w:vAlign w:val="bottom"/>
            <w:tcBorders>
              <w:top w:val="single" w:sz="8" w:color="EEEEEE"/>
            </w:tcBorders>
          </w:tcPr>
          <w:p>
            <w:pPr>
              <w:spacing w:after="0"/>
              <w:rPr>
                <w:sz w:val="17"/>
                <w:szCs w:val="17"/>
                <w:color w:val="auto"/>
              </w:rPr>
            </w:pPr>
          </w:p>
        </w:tc>
        <w:tc>
          <w:tcPr>
            <w:tcW w:w="1280" w:type="dxa"/>
            <w:vAlign w:val="bottom"/>
            <w:tcBorders>
              <w:top w:val="single" w:sz="8" w:color="EEEEEE"/>
            </w:tcBorders>
          </w:tcPr>
          <w:p>
            <w:pPr>
              <w:spacing w:after="0"/>
              <w:rPr>
                <w:sz w:val="17"/>
                <w:szCs w:val="17"/>
                <w:color w:val="auto"/>
              </w:rPr>
            </w:pPr>
          </w:p>
        </w:tc>
        <w:tc>
          <w:tcPr>
            <w:tcW w:w="100" w:type="dxa"/>
            <w:vAlign w:val="bottom"/>
            <w:tcBorders>
              <w:top w:val="single" w:sz="8" w:color="EEEEEE"/>
            </w:tcBorders>
          </w:tcPr>
          <w:p>
            <w:pPr>
              <w:spacing w:after="0"/>
              <w:rPr>
                <w:sz w:val="17"/>
                <w:szCs w:val="17"/>
                <w:color w:val="auto"/>
              </w:rPr>
            </w:pPr>
          </w:p>
        </w:tc>
      </w:tr>
      <w:tr>
        <w:trPr>
          <w:trHeight w:val="203"/>
        </w:trPr>
        <w:tc>
          <w:tcPr>
            <w:tcW w:w="7540" w:type="dxa"/>
            <w:vAlign w:val="bottom"/>
            <w:gridSpan w:val="3"/>
            <w:shd w:val="clear" w:color="auto" w:fill="EEEEEE"/>
          </w:tcPr>
          <w:p>
            <w:pPr>
              <w:ind w:left="180"/>
              <w:spacing w:after="0"/>
              <w:rPr>
                <w:sz w:val="20"/>
                <w:szCs w:val="20"/>
                <w:color w:val="auto"/>
              </w:rPr>
            </w:pPr>
            <w:r>
              <w:rPr>
                <w:rFonts w:ascii="Arial" w:cs="Arial" w:eastAsia="Arial" w:hAnsi="Arial"/>
                <w:sz w:val="16"/>
                <w:szCs w:val="16"/>
                <w:color w:val="auto"/>
              </w:rPr>
              <w:t>Accounts payable</w:t>
            </w:r>
          </w:p>
        </w:tc>
        <w:tc>
          <w:tcPr>
            <w:tcW w:w="42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9,533,408</w:t>
            </w:r>
          </w:p>
        </w:tc>
        <w:tc>
          <w:tcPr>
            <w:tcW w:w="300" w:type="dxa"/>
            <w:vAlign w:val="bottom"/>
            <w:shd w:val="clear" w:color="auto" w:fill="EEEEEE"/>
          </w:tcPr>
          <w:p>
            <w:pPr>
              <w:jc w:val="right"/>
              <w:ind w:right="144"/>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3,940,963</w:t>
            </w:r>
          </w:p>
        </w:tc>
      </w:tr>
      <w:tr>
        <w:trPr>
          <w:trHeight w:val="203"/>
        </w:trPr>
        <w:tc>
          <w:tcPr>
            <w:tcW w:w="7540" w:type="dxa"/>
            <w:vAlign w:val="bottom"/>
            <w:gridSpan w:val="3"/>
          </w:tcPr>
          <w:p>
            <w:pPr>
              <w:ind w:left="180"/>
              <w:spacing w:after="0"/>
              <w:rPr>
                <w:sz w:val="20"/>
                <w:szCs w:val="20"/>
                <w:color w:val="auto"/>
              </w:rPr>
            </w:pPr>
            <w:r>
              <w:rPr>
                <w:rFonts w:ascii="Arial" w:cs="Arial" w:eastAsia="Arial" w:hAnsi="Arial"/>
                <w:sz w:val="16"/>
                <w:szCs w:val="16"/>
                <w:color w:val="auto"/>
              </w:rPr>
              <w:t>Credit cards payable</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6"/>
                <w:szCs w:val="16"/>
                <w:color w:val="auto"/>
              </w:rPr>
              <w:t>807,687</w:t>
            </w:r>
          </w:p>
        </w:tc>
        <w:tc>
          <w:tcPr>
            <w:tcW w:w="30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584,311</w:t>
            </w:r>
          </w:p>
        </w:tc>
      </w:tr>
      <w:tr>
        <w:trPr>
          <w:trHeight w:val="203"/>
        </w:trPr>
        <w:tc>
          <w:tcPr>
            <w:tcW w:w="7540" w:type="dxa"/>
            <w:vAlign w:val="bottom"/>
            <w:gridSpan w:val="3"/>
            <w:shd w:val="clear" w:color="auto" w:fill="EEEEEE"/>
          </w:tcPr>
          <w:p>
            <w:pPr>
              <w:ind w:left="180"/>
              <w:spacing w:after="0"/>
              <w:rPr>
                <w:sz w:val="20"/>
                <w:szCs w:val="20"/>
                <w:color w:val="auto"/>
              </w:rPr>
            </w:pPr>
            <w:r>
              <w:rPr>
                <w:rFonts w:ascii="Arial" w:cs="Arial" w:eastAsia="Arial" w:hAnsi="Arial"/>
                <w:sz w:val="16"/>
                <w:szCs w:val="16"/>
                <w:color w:val="auto"/>
              </w:rPr>
              <w:t>Customer deposit</w:t>
            </w:r>
          </w:p>
        </w:tc>
        <w:tc>
          <w:tcPr>
            <w:tcW w:w="1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60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273,457</w:t>
            </w:r>
          </w:p>
        </w:tc>
        <w:tc>
          <w:tcPr>
            <w:tcW w:w="300" w:type="dxa"/>
            <w:vAlign w:val="bottom"/>
            <w:shd w:val="clear" w:color="auto" w:fill="EEEEEE"/>
          </w:tcPr>
          <w:p>
            <w:pPr>
              <w:spacing w:after="0"/>
              <w:rPr>
                <w:sz w:val="17"/>
                <w:szCs w:val="17"/>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297,407</w:t>
            </w:r>
          </w:p>
        </w:tc>
      </w:tr>
      <w:tr>
        <w:trPr>
          <w:trHeight w:val="203"/>
        </w:trPr>
        <w:tc>
          <w:tcPr>
            <w:tcW w:w="7540" w:type="dxa"/>
            <w:vAlign w:val="bottom"/>
            <w:gridSpan w:val="3"/>
          </w:tcPr>
          <w:p>
            <w:pPr>
              <w:ind w:left="180"/>
              <w:spacing w:after="0"/>
              <w:rPr>
                <w:sz w:val="20"/>
                <w:szCs w:val="20"/>
                <w:color w:val="auto"/>
              </w:rPr>
            </w:pPr>
            <w:r>
              <w:rPr>
                <w:rFonts w:ascii="Arial" w:cs="Arial" w:eastAsia="Arial" w:hAnsi="Arial"/>
                <w:sz w:val="16"/>
                <w:szCs w:val="16"/>
                <w:color w:val="auto"/>
              </w:rPr>
              <w:t>Other payables and accrued liabilities</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6"/>
                <w:szCs w:val="16"/>
                <w:color w:val="auto"/>
              </w:rPr>
              <w:t>5,915,220</w:t>
            </w:r>
          </w:p>
        </w:tc>
        <w:tc>
          <w:tcPr>
            <w:tcW w:w="30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2,487,441</w:t>
            </w:r>
          </w:p>
        </w:tc>
      </w:tr>
      <w:tr>
        <w:trPr>
          <w:trHeight w:val="203"/>
        </w:trPr>
        <w:tc>
          <w:tcPr>
            <w:tcW w:w="7540" w:type="dxa"/>
            <w:vAlign w:val="bottom"/>
            <w:gridSpan w:val="3"/>
            <w:shd w:val="clear" w:color="auto" w:fill="EEEEEE"/>
          </w:tcPr>
          <w:p>
            <w:pPr>
              <w:ind w:left="180"/>
              <w:spacing w:after="0"/>
              <w:rPr>
                <w:sz w:val="20"/>
                <w:szCs w:val="20"/>
                <w:color w:val="auto"/>
              </w:rPr>
            </w:pPr>
            <w:r>
              <w:rPr>
                <w:rFonts w:ascii="Arial" w:cs="Arial" w:eastAsia="Arial" w:hAnsi="Arial"/>
                <w:sz w:val="16"/>
                <w:szCs w:val="16"/>
                <w:color w:val="auto"/>
              </w:rPr>
              <w:t>Advance from shareholders</w:t>
            </w:r>
          </w:p>
        </w:tc>
        <w:tc>
          <w:tcPr>
            <w:tcW w:w="1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60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92,246</w:t>
            </w:r>
          </w:p>
        </w:tc>
        <w:tc>
          <w:tcPr>
            <w:tcW w:w="300" w:type="dxa"/>
            <w:vAlign w:val="bottom"/>
            <w:shd w:val="clear" w:color="auto" w:fill="EEEEEE"/>
          </w:tcPr>
          <w:p>
            <w:pPr>
              <w:spacing w:after="0"/>
              <w:rPr>
                <w:sz w:val="17"/>
                <w:szCs w:val="17"/>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7540" w:type="dxa"/>
            <w:vAlign w:val="bottom"/>
            <w:gridSpan w:val="3"/>
          </w:tcPr>
          <w:p>
            <w:pPr>
              <w:ind w:left="180"/>
              <w:spacing w:after="0"/>
              <w:rPr>
                <w:sz w:val="20"/>
                <w:szCs w:val="20"/>
                <w:color w:val="auto"/>
              </w:rPr>
            </w:pPr>
            <w:r>
              <w:rPr>
                <w:rFonts w:ascii="Arial" w:cs="Arial" w:eastAsia="Arial" w:hAnsi="Arial"/>
                <w:sz w:val="16"/>
                <w:szCs w:val="16"/>
                <w:color w:val="auto"/>
              </w:rPr>
              <w:t>Short-term loans payable</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162,769</w:t>
            </w:r>
          </w:p>
        </w:tc>
      </w:tr>
      <w:tr>
        <w:trPr>
          <w:trHeight w:val="203"/>
        </w:trPr>
        <w:tc>
          <w:tcPr>
            <w:tcW w:w="7540" w:type="dxa"/>
            <w:vAlign w:val="bottom"/>
            <w:gridSpan w:val="3"/>
            <w:shd w:val="clear" w:color="auto" w:fill="EEEEEE"/>
          </w:tcPr>
          <w:p>
            <w:pPr>
              <w:ind w:left="180"/>
              <w:spacing w:after="0"/>
              <w:rPr>
                <w:sz w:val="20"/>
                <w:szCs w:val="20"/>
                <w:color w:val="auto"/>
              </w:rPr>
            </w:pPr>
            <w:r>
              <w:rPr>
                <w:rFonts w:ascii="Arial" w:cs="Arial" w:eastAsia="Arial" w:hAnsi="Arial"/>
                <w:sz w:val="16"/>
                <w:szCs w:val="16"/>
                <w:color w:val="auto"/>
              </w:rPr>
              <w:t>Investment payable</w:t>
            </w:r>
          </w:p>
        </w:tc>
        <w:tc>
          <w:tcPr>
            <w:tcW w:w="1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60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1,500,000</w:t>
            </w:r>
          </w:p>
        </w:tc>
        <w:tc>
          <w:tcPr>
            <w:tcW w:w="300" w:type="dxa"/>
            <w:vAlign w:val="bottom"/>
            <w:shd w:val="clear" w:color="auto" w:fill="EEEEEE"/>
          </w:tcPr>
          <w:p>
            <w:pPr>
              <w:spacing w:after="0"/>
              <w:rPr>
                <w:sz w:val="17"/>
                <w:szCs w:val="17"/>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7540" w:type="dxa"/>
            <w:vAlign w:val="bottom"/>
            <w:gridSpan w:val="3"/>
          </w:tcPr>
          <w:p>
            <w:pPr>
              <w:ind w:left="180"/>
              <w:spacing w:after="0"/>
              <w:rPr>
                <w:sz w:val="20"/>
                <w:szCs w:val="20"/>
                <w:color w:val="auto"/>
              </w:rPr>
            </w:pPr>
            <w:r>
              <w:rPr>
                <w:rFonts w:ascii="Arial" w:cs="Arial" w:eastAsia="Arial" w:hAnsi="Arial"/>
                <w:sz w:val="16"/>
                <w:szCs w:val="16"/>
                <w:color w:val="auto"/>
              </w:rPr>
              <w:t>Lease liability - current</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6"/>
                <w:szCs w:val="16"/>
                <w:color w:val="auto"/>
              </w:rPr>
              <w:t>2,582,933</w:t>
            </w:r>
          </w:p>
        </w:tc>
        <w:tc>
          <w:tcPr>
            <w:tcW w:w="30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731,944</w:t>
            </w:r>
          </w:p>
        </w:tc>
      </w:tr>
      <w:tr>
        <w:trPr>
          <w:trHeight w:val="203"/>
        </w:trPr>
        <w:tc>
          <w:tcPr>
            <w:tcW w:w="7540" w:type="dxa"/>
            <w:vAlign w:val="bottom"/>
            <w:gridSpan w:val="3"/>
            <w:shd w:val="clear" w:color="auto" w:fill="EEEEEE"/>
          </w:tcPr>
          <w:p>
            <w:pPr>
              <w:ind w:left="180"/>
              <w:spacing w:after="0"/>
              <w:rPr>
                <w:sz w:val="20"/>
                <w:szCs w:val="20"/>
                <w:color w:val="auto"/>
              </w:rPr>
            </w:pPr>
            <w:r>
              <w:rPr>
                <w:rFonts w:ascii="Arial" w:cs="Arial" w:eastAsia="Arial" w:hAnsi="Arial"/>
                <w:sz w:val="16"/>
                <w:szCs w:val="16"/>
                <w:color w:val="auto"/>
              </w:rPr>
              <w:t>Long-term loan payable - current portion</w:t>
            </w:r>
          </w:p>
        </w:tc>
        <w:tc>
          <w:tcPr>
            <w:tcW w:w="1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60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w:t>
            </w:r>
          </w:p>
        </w:tc>
        <w:tc>
          <w:tcPr>
            <w:tcW w:w="300" w:type="dxa"/>
            <w:vAlign w:val="bottom"/>
            <w:shd w:val="clear" w:color="auto" w:fill="EEEEEE"/>
          </w:tcPr>
          <w:p>
            <w:pPr>
              <w:spacing w:after="0"/>
              <w:rPr>
                <w:sz w:val="17"/>
                <w:szCs w:val="17"/>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29,244</w:t>
            </w:r>
          </w:p>
        </w:tc>
      </w:tr>
      <w:tr>
        <w:trPr>
          <w:trHeight w:val="203"/>
        </w:trPr>
        <w:tc>
          <w:tcPr>
            <w:tcW w:w="7540" w:type="dxa"/>
            <w:vAlign w:val="bottom"/>
            <w:gridSpan w:val="3"/>
          </w:tcPr>
          <w:p>
            <w:pPr>
              <w:ind w:left="180"/>
              <w:spacing w:after="0"/>
              <w:rPr>
                <w:sz w:val="20"/>
                <w:szCs w:val="20"/>
                <w:color w:val="auto"/>
              </w:rPr>
            </w:pPr>
            <w:r>
              <w:rPr>
                <w:rFonts w:ascii="Arial" w:cs="Arial" w:eastAsia="Arial" w:hAnsi="Arial"/>
                <w:sz w:val="16"/>
                <w:szCs w:val="16"/>
                <w:color w:val="auto"/>
              </w:rPr>
              <w:t>Long-term promissory note payable - current portion</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6"/>
                <w:szCs w:val="16"/>
                <w:color w:val="auto"/>
              </w:rPr>
              <w:t>1,879,065</w:t>
            </w:r>
          </w:p>
        </w:tc>
        <w:tc>
          <w:tcPr>
            <w:tcW w:w="30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16"/>
        </w:trPr>
        <w:tc>
          <w:tcPr>
            <w:tcW w:w="7540" w:type="dxa"/>
            <w:vAlign w:val="bottom"/>
            <w:gridSpan w:val="3"/>
            <w:shd w:val="clear" w:color="auto" w:fill="EEEEEE"/>
          </w:tcPr>
          <w:p>
            <w:pPr>
              <w:ind w:left="180"/>
              <w:spacing w:after="0"/>
              <w:rPr>
                <w:sz w:val="20"/>
                <w:szCs w:val="20"/>
                <w:color w:val="auto"/>
              </w:rPr>
            </w:pPr>
            <w:r>
              <w:rPr>
                <w:rFonts w:ascii="Arial" w:cs="Arial" w:eastAsia="Arial" w:hAnsi="Arial"/>
                <w:sz w:val="16"/>
                <w:szCs w:val="16"/>
                <w:color w:val="auto"/>
              </w:rPr>
              <w:t>Income taxes payable</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299,563</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790,823</w:t>
            </w:r>
          </w:p>
        </w:tc>
      </w:tr>
      <w:tr>
        <w:trPr>
          <w:trHeight w:val="196"/>
        </w:trPr>
        <w:tc>
          <w:tcPr>
            <w:tcW w:w="7540" w:type="dxa"/>
            <w:vAlign w:val="bottom"/>
            <w:tcBorders>
              <w:bottom w:val="single" w:sz="8" w:color="EEEEEE"/>
            </w:tcBorders>
            <w:gridSpan w:val="3"/>
          </w:tcPr>
          <w:p>
            <w:pPr>
              <w:ind w:left="540"/>
              <w:spacing w:after="0"/>
              <w:rPr>
                <w:sz w:val="20"/>
                <w:szCs w:val="20"/>
                <w:color w:val="auto"/>
              </w:rPr>
            </w:pPr>
            <w:r>
              <w:rPr>
                <w:rFonts w:ascii="Arial" w:cs="Arial" w:eastAsia="Arial" w:hAnsi="Arial"/>
                <w:sz w:val="16"/>
                <w:szCs w:val="16"/>
                <w:color w:val="auto"/>
              </w:rPr>
              <w:t>Total current liabilities</w:t>
            </w:r>
          </w:p>
        </w:tc>
        <w:tc>
          <w:tcPr>
            <w:tcW w:w="120" w:type="dxa"/>
            <w:vAlign w:val="bottom"/>
            <w:tcBorders>
              <w:bottom w:val="single" w:sz="8" w:color="EEEEEE"/>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22,883,579</w:t>
            </w:r>
          </w:p>
        </w:tc>
        <w:tc>
          <w:tcPr>
            <w:tcW w:w="320" w:type="dxa"/>
            <w:vAlign w:val="bottom"/>
            <w:tcBorders>
              <w:bottom w:val="single" w:sz="8" w:color="EEEEEE"/>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9,024,902</w:t>
            </w:r>
          </w:p>
        </w:tc>
        <w:tc>
          <w:tcPr>
            <w:tcW w:w="100" w:type="dxa"/>
            <w:vAlign w:val="bottom"/>
            <w:tcBorders>
              <w:bottom w:val="single" w:sz="8" w:color="EEEEEE"/>
            </w:tcBorders>
          </w:tcPr>
          <w:p>
            <w:pPr>
              <w:spacing w:after="0"/>
              <w:rPr>
                <w:sz w:val="17"/>
                <w:szCs w:val="17"/>
                <w:color w:val="auto"/>
              </w:rPr>
            </w:pPr>
          </w:p>
        </w:tc>
      </w:tr>
      <w:tr>
        <w:trPr>
          <w:trHeight w:val="196"/>
        </w:trPr>
        <w:tc>
          <w:tcPr>
            <w:tcW w:w="60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55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03"/>
        </w:trPr>
        <w:tc>
          <w:tcPr>
            <w:tcW w:w="7540" w:type="dxa"/>
            <w:vAlign w:val="bottom"/>
            <w:gridSpan w:val="3"/>
          </w:tcPr>
          <w:p>
            <w:pPr>
              <w:spacing w:after="0"/>
              <w:rPr>
                <w:sz w:val="20"/>
                <w:szCs w:val="20"/>
                <w:color w:val="auto"/>
              </w:rPr>
            </w:pPr>
            <w:r>
              <w:rPr>
                <w:rFonts w:ascii="Arial" w:cs="Arial" w:eastAsia="Arial" w:hAnsi="Arial"/>
                <w:sz w:val="16"/>
                <w:szCs w:val="16"/>
                <w:color w:val="auto"/>
              </w:rPr>
              <w:t>Non-current liabilities</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40" w:type="dxa"/>
            <w:vAlign w:val="bottom"/>
            <w:gridSpan w:val="3"/>
            <w:shd w:val="clear" w:color="auto" w:fill="EEEEEE"/>
          </w:tcPr>
          <w:p>
            <w:pPr>
              <w:ind w:left="180"/>
              <w:spacing w:after="0"/>
              <w:rPr>
                <w:sz w:val="20"/>
                <w:szCs w:val="20"/>
                <w:color w:val="auto"/>
              </w:rPr>
            </w:pPr>
            <w:r>
              <w:rPr>
                <w:rFonts w:ascii="Arial" w:cs="Arial" w:eastAsia="Arial" w:hAnsi="Arial"/>
                <w:sz w:val="16"/>
                <w:szCs w:val="16"/>
                <w:color w:val="auto"/>
              </w:rPr>
              <w:t>Long-term loan payable</w:t>
            </w:r>
          </w:p>
        </w:tc>
        <w:tc>
          <w:tcPr>
            <w:tcW w:w="1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60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w:t>
            </w:r>
          </w:p>
        </w:tc>
        <w:tc>
          <w:tcPr>
            <w:tcW w:w="300" w:type="dxa"/>
            <w:vAlign w:val="bottom"/>
            <w:shd w:val="clear" w:color="auto" w:fill="EEEEEE"/>
          </w:tcPr>
          <w:p>
            <w:pPr>
              <w:spacing w:after="0"/>
              <w:rPr>
                <w:sz w:val="17"/>
                <w:szCs w:val="17"/>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458,571</w:t>
            </w:r>
          </w:p>
        </w:tc>
      </w:tr>
      <w:tr>
        <w:trPr>
          <w:trHeight w:val="203"/>
        </w:trPr>
        <w:tc>
          <w:tcPr>
            <w:tcW w:w="7540" w:type="dxa"/>
            <w:vAlign w:val="bottom"/>
            <w:gridSpan w:val="3"/>
          </w:tcPr>
          <w:p>
            <w:pPr>
              <w:ind w:left="180"/>
              <w:spacing w:after="0"/>
              <w:rPr>
                <w:sz w:val="20"/>
                <w:szCs w:val="20"/>
                <w:color w:val="auto"/>
              </w:rPr>
            </w:pPr>
            <w:r>
              <w:rPr>
                <w:rFonts w:ascii="Arial" w:cs="Arial" w:eastAsia="Arial" w:hAnsi="Arial"/>
                <w:sz w:val="16"/>
                <w:szCs w:val="16"/>
                <w:color w:val="auto"/>
              </w:rPr>
              <w:t>Long-term revolving loan payable, net</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6"/>
                <w:szCs w:val="16"/>
                <w:color w:val="auto"/>
              </w:rPr>
              <w:t>12,314,627</w:t>
            </w:r>
          </w:p>
        </w:tc>
        <w:tc>
          <w:tcPr>
            <w:tcW w:w="30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7540" w:type="dxa"/>
            <w:vAlign w:val="bottom"/>
            <w:gridSpan w:val="3"/>
            <w:shd w:val="clear" w:color="auto" w:fill="EEEEEE"/>
          </w:tcPr>
          <w:p>
            <w:pPr>
              <w:ind w:left="180"/>
              <w:spacing w:after="0"/>
              <w:rPr>
                <w:sz w:val="20"/>
                <w:szCs w:val="20"/>
                <w:color w:val="auto"/>
              </w:rPr>
            </w:pPr>
            <w:r>
              <w:rPr>
                <w:rFonts w:ascii="Arial" w:cs="Arial" w:eastAsia="Arial" w:hAnsi="Arial"/>
                <w:sz w:val="16"/>
                <w:szCs w:val="16"/>
                <w:color w:val="auto"/>
              </w:rPr>
              <w:t>Long-term promissory note payable, net</w:t>
            </w:r>
          </w:p>
        </w:tc>
        <w:tc>
          <w:tcPr>
            <w:tcW w:w="1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60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1,781,705</w:t>
            </w:r>
          </w:p>
        </w:tc>
        <w:tc>
          <w:tcPr>
            <w:tcW w:w="300" w:type="dxa"/>
            <w:vAlign w:val="bottom"/>
            <w:shd w:val="clear" w:color="auto" w:fill="EEEEEE"/>
          </w:tcPr>
          <w:p>
            <w:pPr>
              <w:spacing w:after="0"/>
              <w:rPr>
                <w:sz w:val="17"/>
                <w:szCs w:val="17"/>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7540" w:type="dxa"/>
            <w:vAlign w:val="bottom"/>
            <w:gridSpan w:val="3"/>
          </w:tcPr>
          <w:p>
            <w:pPr>
              <w:ind w:left="180"/>
              <w:spacing w:after="0"/>
              <w:rPr>
                <w:sz w:val="20"/>
                <w:szCs w:val="20"/>
                <w:color w:val="auto"/>
              </w:rPr>
            </w:pPr>
            <w:r>
              <w:rPr>
                <w:rFonts w:ascii="Arial" w:cs="Arial" w:eastAsia="Arial" w:hAnsi="Arial"/>
                <w:sz w:val="16"/>
                <w:szCs w:val="16"/>
                <w:color w:val="auto"/>
              </w:rPr>
              <w:t>Deferred tax liabilities</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6"/>
                <w:szCs w:val="16"/>
                <w:color w:val="auto"/>
              </w:rPr>
              <w:t>939,115</w:t>
            </w:r>
          </w:p>
        </w:tc>
        <w:tc>
          <w:tcPr>
            <w:tcW w:w="30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16"/>
        </w:trPr>
        <w:tc>
          <w:tcPr>
            <w:tcW w:w="7540" w:type="dxa"/>
            <w:vAlign w:val="bottom"/>
            <w:gridSpan w:val="3"/>
            <w:shd w:val="clear" w:color="auto" w:fill="EEEEEE"/>
          </w:tcPr>
          <w:p>
            <w:pPr>
              <w:ind w:left="180"/>
              <w:spacing w:after="0"/>
              <w:rPr>
                <w:sz w:val="20"/>
                <w:szCs w:val="20"/>
                <w:color w:val="auto"/>
              </w:rPr>
            </w:pPr>
            <w:r>
              <w:rPr>
                <w:rFonts w:ascii="Arial" w:cs="Arial" w:eastAsia="Arial" w:hAnsi="Arial"/>
                <w:sz w:val="16"/>
                <w:szCs w:val="16"/>
                <w:color w:val="auto"/>
              </w:rPr>
              <w:t>Lease liability - non-current</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8,265,611</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1,169,552</w:t>
            </w:r>
          </w:p>
        </w:tc>
      </w:tr>
      <w:tr>
        <w:trPr>
          <w:trHeight w:val="196"/>
        </w:trPr>
        <w:tc>
          <w:tcPr>
            <w:tcW w:w="7540" w:type="dxa"/>
            <w:vAlign w:val="bottom"/>
            <w:tcBorders>
              <w:bottom w:val="single" w:sz="8" w:color="EEEEEE"/>
            </w:tcBorders>
            <w:gridSpan w:val="3"/>
          </w:tcPr>
          <w:p>
            <w:pPr>
              <w:ind w:left="540"/>
              <w:spacing w:after="0"/>
              <w:rPr>
                <w:sz w:val="20"/>
                <w:szCs w:val="20"/>
                <w:color w:val="auto"/>
              </w:rPr>
            </w:pPr>
            <w:r>
              <w:rPr>
                <w:rFonts w:ascii="Arial" w:cs="Arial" w:eastAsia="Arial" w:hAnsi="Arial"/>
                <w:sz w:val="16"/>
                <w:szCs w:val="16"/>
                <w:color w:val="auto"/>
              </w:rPr>
              <w:t>Total non-current liabilities</w:t>
            </w:r>
          </w:p>
        </w:tc>
        <w:tc>
          <w:tcPr>
            <w:tcW w:w="120" w:type="dxa"/>
            <w:vAlign w:val="bottom"/>
            <w:tcBorders>
              <w:bottom w:val="single" w:sz="8" w:color="EEEEEE"/>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23,301,058</w:t>
            </w:r>
          </w:p>
        </w:tc>
        <w:tc>
          <w:tcPr>
            <w:tcW w:w="320" w:type="dxa"/>
            <w:vAlign w:val="bottom"/>
            <w:tcBorders>
              <w:bottom w:val="single" w:sz="8" w:color="EEEEEE"/>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1,628,123</w:t>
            </w:r>
          </w:p>
        </w:tc>
        <w:tc>
          <w:tcPr>
            <w:tcW w:w="100" w:type="dxa"/>
            <w:vAlign w:val="bottom"/>
            <w:tcBorders>
              <w:bottom w:val="single" w:sz="8" w:color="EEEEEE"/>
            </w:tcBorders>
          </w:tcPr>
          <w:p>
            <w:pPr>
              <w:spacing w:after="0"/>
              <w:rPr>
                <w:sz w:val="17"/>
                <w:szCs w:val="17"/>
                <w:color w:val="auto"/>
              </w:rPr>
            </w:pPr>
          </w:p>
        </w:tc>
      </w:tr>
      <w:tr>
        <w:trPr>
          <w:trHeight w:val="196"/>
        </w:trPr>
        <w:tc>
          <w:tcPr>
            <w:tcW w:w="60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55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3"/>
        </w:trPr>
        <w:tc>
          <w:tcPr>
            <w:tcW w:w="7540" w:type="dxa"/>
            <w:vAlign w:val="bottom"/>
            <w:gridSpan w:val="3"/>
          </w:tcPr>
          <w:p>
            <w:pPr>
              <w:ind w:left="540"/>
              <w:spacing w:after="0"/>
              <w:rPr>
                <w:sz w:val="20"/>
                <w:szCs w:val="20"/>
                <w:color w:val="auto"/>
              </w:rPr>
            </w:pPr>
            <w:r>
              <w:rPr>
                <w:rFonts w:ascii="Arial" w:cs="Arial" w:eastAsia="Arial" w:hAnsi="Arial"/>
                <w:sz w:val="16"/>
                <w:szCs w:val="16"/>
                <w:color w:val="auto"/>
              </w:rPr>
              <w:t>Total liabilities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6"/>
                <w:szCs w:val="16"/>
                <w:color w:val="auto"/>
              </w:rPr>
              <w:t>46,184,637</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10,653,025</w:t>
            </w:r>
          </w:p>
        </w:tc>
      </w:tr>
      <w:tr>
        <w:trPr>
          <w:trHeight w:val="199"/>
        </w:trPr>
        <w:tc>
          <w:tcPr>
            <w:tcW w:w="600" w:type="dxa"/>
            <w:vAlign w:val="bottom"/>
            <w:tcBorders>
              <w:top w:val="single" w:sz="8" w:color="EEEEEE"/>
            </w:tcBorders>
            <w:shd w:val="clear" w:color="auto" w:fill="EEEEEE"/>
          </w:tcPr>
          <w:p>
            <w:pPr>
              <w:spacing w:after="0"/>
              <w:rPr>
                <w:sz w:val="17"/>
                <w:szCs w:val="17"/>
                <w:color w:val="auto"/>
              </w:rPr>
            </w:pPr>
          </w:p>
        </w:tc>
        <w:tc>
          <w:tcPr>
            <w:tcW w:w="1360" w:type="dxa"/>
            <w:vAlign w:val="bottom"/>
            <w:tcBorders>
              <w:top w:val="single" w:sz="8" w:color="EEEEEE"/>
            </w:tcBorders>
            <w:shd w:val="clear" w:color="auto" w:fill="EEEEEE"/>
          </w:tcPr>
          <w:p>
            <w:pPr>
              <w:spacing w:after="0"/>
              <w:rPr>
                <w:sz w:val="17"/>
                <w:szCs w:val="17"/>
                <w:color w:val="auto"/>
              </w:rPr>
            </w:pPr>
          </w:p>
        </w:tc>
        <w:tc>
          <w:tcPr>
            <w:tcW w:w="558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EEEEEE"/>
            </w:tcBorders>
            <w:shd w:val="clear" w:color="auto" w:fill="EEEEEE"/>
          </w:tcPr>
          <w:p>
            <w:pPr>
              <w:spacing w:after="0"/>
              <w:rPr>
                <w:sz w:val="17"/>
                <w:szCs w:val="17"/>
                <w:color w:val="auto"/>
              </w:rPr>
            </w:pPr>
          </w:p>
        </w:tc>
        <w:tc>
          <w:tcPr>
            <w:tcW w:w="300" w:type="dxa"/>
            <w:vAlign w:val="bottom"/>
            <w:tcBorders>
              <w:top w:val="single" w:sz="8" w:color="auto"/>
            </w:tcBorders>
            <w:shd w:val="clear" w:color="auto" w:fill="EEEEEE"/>
          </w:tcPr>
          <w:p>
            <w:pPr>
              <w:spacing w:after="0"/>
              <w:rPr>
                <w:sz w:val="17"/>
                <w:szCs w:val="17"/>
                <w:color w:val="auto"/>
              </w:rPr>
            </w:pPr>
          </w:p>
        </w:tc>
        <w:tc>
          <w:tcPr>
            <w:tcW w:w="128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300" w:type="dxa"/>
            <w:vAlign w:val="bottom"/>
            <w:tcBorders>
              <w:top w:val="single" w:sz="8" w:color="auto"/>
            </w:tcBorders>
            <w:shd w:val="clear" w:color="auto" w:fill="EEEEEE"/>
          </w:tcPr>
          <w:p>
            <w:pPr>
              <w:spacing w:after="0"/>
              <w:rPr>
                <w:sz w:val="17"/>
                <w:szCs w:val="17"/>
                <w:color w:val="auto"/>
              </w:rPr>
            </w:pPr>
          </w:p>
        </w:tc>
        <w:tc>
          <w:tcPr>
            <w:tcW w:w="128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r>
      <w:tr>
        <w:trPr>
          <w:trHeight w:val="203"/>
        </w:trPr>
        <w:tc>
          <w:tcPr>
            <w:tcW w:w="7540" w:type="dxa"/>
            <w:vAlign w:val="bottom"/>
            <w:gridSpan w:val="3"/>
          </w:tcPr>
          <w:p>
            <w:pPr>
              <w:spacing w:after="0"/>
              <w:rPr>
                <w:sz w:val="20"/>
                <w:szCs w:val="20"/>
                <w:color w:val="auto"/>
              </w:rPr>
            </w:pPr>
            <w:r>
              <w:rPr>
                <w:rFonts w:ascii="Arial" w:cs="Arial" w:eastAsia="Arial" w:hAnsi="Arial"/>
                <w:sz w:val="16"/>
                <w:szCs w:val="16"/>
                <w:color w:val="auto"/>
              </w:rPr>
              <w:t>Commitments and contingency</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60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55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03"/>
        </w:trPr>
        <w:tc>
          <w:tcPr>
            <w:tcW w:w="7540" w:type="dxa"/>
            <w:vAlign w:val="bottom"/>
            <w:gridSpan w:val="3"/>
          </w:tcPr>
          <w:p>
            <w:pPr>
              <w:spacing w:after="0"/>
              <w:rPr>
                <w:sz w:val="20"/>
                <w:szCs w:val="20"/>
                <w:color w:val="auto"/>
              </w:rPr>
            </w:pPr>
            <w:r>
              <w:rPr>
                <w:rFonts w:ascii="Arial" w:cs="Arial" w:eastAsia="Arial" w:hAnsi="Arial"/>
                <w:sz w:val="16"/>
                <w:szCs w:val="16"/>
                <w:color w:val="auto"/>
              </w:rPr>
              <w:t>Stockholders' Equity</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3"/>
        </w:trPr>
        <w:tc>
          <w:tcPr>
            <w:tcW w:w="7540" w:type="dxa"/>
            <w:vAlign w:val="bottom"/>
            <w:gridSpan w:val="3"/>
            <w:shd w:val="clear" w:color="auto" w:fill="EEEEEE"/>
          </w:tcPr>
          <w:p>
            <w:pPr>
              <w:ind w:left="180"/>
              <w:spacing w:after="0"/>
              <w:rPr>
                <w:sz w:val="20"/>
                <w:szCs w:val="20"/>
                <w:color w:val="auto"/>
              </w:rPr>
            </w:pPr>
            <w:r>
              <w:rPr>
                <w:rFonts w:ascii="Arial" w:cs="Arial" w:eastAsia="Arial" w:hAnsi="Arial"/>
                <w:sz w:val="16"/>
                <w:szCs w:val="16"/>
                <w:color w:val="auto"/>
                <w:w w:val="94"/>
              </w:rPr>
              <w:t>Preferred stock, $0.001 par value; 20,000,000 shares authorized; 0 shares issued and outstanding at June 30,</w:t>
            </w:r>
          </w:p>
        </w:tc>
        <w:tc>
          <w:tcPr>
            <w:tcW w:w="12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128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128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r>
      <w:tr>
        <w:trPr>
          <w:trHeight w:val="212"/>
        </w:trPr>
        <w:tc>
          <w:tcPr>
            <w:tcW w:w="7540" w:type="dxa"/>
            <w:vAlign w:val="bottom"/>
            <w:gridSpan w:val="3"/>
            <w:shd w:val="clear" w:color="auto" w:fill="EEEEEE"/>
          </w:tcPr>
          <w:p>
            <w:pPr>
              <w:ind w:left="360"/>
              <w:spacing w:after="0"/>
              <w:rPr>
                <w:sz w:val="20"/>
                <w:szCs w:val="20"/>
                <w:color w:val="auto"/>
              </w:rPr>
            </w:pPr>
            <w:r>
              <w:rPr>
                <w:rFonts w:ascii="Arial" w:cs="Arial" w:eastAsia="Arial" w:hAnsi="Arial"/>
                <w:sz w:val="16"/>
                <w:szCs w:val="16"/>
                <w:color w:val="auto"/>
              </w:rPr>
              <w:t>2022 and 2021</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w:t>
            </w:r>
          </w:p>
        </w:tc>
      </w:tr>
      <w:tr>
        <w:trPr>
          <w:trHeight w:val="193"/>
        </w:trPr>
        <w:tc>
          <w:tcPr>
            <w:tcW w:w="7540" w:type="dxa"/>
            <w:vAlign w:val="bottom"/>
            <w:gridSpan w:val="3"/>
          </w:tcPr>
          <w:p>
            <w:pPr>
              <w:ind w:left="180"/>
              <w:spacing w:after="0"/>
              <w:rPr>
                <w:sz w:val="20"/>
                <w:szCs w:val="20"/>
                <w:color w:val="auto"/>
              </w:rPr>
            </w:pPr>
            <w:r>
              <w:rPr>
                <w:rFonts w:ascii="Arial" w:cs="Arial" w:eastAsia="Arial" w:hAnsi="Arial"/>
                <w:sz w:val="16"/>
                <w:szCs w:val="16"/>
                <w:color w:val="auto"/>
                <w:w w:val="91"/>
              </w:rPr>
              <w:t>Common stock, $0.001 par value; 180,000,000 shares authorized; 29,572,382 and 26,448,663 shares issued and</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7540" w:type="dxa"/>
            <w:vAlign w:val="bottom"/>
            <w:gridSpan w:val="3"/>
          </w:tcPr>
          <w:p>
            <w:pPr>
              <w:ind w:left="360"/>
              <w:spacing w:after="0"/>
              <w:rPr>
                <w:sz w:val="20"/>
                <w:szCs w:val="20"/>
                <w:color w:val="auto"/>
              </w:rPr>
            </w:pPr>
            <w:r>
              <w:rPr>
                <w:rFonts w:ascii="Arial" w:cs="Arial" w:eastAsia="Arial" w:hAnsi="Arial"/>
                <w:sz w:val="16"/>
                <w:szCs w:val="16"/>
                <w:color w:val="auto"/>
              </w:rPr>
              <w:t>outstanding at June 30, 2022 and 2021*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6"/>
                <w:szCs w:val="16"/>
                <w:color w:val="auto"/>
              </w:rPr>
              <w:t>29,573</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26,449</w:t>
            </w:r>
          </w:p>
        </w:tc>
      </w:tr>
      <w:tr>
        <w:trPr>
          <w:trHeight w:val="205"/>
        </w:trPr>
        <w:tc>
          <w:tcPr>
            <w:tcW w:w="7540" w:type="dxa"/>
            <w:vAlign w:val="bottom"/>
            <w:gridSpan w:val="3"/>
            <w:shd w:val="clear" w:color="auto" w:fill="EEEEEE"/>
          </w:tcPr>
          <w:p>
            <w:pPr>
              <w:ind w:left="180"/>
              <w:spacing w:after="0"/>
              <w:rPr>
                <w:sz w:val="20"/>
                <w:szCs w:val="20"/>
                <w:color w:val="auto"/>
              </w:rPr>
            </w:pPr>
            <w:r>
              <w:rPr>
                <w:rFonts w:ascii="Arial" w:cs="Arial" w:eastAsia="Arial" w:hAnsi="Arial"/>
                <w:sz w:val="16"/>
                <w:szCs w:val="16"/>
                <w:color w:val="auto"/>
              </w:rPr>
              <w:t>Additional paid in capital</w:t>
            </w:r>
          </w:p>
        </w:tc>
        <w:tc>
          <w:tcPr>
            <w:tcW w:w="1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60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29,111,863</w:t>
            </w:r>
          </w:p>
        </w:tc>
        <w:tc>
          <w:tcPr>
            <w:tcW w:w="300" w:type="dxa"/>
            <w:vAlign w:val="bottom"/>
            <w:shd w:val="clear" w:color="auto" w:fill="EEEEEE"/>
          </w:tcPr>
          <w:p>
            <w:pPr>
              <w:spacing w:after="0"/>
              <w:rPr>
                <w:sz w:val="17"/>
                <w:szCs w:val="17"/>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23,214,263</w:t>
            </w:r>
          </w:p>
        </w:tc>
      </w:tr>
      <w:tr>
        <w:trPr>
          <w:trHeight w:val="203"/>
        </w:trPr>
        <w:tc>
          <w:tcPr>
            <w:tcW w:w="7540" w:type="dxa"/>
            <w:vAlign w:val="bottom"/>
            <w:gridSpan w:val="3"/>
          </w:tcPr>
          <w:p>
            <w:pPr>
              <w:ind w:left="180"/>
              <w:spacing w:after="0"/>
              <w:rPr>
                <w:sz w:val="20"/>
                <w:szCs w:val="20"/>
                <w:color w:val="auto"/>
              </w:rPr>
            </w:pPr>
            <w:r>
              <w:rPr>
                <w:rFonts w:ascii="Arial" w:cs="Arial" w:eastAsia="Arial" w:hAnsi="Arial"/>
                <w:sz w:val="16"/>
                <w:szCs w:val="16"/>
                <w:color w:val="auto"/>
              </w:rPr>
              <w:t>Retained earnings</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6"/>
                <w:szCs w:val="16"/>
                <w:color w:val="auto"/>
              </w:rPr>
              <w:t>3,262,948</w:t>
            </w:r>
          </w:p>
        </w:tc>
        <w:tc>
          <w:tcPr>
            <w:tcW w:w="30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1,745,073</w:t>
            </w:r>
          </w:p>
        </w:tc>
      </w:tr>
      <w:tr>
        <w:trPr>
          <w:trHeight w:val="203"/>
        </w:trPr>
        <w:tc>
          <w:tcPr>
            <w:tcW w:w="7540" w:type="dxa"/>
            <w:vAlign w:val="bottom"/>
            <w:gridSpan w:val="3"/>
            <w:shd w:val="clear" w:color="auto" w:fill="EEEEEE"/>
          </w:tcPr>
          <w:p>
            <w:pPr>
              <w:ind w:left="180"/>
              <w:spacing w:after="0"/>
              <w:rPr>
                <w:sz w:val="20"/>
                <w:szCs w:val="20"/>
                <w:color w:val="auto"/>
              </w:rPr>
            </w:pPr>
            <w:r>
              <w:rPr>
                <w:rFonts w:ascii="Arial" w:cs="Arial" w:eastAsia="Arial" w:hAnsi="Arial"/>
                <w:sz w:val="16"/>
                <w:szCs w:val="16"/>
                <w:color w:val="auto"/>
              </w:rPr>
              <w:t>Non-controlling interest</w:t>
            </w:r>
          </w:p>
        </w:tc>
        <w:tc>
          <w:tcPr>
            <w:tcW w:w="1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600" w:type="dxa"/>
            <w:vAlign w:val="bottom"/>
            <w:gridSpan w:val="2"/>
            <w:shd w:val="clear" w:color="auto" w:fill="EEEEEE"/>
          </w:tcPr>
          <w:p>
            <w:pPr>
              <w:jc w:val="right"/>
              <w:ind w:right="260"/>
              <w:spacing w:after="0"/>
              <w:rPr>
                <w:sz w:val="20"/>
                <w:szCs w:val="20"/>
                <w:color w:val="auto"/>
              </w:rPr>
            </w:pPr>
            <w:r>
              <w:rPr>
                <w:rFonts w:ascii="Arial" w:cs="Arial" w:eastAsia="Arial" w:hAnsi="Arial"/>
                <w:sz w:val="16"/>
                <w:szCs w:val="16"/>
                <w:color w:val="auto"/>
              </w:rPr>
              <w:t>(13,232)</w:t>
            </w:r>
          </w:p>
        </w:tc>
        <w:tc>
          <w:tcPr>
            <w:tcW w:w="300" w:type="dxa"/>
            <w:vAlign w:val="bottom"/>
            <w:shd w:val="clear" w:color="auto" w:fill="EEEEEE"/>
          </w:tcPr>
          <w:p>
            <w:pPr>
              <w:spacing w:after="0"/>
              <w:rPr>
                <w:sz w:val="17"/>
                <w:szCs w:val="17"/>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w:t>
            </w:r>
          </w:p>
        </w:tc>
      </w:tr>
      <w:tr>
        <w:trPr>
          <w:trHeight w:val="213"/>
        </w:trPr>
        <w:tc>
          <w:tcPr>
            <w:tcW w:w="7540" w:type="dxa"/>
            <w:vAlign w:val="bottom"/>
            <w:gridSpan w:val="3"/>
          </w:tcPr>
          <w:p>
            <w:pPr>
              <w:ind w:left="180"/>
              <w:spacing w:after="0"/>
              <w:rPr>
                <w:sz w:val="20"/>
                <w:szCs w:val="20"/>
                <w:color w:val="auto"/>
              </w:rPr>
            </w:pPr>
            <w:r>
              <w:rPr>
                <w:rFonts w:ascii="Arial" w:cs="Arial" w:eastAsia="Arial" w:hAnsi="Arial"/>
                <w:sz w:val="16"/>
                <w:szCs w:val="16"/>
                <w:color w:val="auto"/>
              </w:rPr>
              <w:t>Accumulated other comprehensive income (loss)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6"/>
                <w:szCs w:val="16"/>
                <w:color w:val="auto"/>
              </w:rPr>
              <w:t>5,678</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9"/>
        </w:trPr>
        <w:tc>
          <w:tcPr>
            <w:tcW w:w="7540" w:type="dxa"/>
            <w:vAlign w:val="bottom"/>
            <w:tcBorders>
              <w:top w:val="single" w:sz="8" w:color="EEEEEE"/>
            </w:tcBorders>
            <w:gridSpan w:val="3"/>
            <w:shd w:val="clear" w:color="auto" w:fill="EEEEEE"/>
          </w:tcPr>
          <w:p>
            <w:pPr>
              <w:ind w:left="540"/>
              <w:spacing w:after="0"/>
              <w:rPr>
                <w:sz w:val="20"/>
                <w:szCs w:val="20"/>
                <w:color w:val="auto"/>
              </w:rPr>
            </w:pPr>
            <w:r>
              <w:rPr>
                <w:rFonts w:ascii="Arial" w:cs="Arial" w:eastAsia="Arial" w:hAnsi="Arial"/>
                <w:sz w:val="16"/>
                <w:szCs w:val="16"/>
                <w:color w:val="auto"/>
              </w:rPr>
              <w:t>Total equity</w:t>
            </w:r>
          </w:p>
        </w:tc>
        <w:tc>
          <w:tcPr>
            <w:tcW w:w="120" w:type="dxa"/>
            <w:vAlign w:val="bottom"/>
            <w:tcBorders>
              <w:top w:val="single" w:sz="8" w:color="EEEEEE"/>
            </w:tcBorders>
            <w:shd w:val="clear" w:color="auto" w:fill="EEEEEE"/>
          </w:tcPr>
          <w:p>
            <w:pPr>
              <w:spacing w:after="0"/>
              <w:rPr>
                <w:sz w:val="17"/>
                <w:szCs w:val="17"/>
                <w:color w:val="auto"/>
              </w:rPr>
            </w:pPr>
          </w:p>
        </w:tc>
        <w:tc>
          <w:tcPr>
            <w:tcW w:w="300" w:type="dxa"/>
            <w:vAlign w:val="bottom"/>
            <w:tcBorders>
              <w:top w:val="single" w:sz="8" w:color="auto"/>
              <w:bottom w:val="single" w:sz="8" w:color="auto"/>
            </w:tcBorders>
            <w:shd w:val="clear" w:color="auto" w:fill="EEEEEE"/>
          </w:tcPr>
          <w:p>
            <w:pPr>
              <w:spacing w:after="0"/>
              <w:rPr>
                <w:sz w:val="17"/>
                <w:szCs w:val="17"/>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32,396,830</w:t>
            </w:r>
          </w:p>
        </w:tc>
        <w:tc>
          <w:tcPr>
            <w:tcW w:w="320" w:type="dxa"/>
            <w:vAlign w:val="bottom"/>
            <w:tcBorders>
              <w:top w:val="single" w:sz="8" w:color="EEEEEE"/>
            </w:tcBorders>
            <w:shd w:val="clear" w:color="auto" w:fill="EEEEEE"/>
          </w:tcPr>
          <w:p>
            <w:pPr>
              <w:spacing w:after="0"/>
              <w:rPr>
                <w:sz w:val="17"/>
                <w:szCs w:val="17"/>
                <w:color w:val="auto"/>
              </w:rPr>
            </w:pPr>
          </w:p>
        </w:tc>
        <w:tc>
          <w:tcPr>
            <w:tcW w:w="300" w:type="dxa"/>
            <w:vAlign w:val="bottom"/>
            <w:tcBorders>
              <w:top w:val="single" w:sz="8" w:color="auto"/>
              <w:bottom w:val="single" w:sz="8" w:color="auto"/>
            </w:tcBorders>
            <w:shd w:val="clear" w:color="auto" w:fill="EEEEEE"/>
          </w:tcPr>
          <w:p>
            <w:pPr>
              <w:spacing w:after="0"/>
              <w:rPr>
                <w:sz w:val="17"/>
                <w:szCs w:val="17"/>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24,985,785</w:t>
            </w:r>
          </w:p>
        </w:tc>
        <w:tc>
          <w:tcPr>
            <w:tcW w:w="100" w:type="dxa"/>
            <w:vAlign w:val="bottom"/>
            <w:tcBorders>
              <w:top w:val="single" w:sz="8" w:color="EEEEEE"/>
            </w:tcBorders>
            <w:shd w:val="clear" w:color="auto" w:fill="EEEEEE"/>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6"/>
        </w:trPr>
        <w:tc>
          <w:tcPr>
            <w:tcW w:w="7540" w:type="dxa"/>
            <w:vAlign w:val="bottom"/>
            <w:gridSpan w:val="3"/>
            <w:shd w:val="clear" w:color="auto" w:fill="EEEEEE"/>
          </w:tcPr>
          <w:p>
            <w:pPr>
              <w:ind w:left="540"/>
              <w:spacing w:after="0"/>
              <w:rPr>
                <w:sz w:val="20"/>
                <w:szCs w:val="20"/>
                <w:color w:val="auto"/>
              </w:rPr>
            </w:pPr>
            <w:r>
              <w:rPr>
                <w:rFonts w:ascii="Arial" w:cs="Arial" w:eastAsia="Arial" w:hAnsi="Arial"/>
                <w:sz w:val="16"/>
                <w:szCs w:val="16"/>
                <w:color w:val="auto"/>
              </w:rPr>
              <w:t>Total liabilities and equity</w:t>
            </w:r>
          </w:p>
        </w:tc>
        <w:tc>
          <w:tcPr>
            <w:tcW w:w="42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78,581,467</w:t>
            </w:r>
          </w:p>
        </w:tc>
        <w:tc>
          <w:tcPr>
            <w:tcW w:w="300" w:type="dxa"/>
            <w:vAlign w:val="bottom"/>
            <w:shd w:val="clear" w:color="auto" w:fill="EEEEEE"/>
          </w:tcPr>
          <w:p>
            <w:pPr>
              <w:jc w:val="right"/>
              <w:ind w:right="144"/>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35,638,810</w:t>
            </w:r>
          </w:p>
        </w:tc>
      </w:tr>
      <w:tr>
        <w:trPr>
          <w:trHeight w:val="20"/>
        </w:trPr>
        <w:tc>
          <w:tcPr>
            <w:tcW w:w="600" w:type="dxa"/>
            <w:vAlign w:val="bottom"/>
            <w:tcBorders>
              <w:top w:val="single" w:sz="8" w:color="EEEEEE"/>
            </w:tcBorders>
          </w:tcPr>
          <w:p>
            <w:pPr>
              <w:spacing w:after="0" w:line="20" w:lineRule="exact"/>
              <w:rPr>
                <w:sz w:val="1"/>
                <w:szCs w:val="1"/>
                <w:color w:val="auto"/>
              </w:rPr>
            </w:pPr>
          </w:p>
        </w:tc>
        <w:tc>
          <w:tcPr>
            <w:tcW w:w="1360" w:type="dxa"/>
            <w:vAlign w:val="bottom"/>
            <w:tcBorders>
              <w:top w:val="single" w:sz="8" w:color="EEEEEE"/>
            </w:tcBorders>
          </w:tcPr>
          <w:p>
            <w:pPr>
              <w:spacing w:after="0" w:line="20" w:lineRule="exact"/>
              <w:rPr>
                <w:sz w:val="1"/>
                <w:szCs w:val="1"/>
                <w:color w:val="auto"/>
              </w:rPr>
            </w:pPr>
          </w:p>
        </w:tc>
        <w:tc>
          <w:tcPr>
            <w:tcW w:w="558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November 16, 2020, the Company implemented a 2-for-1 forward split of the issued and outstanding shares of Class A Common Stock of the Company. Except shares authorized, all references to number of shares, and to per share information in the consolidated and combined financial statements have been retroactively adjusted.</w:t>
      </w:r>
    </w:p>
    <w:p>
      <w:pPr>
        <w:spacing w:after="0" w:line="184"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*On October 20, 2020, the Company issued to its Founders 14,000,000 shares of the Company’s Class B Common Stock. The issuance was considered as a nominal issuance, in substance a recapitalization transaction, which was recorded and presented retroactively as outstanding for all reporting periods.</w:t>
      </w:r>
    </w:p>
    <w:p>
      <w:pPr>
        <w:sectPr>
          <w:pgSz w:w="11900" w:h="16838" w:orient="portrait"/>
          <w:cols w:equalWidth="0" w:num="1">
            <w:col w:w="11240"/>
          </w:cols>
          <w:pgMar w:left="320" w:top="800" w:right="339" w:bottom="0" w:gutter="0" w:footer="0" w:header="0"/>
        </w:sectPr>
      </w:pPr>
    </w:p>
    <w:bookmarkStart w:id="54" w:name="page55"/>
    <w:bookmarkEnd w:id="54"/>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9019"/>
          </w:cols>
          <w:pgMar w:left="1440" w:top="125"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22225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55" w:name="page56"/>
    <w:bookmarkEnd w:id="55"/>
    <w:p>
      <w:pPr>
        <w:jc w:val="center"/>
        <w:spacing w:after="0"/>
        <w:rPr>
          <w:sz w:val="20"/>
          <w:szCs w:val="20"/>
          <w:color w:val="auto"/>
        </w:rPr>
      </w:pPr>
      <w:r>
        <w:rPr>
          <w:rFonts w:ascii="Arial" w:cs="Arial" w:eastAsia="Arial" w:hAnsi="Arial"/>
          <w:sz w:val="18"/>
          <w:szCs w:val="18"/>
          <w:color w:val="auto"/>
        </w:rPr>
        <w:t>iPower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Years Ended June 30, 2022 and 2021</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20" w:type="dxa"/>
            <w:vAlign w:val="bottom"/>
            <w:gridSpan w:val="6"/>
          </w:tcPr>
          <w:p>
            <w:pPr>
              <w:jc w:val="right"/>
              <w:ind w:right="780"/>
              <w:spacing w:after="0"/>
              <w:rPr>
                <w:sz w:val="20"/>
                <w:szCs w:val="20"/>
                <w:color w:val="auto"/>
              </w:rPr>
            </w:pPr>
            <w:r>
              <w:rPr>
                <w:rFonts w:ascii="Arial" w:cs="Arial" w:eastAsia="Arial" w:hAnsi="Arial"/>
                <w:sz w:val="18"/>
                <w:szCs w:val="18"/>
                <w:color w:val="auto"/>
              </w:rPr>
              <w:t>For the Years Ended June 30,</w:t>
            </w:r>
          </w:p>
        </w:tc>
      </w:tr>
      <w:tr>
        <w:trPr>
          <w:trHeight w:val="230"/>
        </w:trPr>
        <w:tc>
          <w:tcPr>
            <w:tcW w:w="6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6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6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1360" w:type="dxa"/>
            <w:vAlign w:val="bottom"/>
            <w:gridSpan w:val="2"/>
            <w:shd w:val="clear" w:color="auto" w:fill="EEEEEE"/>
          </w:tcPr>
          <w:p>
            <w:pPr>
              <w:jc w:val="right"/>
              <w:ind w:right="17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79,418,473</w:t>
            </w:r>
          </w:p>
        </w:tc>
        <w:tc>
          <w:tcPr>
            <w:tcW w:w="36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54,075,922</w:t>
            </w:r>
          </w:p>
        </w:tc>
        <w:tc>
          <w:tcPr>
            <w:tcW w:w="80" w:type="dxa"/>
            <w:vAlign w:val="bottom"/>
            <w:shd w:val="clear" w:color="auto" w:fill="EEEEEE"/>
          </w:tcPr>
          <w:p>
            <w:pPr>
              <w:spacing w:after="0"/>
              <w:rPr>
                <w:sz w:val="18"/>
                <w:szCs w:val="18"/>
                <w:color w:val="auto"/>
              </w:rPr>
            </w:pPr>
          </w:p>
        </w:tc>
      </w:tr>
      <w:tr>
        <w:trPr>
          <w:trHeight w:val="229"/>
        </w:trPr>
        <w:tc>
          <w:tcPr>
            <w:tcW w:w="6660" w:type="dxa"/>
            <w:vAlign w:val="bottom"/>
            <w:tcBorders>
              <w:bottom w:val="single" w:sz="8" w:color="EEEEEE"/>
            </w:tcBorders>
          </w:tcPr>
          <w:p>
            <w:pPr>
              <w:spacing w:after="0"/>
              <w:rPr>
                <w:sz w:val="19"/>
                <w:szCs w:val="19"/>
                <w:color w:val="auto"/>
              </w:rPr>
            </w:pPr>
          </w:p>
        </w:tc>
        <w:tc>
          <w:tcPr>
            <w:tcW w:w="100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32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r>
      <w:tr>
        <w:trPr>
          <w:trHeight w:val="210"/>
        </w:trPr>
        <w:tc>
          <w:tcPr>
            <w:tcW w:w="6660" w:type="dxa"/>
            <w:vAlign w:val="bottom"/>
            <w:shd w:val="clear" w:color="auto" w:fill="EEEEEE"/>
          </w:tcPr>
          <w:p>
            <w:pPr>
              <w:spacing w:after="0"/>
              <w:rPr>
                <w:sz w:val="20"/>
                <w:szCs w:val="20"/>
                <w:color w:val="auto"/>
              </w:rPr>
            </w:pPr>
            <w:r>
              <w:rPr>
                <w:rFonts w:ascii="Arial" w:cs="Arial" w:eastAsia="Arial" w:hAnsi="Arial"/>
                <w:sz w:val="18"/>
                <w:szCs w:val="18"/>
                <w:color w:val="auto"/>
              </w:rPr>
              <w:t>TOTAL REVENUES</w:t>
            </w:r>
          </w:p>
        </w:tc>
        <w:tc>
          <w:tcPr>
            <w:tcW w:w="10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79,418,473</w:t>
            </w: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54,075,922</w:t>
            </w: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6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60" w:type="dxa"/>
            <w:vAlign w:val="bottom"/>
            <w:shd w:val="clear" w:color="auto" w:fill="EEEEEE"/>
          </w:tcPr>
          <w:p>
            <w:pPr>
              <w:spacing w:after="0"/>
              <w:rPr>
                <w:sz w:val="20"/>
                <w:szCs w:val="20"/>
                <w:color w:val="auto"/>
              </w:rPr>
            </w:pPr>
            <w:r>
              <w:rPr>
                <w:rFonts w:ascii="Arial" w:cs="Arial" w:eastAsia="Arial" w:hAnsi="Arial"/>
                <w:sz w:val="18"/>
                <w:szCs w:val="18"/>
                <w:color w:val="auto"/>
              </w:rPr>
              <w:t>COST OF REVENUES</w:t>
            </w:r>
          </w:p>
        </w:tc>
        <w:tc>
          <w:tcPr>
            <w:tcW w:w="10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46,218,580</w:t>
            </w:r>
          </w:p>
        </w:tc>
        <w:tc>
          <w:tcPr>
            <w:tcW w:w="36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31,257,358</w:t>
            </w:r>
          </w:p>
        </w:tc>
        <w:tc>
          <w:tcPr>
            <w:tcW w:w="80" w:type="dxa"/>
            <w:vAlign w:val="bottom"/>
            <w:shd w:val="clear" w:color="auto" w:fill="EEEEEE"/>
          </w:tcPr>
          <w:p>
            <w:pPr>
              <w:spacing w:after="0"/>
              <w:rPr>
                <w:sz w:val="18"/>
                <w:szCs w:val="18"/>
                <w:color w:val="auto"/>
              </w:rPr>
            </w:pPr>
          </w:p>
        </w:tc>
      </w:tr>
      <w:tr>
        <w:trPr>
          <w:trHeight w:val="230"/>
        </w:trPr>
        <w:tc>
          <w:tcPr>
            <w:tcW w:w="6660" w:type="dxa"/>
            <w:vAlign w:val="bottom"/>
            <w:tcBorders>
              <w:bottom w:val="single" w:sz="8" w:color="EEEEEE"/>
            </w:tcBorders>
          </w:tcPr>
          <w:p>
            <w:pPr>
              <w:spacing w:after="0"/>
              <w:rPr>
                <w:sz w:val="19"/>
                <w:szCs w:val="19"/>
                <w:color w:val="auto"/>
              </w:rPr>
            </w:pPr>
          </w:p>
        </w:tc>
        <w:tc>
          <w:tcPr>
            <w:tcW w:w="100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32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r>
      <w:tr>
        <w:trPr>
          <w:trHeight w:val="209"/>
        </w:trPr>
        <w:tc>
          <w:tcPr>
            <w:tcW w:w="6660" w:type="dxa"/>
            <w:vAlign w:val="bottom"/>
            <w:shd w:val="clear" w:color="auto" w:fill="EEEEEE"/>
          </w:tcPr>
          <w:p>
            <w:pPr>
              <w:spacing w:after="0"/>
              <w:rPr>
                <w:sz w:val="20"/>
                <w:szCs w:val="20"/>
                <w:color w:val="auto"/>
              </w:rPr>
            </w:pPr>
            <w:r>
              <w:rPr>
                <w:rFonts w:ascii="Arial" w:cs="Arial" w:eastAsia="Arial" w:hAnsi="Arial"/>
                <w:sz w:val="18"/>
                <w:szCs w:val="18"/>
                <w:color w:val="auto"/>
              </w:rPr>
              <w:t>GROSS PROFIT</w:t>
            </w:r>
          </w:p>
        </w:tc>
        <w:tc>
          <w:tcPr>
            <w:tcW w:w="1000" w:type="dxa"/>
            <w:vAlign w:val="bottom"/>
            <w:shd w:val="clear" w:color="auto" w:fill="EEEEEE"/>
          </w:tcPr>
          <w:p>
            <w:pPr>
              <w:spacing w:after="0"/>
              <w:rPr>
                <w:sz w:val="18"/>
                <w:szCs w:val="18"/>
                <w:color w:val="auto"/>
              </w:rPr>
            </w:pPr>
          </w:p>
        </w:tc>
        <w:tc>
          <w:tcPr>
            <w:tcW w:w="360" w:type="dxa"/>
            <w:vAlign w:val="bottom"/>
            <w:tcBorders>
              <w:bottom w:val="single" w:sz="8" w:color="auto"/>
            </w:tcBorders>
            <w:shd w:val="clear" w:color="auto" w:fill="EEEEEE"/>
          </w:tcPr>
          <w:p>
            <w:pPr>
              <w:spacing w:after="0"/>
              <w:rPr>
                <w:sz w:val="18"/>
                <w:szCs w:val="18"/>
                <w:color w:val="auto"/>
              </w:rPr>
            </w:pPr>
          </w:p>
        </w:tc>
        <w:tc>
          <w:tcPr>
            <w:tcW w:w="12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33,199,893</w:t>
            </w:r>
          </w:p>
        </w:tc>
        <w:tc>
          <w:tcPr>
            <w:tcW w:w="320" w:type="dxa"/>
            <w:vAlign w:val="bottom"/>
            <w:shd w:val="clear" w:color="auto" w:fill="EEEEEE"/>
          </w:tcPr>
          <w:p>
            <w:pPr>
              <w:spacing w:after="0"/>
              <w:rPr>
                <w:sz w:val="18"/>
                <w:szCs w:val="18"/>
                <w:color w:val="auto"/>
              </w:rPr>
            </w:pPr>
          </w:p>
        </w:tc>
        <w:tc>
          <w:tcPr>
            <w:tcW w:w="360" w:type="dxa"/>
            <w:vAlign w:val="bottom"/>
            <w:tcBorders>
              <w:bottom w:val="single" w:sz="8" w:color="auto"/>
            </w:tcBorders>
            <w:shd w:val="clear" w:color="auto" w:fill="EEEEEE"/>
          </w:tcPr>
          <w:p>
            <w:pPr>
              <w:spacing w:after="0"/>
              <w:rPr>
                <w:sz w:val="18"/>
                <w:szCs w:val="18"/>
                <w:color w:val="auto"/>
              </w:rPr>
            </w:pPr>
          </w:p>
        </w:tc>
        <w:tc>
          <w:tcPr>
            <w:tcW w:w="12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22,818,564</w:t>
            </w: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09"/>
        </w:trPr>
        <w:tc>
          <w:tcPr>
            <w:tcW w:w="6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60" w:type="dxa"/>
            <w:vAlign w:val="bottom"/>
            <w:shd w:val="clear" w:color="auto" w:fill="EEEEEE"/>
          </w:tcPr>
          <w:p>
            <w:pPr>
              <w:spacing w:after="0"/>
              <w:rPr>
                <w:sz w:val="20"/>
                <w:szCs w:val="20"/>
                <w:color w:val="auto"/>
              </w:rPr>
            </w:pPr>
            <w:r>
              <w:rPr>
                <w:rFonts w:ascii="Arial" w:cs="Arial" w:eastAsia="Arial" w:hAnsi="Arial"/>
                <w:sz w:val="18"/>
                <w:szCs w:val="18"/>
                <w:color w:val="auto"/>
              </w:rPr>
              <w:t>OPERATING EXPENSES:</w:t>
            </w:r>
          </w:p>
        </w:tc>
        <w:tc>
          <w:tcPr>
            <w:tcW w:w="10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6660" w:type="dxa"/>
            <w:vAlign w:val="bottom"/>
          </w:tcPr>
          <w:p>
            <w:pPr>
              <w:ind w:left="180"/>
              <w:spacing w:after="0"/>
              <w:rPr>
                <w:sz w:val="20"/>
                <w:szCs w:val="20"/>
                <w:color w:val="auto"/>
              </w:rPr>
            </w:pPr>
            <w:r>
              <w:rPr>
                <w:rFonts w:ascii="Arial" w:cs="Arial" w:eastAsia="Arial" w:hAnsi="Arial"/>
                <w:sz w:val="18"/>
                <w:szCs w:val="18"/>
                <w:color w:val="auto"/>
              </w:rPr>
              <w:t>Selling and fulfillment</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19,180,390</w:t>
            </w:r>
          </w:p>
        </w:tc>
        <w:tc>
          <w:tcPr>
            <w:tcW w:w="3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13,473,602</w:t>
            </w:r>
          </w:p>
        </w:tc>
        <w:tc>
          <w:tcPr>
            <w:tcW w:w="80" w:type="dxa"/>
            <w:vAlign w:val="bottom"/>
          </w:tcPr>
          <w:p>
            <w:pPr>
              <w:spacing w:after="0"/>
              <w:rPr>
                <w:sz w:val="18"/>
                <w:szCs w:val="18"/>
                <w:color w:val="auto"/>
              </w:rPr>
            </w:pPr>
          </w:p>
        </w:tc>
      </w:tr>
      <w:tr>
        <w:trPr>
          <w:trHeight w:val="229"/>
        </w:trPr>
        <w:tc>
          <w:tcPr>
            <w:tcW w:w="66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General and administrative</w:t>
            </w:r>
          </w:p>
        </w:tc>
        <w:tc>
          <w:tcPr>
            <w:tcW w:w="100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11,707,466</w:t>
            </w:r>
          </w:p>
        </w:tc>
        <w:tc>
          <w:tcPr>
            <w:tcW w:w="36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6,384,398</w:t>
            </w:r>
          </w:p>
        </w:tc>
        <w:tc>
          <w:tcPr>
            <w:tcW w:w="80" w:type="dxa"/>
            <w:vAlign w:val="bottom"/>
            <w:shd w:val="clear" w:color="auto" w:fill="EEEEEE"/>
          </w:tcPr>
          <w:p>
            <w:pPr>
              <w:spacing w:after="0"/>
              <w:rPr>
                <w:sz w:val="19"/>
                <w:szCs w:val="19"/>
                <w:color w:val="auto"/>
              </w:rPr>
            </w:pPr>
          </w:p>
        </w:tc>
      </w:tr>
      <w:tr>
        <w:trPr>
          <w:trHeight w:val="209"/>
        </w:trPr>
        <w:tc>
          <w:tcPr>
            <w:tcW w:w="6660" w:type="dxa"/>
            <w:vAlign w:val="bottom"/>
            <w:tcBorders>
              <w:bottom w:val="single" w:sz="8" w:color="EEEEEE"/>
            </w:tcBorders>
          </w:tcPr>
          <w:p>
            <w:pPr>
              <w:ind w:left="360"/>
              <w:spacing w:after="0"/>
              <w:rPr>
                <w:sz w:val="20"/>
                <w:szCs w:val="20"/>
                <w:color w:val="auto"/>
              </w:rPr>
            </w:pPr>
            <w:r>
              <w:rPr>
                <w:rFonts w:ascii="Arial" w:cs="Arial" w:eastAsia="Arial" w:hAnsi="Arial"/>
                <w:sz w:val="18"/>
                <w:szCs w:val="18"/>
                <w:color w:val="auto"/>
              </w:rPr>
              <w:t>Total operating expenses</w:t>
            </w:r>
          </w:p>
        </w:tc>
        <w:tc>
          <w:tcPr>
            <w:tcW w:w="100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30,887,856</w:t>
            </w:r>
          </w:p>
        </w:tc>
        <w:tc>
          <w:tcPr>
            <w:tcW w:w="32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19,858,000</w:t>
            </w:r>
          </w:p>
        </w:tc>
        <w:tc>
          <w:tcPr>
            <w:tcW w:w="2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r>
      <w:tr>
        <w:trPr>
          <w:trHeight w:val="210"/>
        </w:trPr>
        <w:tc>
          <w:tcPr>
            <w:tcW w:w="66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29"/>
        </w:trPr>
        <w:tc>
          <w:tcPr>
            <w:tcW w:w="66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2,312,037</w:t>
            </w:r>
          </w:p>
        </w:tc>
        <w:tc>
          <w:tcPr>
            <w:tcW w:w="36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2,960,564</w:t>
            </w:r>
          </w:p>
        </w:tc>
        <w:tc>
          <w:tcPr>
            <w:tcW w:w="80" w:type="dxa"/>
            <w:vAlign w:val="bottom"/>
          </w:tcPr>
          <w:p>
            <w:pPr>
              <w:spacing w:after="0"/>
              <w:rPr>
                <w:sz w:val="19"/>
                <w:szCs w:val="19"/>
                <w:color w:val="auto"/>
              </w:rPr>
            </w:pPr>
          </w:p>
        </w:tc>
      </w:tr>
      <w:tr>
        <w:trPr>
          <w:trHeight w:val="210"/>
        </w:trPr>
        <w:tc>
          <w:tcPr>
            <w:tcW w:w="666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Interest income (expenses)</w:t>
            </w:r>
          </w:p>
        </w:tc>
        <w:tc>
          <w:tcPr>
            <w:tcW w:w="10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1"/>
              <w:spacing w:after="0"/>
              <w:rPr>
                <w:sz w:val="20"/>
                <w:szCs w:val="20"/>
                <w:color w:val="auto"/>
              </w:rPr>
            </w:pPr>
            <w:r>
              <w:rPr>
                <w:rFonts w:ascii="Arial" w:cs="Arial" w:eastAsia="Arial" w:hAnsi="Arial"/>
                <w:sz w:val="18"/>
                <w:szCs w:val="18"/>
                <w:color w:val="auto"/>
              </w:rPr>
              <w:t>(458,159)</w:t>
            </w:r>
          </w:p>
        </w:tc>
        <w:tc>
          <w:tcPr>
            <w:tcW w:w="360" w:type="dxa"/>
            <w:vAlign w:val="bottom"/>
            <w:shd w:val="clear" w:color="auto" w:fill="EEEEEE"/>
          </w:tcPr>
          <w:p>
            <w:pPr>
              <w:spacing w:after="0"/>
              <w:rPr>
                <w:sz w:val="18"/>
                <w:szCs w:val="18"/>
                <w:color w:val="auto"/>
              </w:rPr>
            </w:pPr>
          </w:p>
        </w:tc>
        <w:tc>
          <w:tcPr>
            <w:tcW w:w="13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(153,785)</w:t>
            </w:r>
          </w:p>
        </w:tc>
      </w:tr>
      <w:tr>
        <w:trPr>
          <w:trHeight w:val="216"/>
        </w:trPr>
        <w:tc>
          <w:tcPr>
            <w:tcW w:w="6660" w:type="dxa"/>
            <w:vAlign w:val="bottom"/>
          </w:tcPr>
          <w:p>
            <w:pPr>
              <w:ind w:left="180"/>
              <w:spacing w:after="0"/>
              <w:rPr>
                <w:sz w:val="20"/>
                <w:szCs w:val="20"/>
                <w:color w:val="auto"/>
              </w:rPr>
            </w:pPr>
            <w:r>
              <w:rPr>
                <w:rFonts w:ascii="Arial" w:cs="Arial" w:eastAsia="Arial" w:hAnsi="Arial"/>
                <w:sz w:val="18"/>
                <w:szCs w:val="18"/>
                <w:color w:val="auto"/>
              </w:rPr>
              <w:t>Other financing expenses</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Arial" w:cs="Arial" w:eastAsia="Arial" w:hAnsi="Arial"/>
                <w:sz w:val="18"/>
                <w:szCs w:val="18"/>
                <w:color w:val="auto"/>
              </w:rPr>
              <w:t>(80,010)</w:t>
            </w:r>
          </w:p>
        </w:tc>
        <w:tc>
          <w:tcPr>
            <w:tcW w:w="360" w:type="dxa"/>
            <w:vAlign w:val="bottom"/>
          </w:tcPr>
          <w:p>
            <w:pPr>
              <w:spacing w:after="0"/>
              <w:rPr>
                <w:sz w:val="18"/>
                <w:szCs w:val="18"/>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(148,139)</w:t>
            </w:r>
          </w:p>
        </w:tc>
      </w:tr>
      <w:tr>
        <w:trPr>
          <w:trHeight w:val="216"/>
        </w:trPr>
        <w:tc>
          <w:tcPr>
            <w:tcW w:w="66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PPP loan forgiveness</w:t>
            </w:r>
          </w:p>
        </w:tc>
        <w:tc>
          <w:tcPr>
            <w:tcW w:w="10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175,500</w:t>
            </w:r>
          </w:p>
        </w:tc>
        <w:tc>
          <w:tcPr>
            <w:tcW w:w="80" w:type="dxa"/>
            <w:vAlign w:val="bottom"/>
            <w:shd w:val="clear" w:color="auto" w:fill="EEEEEE"/>
          </w:tcPr>
          <w:p>
            <w:pPr>
              <w:spacing w:after="0"/>
              <w:rPr>
                <w:sz w:val="18"/>
                <w:szCs w:val="18"/>
                <w:color w:val="auto"/>
              </w:rPr>
            </w:pPr>
          </w:p>
        </w:tc>
      </w:tr>
      <w:tr>
        <w:trPr>
          <w:trHeight w:val="216"/>
        </w:trPr>
        <w:tc>
          <w:tcPr>
            <w:tcW w:w="6660" w:type="dxa"/>
            <w:vAlign w:val="bottom"/>
          </w:tcPr>
          <w:p>
            <w:pPr>
              <w:ind w:left="180"/>
              <w:spacing w:after="0"/>
              <w:rPr>
                <w:sz w:val="20"/>
                <w:szCs w:val="20"/>
                <w:color w:val="auto"/>
              </w:rPr>
            </w:pPr>
            <w:r>
              <w:rPr>
                <w:rFonts w:ascii="Arial" w:cs="Arial" w:eastAsia="Arial" w:hAnsi="Arial"/>
                <w:sz w:val="18"/>
                <w:szCs w:val="18"/>
                <w:color w:val="auto"/>
              </w:rPr>
              <w:t>Gain (Loss) on equity method investment</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Arial" w:cs="Arial" w:eastAsia="Arial" w:hAnsi="Arial"/>
                <w:sz w:val="18"/>
                <w:szCs w:val="18"/>
                <w:color w:val="auto"/>
              </w:rPr>
              <w:t>(6,616)</w:t>
            </w:r>
          </w:p>
        </w:tc>
        <w:tc>
          <w:tcPr>
            <w:tcW w:w="36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66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Other non-operating income (expense)</w:t>
            </w:r>
          </w:p>
        </w:tc>
        <w:tc>
          <w:tcPr>
            <w:tcW w:w="100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296,366</w:t>
            </w:r>
          </w:p>
        </w:tc>
        <w:tc>
          <w:tcPr>
            <w:tcW w:w="360" w:type="dxa"/>
            <w:vAlign w:val="bottom"/>
            <w:shd w:val="clear" w:color="auto" w:fill="EEEEEE"/>
          </w:tcPr>
          <w:p>
            <w:pPr>
              <w:spacing w:after="0"/>
              <w:rPr>
                <w:sz w:val="19"/>
                <w:szCs w:val="19"/>
                <w:color w:val="auto"/>
              </w:rPr>
            </w:pPr>
          </w:p>
        </w:tc>
        <w:tc>
          <w:tcPr>
            <w:tcW w:w="13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(2,843,127)</w:t>
            </w:r>
          </w:p>
        </w:tc>
      </w:tr>
      <w:tr>
        <w:trPr>
          <w:trHeight w:val="209"/>
        </w:trPr>
        <w:tc>
          <w:tcPr>
            <w:tcW w:w="6660" w:type="dxa"/>
            <w:vAlign w:val="bottom"/>
            <w:tcBorders>
              <w:bottom w:val="single" w:sz="8" w:color="EEEEEE"/>
            </w:tcBorders>
          </w:tcPr>
          <w:p>
            <w:pPr>
              <w:ind w:left="360"/>
              <w:spacing w:after="0"/>
              <w:rPr>
                <w:sz w:val="20"/>
                <w:szCs w:val="20"/>
                <w:color w:val="auto"/>
              </w:rPr>
            </w:pPr>
            <w:r>
              <w:rPr>
                <w:rFonts w:ascii="Arial" w:cs="Arial" w:eastAsia="Arial" w:hAnsi="Arial"/>
                <w:sz w:val="18"/>
                <w:szCs w:val="18"/>
                <w:color w:val="auto"/>
              </w:rPr>
              <w:t>Total other (expenses), net</w:t>
            </w:r>
          </w:p>
        </w:tc>
        <w:tc>
          <w:tcPr>
            <w:tcW w:w="100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(248,419</w:t>
            </w:r>
          </w:p>
        </w:tc>
        <w:tc>
          <w:tcPr>
            <w:tcW w:w="320" w:type="dxa"/>
            <w:vAlign w:val="bottom"/>
            <w:tcBorders>
              <w:bottom w:val="single" w:sz="8" w:color="EEEEEE"/>
            </w:tcBorders>
          </w:tcPr>
          <w:p>
            <w:pPr>
              <w:jc w:val="right"/>
              <w:ind w:right="181"/>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(2,969,551</w:t>
            </w:r>
          </w:p>
        </w:tc>
        <w:tc>
          <w:tcPr>
            <w:tcW w:w="100" w:type="dxa"/>
            <w:vAlign w:val="bottom"/>
            <w:tcBorders>
              <w:bottom w:val="single" w:sz="8" w:color="EEEEEE"/>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10"/>
        </w:trPr>
        <w:tc>
          <w:tcPr>
            <w:tcW w:w="66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2,063,618</w:t>
            </w:r>
          </w:p>
        </w:tc>
        <w:tc>
          <w:tcPr>
            <w:tcW w:w="360" w:type="dxa"/>
            <w:vAlign w:val="bottom"/>
          </w:tcPr>
          <w:p>
            <w:pPr>
              <w:spacing w:after="0"/>
              <w:rPr>
                <w:sz w:val="18"/>
                <w:szCs w:val="18"/>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(8,987)</w:t>
            </w:r>
          </w:p>
        </w:tc>
      </w:tr>
      <w:tr>
        <w:trPr>
          <w:trHeight w:val="216"/>
        </w:trPr>
        <w:tc>
          <w:tcPr>
            <w:tcW w:w="66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558,975</w:t>
            </w:r>
          </w:p>
        </w:tc>
        <w:tc>
          <w:tcPr>
            <w:tcW w:w="36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766,762</w:t>
            </w:r>
          </w:p>
        </w:tc>
        <w:tc>
          <w:tcPr>
            <w:tcW w:w="80" w:type="dxa"/>
            <w:vAlign w:val="bottom"/>
          </w:tcPr>
          <w:p>
            <w:pPr>
              <w:spacing w:after="0"/>
              <w:rPr>
                <w:sz w:val="19"/>
                <w:szCs w:val="19"/>
                <w:color w:val="auto"/>
              </w:rPr>
            </w:pPr>
          </w:p>
        </w:tc>
      </w:tr>
      <w:tr>
        <w:trPr>
          <w:trHeight w:val="209"/>
        </w:trPr>
        <w:tc>
          <w:tcPr>
            <w:tcW w:w="66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100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1,504,643</w:t>
            </w:r>
          </w:p>
        </w:tc>
        <w:tc>
          <w:tcPr>
            <w:tcW w:w="32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(775,749)</w:t>
            </w:r>
          </w:p>
        </w:tc>
        <w:tc>
          <w:tcPr>
            <w:tcW w:w="100" w:type="dxa"/>
            <w:vAlign w:val="bottom"/>
            <w:tcBorders>
              <w:top w:val="single" w:sz="8" w:color="EEEEEE"/>
            </w:tcBorders>
            <w:gridSpan w:val="2"/>
            <w:shd w:val="clear" w:color="auto" w:fill="EEEEEE"/>
          </w:tcPr>
          <w:p>
            <w:pPr>
              <w:spacing w:after="0"/>
              <w:rPr>
                <w:sz w:val="18"/>
                <w:szCs w:val="18"/>
                <w:color w:val="auto"/>
              </w:rPr>
            </w:pPr>
          </w:p>
        </w:tc>
      </w:tr>
      <w:tr>
        <w:trPr>
          <w:trHeight w:val="216"/>
        </w:trPr>
        <w:tc>
          <w:tcPr>
            <w:tcW w:w="6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Non-controlling interest</w:t>
            </w:r>
          </w:p>
        </w:tc>
        <w:tc>
          <w:tcPr>
            <w:tcW w:w="10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1"/>
              <w:spacing w:after="0"/>
              <w:rPr>
                <w:sz w:val="20"/>
                <w:szCs w:val="20"/>
                <w:color w:val="auto"/>
              </w:rPr>
            </w:pPr>
            <w:r>
              <w:rPr>
                <w:rFonts w:ascii="Arial" w:cs="Arial" w:eastAsia="Arial" w:hAnsi="Arial"/>
                <w:sz w:val="18"/>
                <w:szCs w:val="18"/>
                <w:color w:val="auto"/>
              </w:rPr>
              <w:t>(13,232)</w:t>
            </w:r>
          </w:p>
        </w:tc>
        <w:tc>
          <w:tcPr>
            <w:tcW w:w="360" w:type="dxa"/>
            <w:vAlign w:val="bottom"/>
            <w:shd w:val="clear" w:color="auto" w:fill="EEEEEE"/>
          </w:tcPr>
          <w:p>
            <w:pPr>
              <w:spacing w:after="0"/>
              <w:rPr>
                <w:sz w:val="18"/>
                <w:szCs w:val="18"/>
                <w:color w:val="auto"/>
              </w:rPr>
            </w:pPr>
          </w:p>
        </w:tc>
        <w:tc>
          <w:tcPr>
            <w:tcW w:w="13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6660" w:type="dxa"/>
            <w:vAlign w:val="bottom"/>
            <w:tcBorders>
              <w:bottom w:val="single" w:sz="8" w:color="EEEEEE"/>
            </w:tcBorders>
          </w:tcPr>
          <w:p>
            <w:pPr>
              <w:spacing w:after="0"/>
              <w:rPr>
                <w:sz w:val="19"/>
                <w:szCs w:val="19"/>
                <w:color w:val="auto"/>
              </w:rPr>
            </w:pPr>
          </w:p>
        </w:tc>
        <w:tc>
          <w:tcPr>
            <w:tcW w:w="100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32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r>
      <w:tr>
        <w:trPr>
          <w:trHeight w:val="210"/>
        </w:trPr>
        <w:tc>
          <w:tcPr>
            <w:tcW w:w="6660" w:type="dxa"/>
            <w:vAlign w:val="bottom"/>
            <w:shd w:val="clear" w:color="auto" w:fill="EEEEEE"/>
          </w:tcPr>
          <w:p>
            <w:pPr>
              <w:spacing w:after="0"/>
              <w:rPr>
                <w:sz w:val="20"/>
                <w:szCs w:val="20"/>
                <w:color w:val="auto"/>
              </w:rPr>
            </w:pPr>
            <w:r>
              <w:rPr>
                <w:rFonts w:ascii="Arial" w:cs="Arial" w:eastAsia="Arial" w:hAnsi="Arial"/>
                <w:sz w:val="18"/>
                <w:szCs w:val="18"/>
                <w:color w:val="auto"/>
              </w:rPr>
              <w:t>NET INCOME (LOSS) ATTRIBUTABLE TO IPOWER INC.</w:t>
            </w:r>
          </w:p>
        </w:tc>
        <w:tc>
          <w:tcPr>
            <w:tcW w:w="1000" w:type="dxa"/>
            <w:vAlign w:val="bottom"/>
            <w:shd w:val="clear" w:color="auto" w:fill="EEEEEE"/>
          </w:tcPr>
          <w:p>
            <w:pPr>
              <w:spacing w:after="0"/>
              <w:rPr>
                <w:sz w:val="18"/>
                <w:szCs w:val="18"/>
                <w:color w:val="auto"/>
              </w:rPr>
            </w:pPr>
          </w:p>
        </w:tc>
        <w:tc>
          <w:tcPr>
            <w:tcW w:w="36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1,517,875</w:t>
            </w: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(775,749)</w:t>
            </w:r>
          </w:p>
        </w:tc>
        <w:tc>
          <w:tcPr>
            <w:tcW w:w="100" w:type="dxa"/>
            <w:vAlign w:val="bottom"/>
            <w:gridSpan w:val="2"/>
            <w:shd w:val="clear" w:color="auto" w:fill="EEEEEE"/>
          </w:tcPr>
          <w:p>
            <w:pPr>
              <w:spacing w:after="0"/>
              <w:rPr>
                <w:sz w:val="18"/>
                <w:szCs w:val="18"/>
                <w:color w:val="auto"/>
              </w:rPr>
            </w:pPr>
          </w:p>
        </w:tc>
      </w:tr>
      <w:tr>
        <w:trPr>
          <w:trHeight w:val="216"/>
        </w:trPr>
        <w:tc>
          <w:tcPr>
            <w:tcW w:w="6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60" w:type="dxa"/>
            <w:vAlign w:val="bottom"/>
            <w:shd w:val="clear" w:color="auto" w:fill="EEEEEE"/>
          </w:tcPr>
          <w:p>
            <w:pPr>
              <w:spacing w:after="0"/>
              <w:rPr>
                <w:sz w:val="20"/>
                <w:szCs w:val="20"/>
                <w:color w:val="auto"/>
              </w:rPr>
            </w:pPr>
            <w:r>
              <w:rPr>
                <w:rFonts w:ascii="Arial" w:cs="Arial" w:eastAsia="Arial" w:hAnsi="Arial"/>
                <w:sz w:val="18"/>
                <w:szCs w:val="18"/>
                <w:color w:val="auto"/>
              </w:rPr>
              <w:t>OTHER COMPREHENSIVE INCOME (LOSS)</w:t>
            </w:r>
          </w:p>
        </w:tc>
        <w:tc>
          <w:tcPr>
            <w:tcW w:w="10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666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5,678</w:t>
            </w:r>
          </w:p>
        </w:tc>
        <w:tc>
          <w:tcPr>
            <w:tcW w:w="36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6660" w:type="dxa"/>
            <w:vAlign w:val="bottom"/>
            <w:shd w:val="clear" w:color="auto" w:fill="EEEEEE"/>
          </w:tcPr>
          <w:p>
            <w:pPr>
              <w:spacing w:after="0"/>
              <w:rPr>
                <w:sz w:val="19"/>
                <w:szCs w:val="19"/>
                <w:color w:val="auto"/>
              </w:rPr>
            </w:pPr>
          </w:p>
        </w:tc>
        <w:tc>
          <w:tcPr>
            <w:tcW w:w="1000" w:type="dxa"/>
            <w:vAlign w:val="bottom"/>
            <w:shd w:val="clear" w:color="auto" w:fill="EEEEEE"/>
          </w:tcPr>
          <w:p>
            <w:pPr>
              <w:spacing w:after="0"/>
              <w:rPr>
                <w:sz w:val="19"/>
                <w:szCs w:val="19"/>
                <w:color w:val="auto"/>
              </w:rPr>
            </w:pPr>
          </w:p>
        </w:tc>
        <w:tc>
          <w:tcPr>
            <w:tcW w:w="360" w:type="dxa"/>
            <w:vAlign w:val="bottom"/>
            <w:tcBorders>
              <w:bottom w:val="single" w:sz="8" w:color="auto"/>
            </w:tcBorders>
            <w:shd w:val="clear" w:color="auto" w:fill="EEEEEE"/>
          </w:tcPr>
          <w:p>
            <w:pPr>
              <w:spacing w:after="0"/>
              <w:rPr>
                <w:sz w:val="19"/>
                <w:szCs w:val="19"/>
                <w:color w:val="auto"/>
              </w:rPr>
            </w:pPr>
          </w:p>
        </w:tc>
        <w:tc>
          <w:tcPr>
            <w:tcW w:w="1220" w:type="dxa"/>
            <w:vAlign w:val="bottom"/>
            <w:tcBorders>
              <w:bottom w:val="single" w:sz="8" w:color="auto"/>
            </w:tcBorders>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360" w:type="dxa"/>
            <w:vAlign w:val="bottom"/>
            <w:tcBorders>
              <w:bottom w:val="single" w:sz="8" w:color="auto"/>
            </w:tcBorders>
            <w:shd w:val="clear" w:color="auto" w:fill="EEEEEE"/>
          </w:tcPr>
          <w:p>
            <w:pPr>
              <w:spacing w:after="0"/>
              <w:rPr>
                <w:sz w:val="19"/>
                <w:szCs w:val="19"/>
                <w:color w:val="auto"/>
              </w:rPr>
            </w:pPr>
          </w:p>
        </w:tc>
        <w:tc>
          <w:tcPr>
            <w:tcW w:w="1220" w:type="dxa"/>
            <w:vAlign w:val="bottom"/>
            <w:tcBorders>
              <w:bottom w:val="single" w:sz="8" w:color="auto"/>
            </w:tcBorders>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r>
      <w:tr>
        <w:trPr>
          <w:trHeight w:val="263"/>
        </w:trPr>
        <w:tc>
          <w:tcPr>
            <w:tcW w:w="666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COMPREHENSIVE INCOME (LOSS) ATTRIBUTABLE TO IPOWER INC.</w:t>
            </w:r>
          </w:p>
        </w:tc>
        <w:tc>
          <w:tcPr>
            <w:tcW w:w="1000" w:type="dxa"/>
            <w:vAlign w:val="bottom"/>
            <w:tcBorders>
              <w:bottom w:val="single" w:sz="8" w:color="EEEEEE"/>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1,523,553</w:t>
            </w:r>
          </w:p>
        </w:tc>
        <w:tc>
          <w:tcPr>
            <w:tcW w:w="320" w:type="dxa"/>
            <w:vAlign w:val="bottom"/>
            <w:tcBorders>
              <w:bottom w:val="single" w:sz="8" w:color="EEEEEE"/>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(775,749</w:t>
            </w:r>
          </w:p>
        </w:tc>
        <w:tc>
          <w:tcPr>
            <w:tcW w:w="100" w:type="dxa"/>
            <w:vAlign w:val="bottom"/>
            <w:tcBorders>
              <w:bottom w:val="single" w:sz="8" w:color="EEEEEE"/>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196"/>
        </w:trPr>
        <w:tc>
          <w:tcPr>
            <w:tcW w:w="666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WEIGHTED AVERAGE NUMBER OF COMMON STOCK</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66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Basic</w:t>
            </w:r>
          </w:p>
        </w:tc>
        <w:tc>
          <w:tcPr>
            <w:tcW w:w="1000" w:type="dxa"/>
            <w:vAlign w:val="bottom"/>
            <w:shd w:val="clear" w:color="auto" w:fill="EEEEEE"/>
          </w:tcPr>
          <w:p>
            <w:pPr>
              <w:spacing w:after="0"/>
              <w:rPr>
                <w:sz w:val="21"/>
                <w:szCs w:val="21"/>
                <w:color w:val="auto"/>
              </w:rPr>
            </w:pPr>
          </w:p>
        </w:tc>
        <w:tc>
          <w:tcPr>
            <w:tcW w:w="360" w:type="dxa"/>
            <w:vAlign w:val="bottom"/>
            <w:shd w:val="clear" w:color="auto" w:fill="EEEEEE"/>
          </w:tcPr>
          <w:p>
            <w:pPr>
              <w:spacing w:after="0"/>
              <w:rPr>
                <w:sz w:val="21"/>
                <w:szCs w:val="21"/>
                <w:color w:val="auto"/>
              </w:rPr>
            </w:pPr>
          </w:p>
        </w:tc>
        <w:tc>
          <w:tcPr>
            <w:tcW w:w="154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27,781,493</w:t>
            </w:r>
          </w:p>
        </w:tc>
        <w:tc>
          <w:tcPr>
            <w:tcW w:w="360" w:type="dxa"/>
            <w:vAlign w:val="bottom"/>
            <w:shd w:val="clear" w:color="auto" w:fill="EEEEEE"/>
          </w:tcPr>
          <w:p>
            <w:pPr>
              <w:spacing w:after="0"/>
              <w:rPr>
                <w:sz w:val="21"/>
                <w:szCs w:val="21"/>
                <w:color w:val="auto"/>
              </w:rPr>
            </w:pP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21,116,750</w:t>
            </w:r>
          </w:p>
        </w:tc>
        <w:tc>
          <w:tcPr>
            <w:tcW w:w="80" w:type="dxa"/>
            <w:vAlign w:val="bottom"/>
            <w:shd w:val="clear" w:color="auto" w:fill="EEEEEE"/>
          </w:tcPr>
          <w:p>
            <w:pPr>
              <w:spacing w:after="0"/>
              <w:rPr>
                <w:sz w:val="21"/>
                <w:szCs w:val="21"/>
                <w:color w:val="auto"/>
              </w:rPr>
            </w:pPr>
          </w:p>
        </w:tc>
      </w:tr>
      <w:tr>
        <w:trPr>
          <w:trHeight w:val="20"/>
        </w:trPr>
        <w:tc>
          <w:tcPr>
            <w:tcW w:w="666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r>
      <w:tr>
        <w:trPr>
          <w:trHeight w:val="196"/>
        </w:trPr>
        <w:tc>
          <w:tcPr>
            <w:tcW w:w="6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66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Diluted</w:t>
            </w:r>
          </w:p>
        </w:tc>
        <w:tc>
          <w:tcPr>
            <w:tcW w:w="1000" w:type="dxa"/>
            <w:vAlign w:val="bottom"/>
            <w:shd w:val="clear" w:color="auto" w:fill="EEEEEE"/>
          </w:tcPr>
          <w:p>
            <w:pPr>
              <w:spacing w:after="0"/>
              <w:rPr>
                <w:sz w:val="21"/>
                <w:szCs w:val="21"/>
                <w:color w:val="auto"/>
              </w:rPr>
            </w:pPr>
          </w:p>
        </w:tc>
        <w:tc>
          <w:tcPr>
            <w:tcW w:w="360" w:type="dxa"/>
            <w:vAlign w:val="bottom"/>
            <w:shd w:val="clear" w:color="auto" w:fill="EEEEEE"/>
          </w:tcPr>
          <w:p>
            <w:pPr>
              <w:spacing w:after="0"/>
              <w:rPr>
                <w:sz w:val="21"/>
                <w:szCs w:val="21"/>
                <w:color w:val="auto"/>
              </w:rPr>
            </w:pPr>
          </w:p>
        </w:tc>
        <w:tc>
          <w:tcPr>
            <w:tcW w:w="154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27,781,493</w:t>
            </w:r>
          </w:p>
        </w:tc>
        <w:tc>
          <w:tcPr>
            <w:tcW w:w="360" w:type="dxa"/>
            <w:vAlign w:val="bottom"/>
            <w:shd w:val="clear" w:color="auto" w:fill="EEEEEE"/>
          </w:tcPr>
          <w:p>
            <w:pPr>
              <w:spacing w:after="0"/>
              <w:rPr>
                <w:sz w:val="21"/>
                <w:szCs w:val="21"/>
                <w:color w:val="auto"/>
              </w:rPr>
            </w:pP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21,116,750</w:t>
            </w:r>
          </w:p>
        </w:tc>
        <w:tc>
          <w:tcPr>
            <w:tcW w:w="80" w:type="dxa"/>
            <w:vAlign w:val="bottom"/>
            <w:shd w:val="clear" w:color="auto" w:fill="EEEEEE"/>
          </w:tcPr>
          <w:p>
            <w:pPr>
              <w:spacing w:after="0"/>
              <w:rPr>
                <w:sz w:val="21"/>
                <w:szCs w:val="21"/>
                <w:color w:val="auto"/>
              </w:rPr>
            </w:pPr>
          </w:p>
        </w:tc>
      </w:tr>
      <w:tr>
        <w:trPr>
          <w:trHeight w:val="20"/>
        </w:trPr>
        <w:tc>
          <w:tcPr>
            <w:tcW w:w="666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r>
      <w:tr>
        <w:trPr>
          <w:trHeight w:val="196"/>
        </w:trPr>
        <w:tc>
          <w:tcPr>
            <w:tcW w:w="6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660" w:type="dxa"/>
            <w:vAlign w:val="bottom"/>
            <w:shd w:val="clear" w:color="auto" w:fill="EEEEEE"/>
          </w:tcPr>
          <w:p>
            <w:pPr>
              <w:spacing w:after="0"/>
              <w:rPr>
                <w:sz w:val="20"/>
                <w:szCs w:val="20"/>
                <w:color w:val="auto"/>
              </w:rPr>
            </w:pPr>
            <w:r>
              <w:rPr>
                <w:rFonts w:ascii="Arial" w:cs="Arial" w:eastAsia="Arial" w:hAnsi="Arial"/>
                <w:sz w:val="18"/>
                <w:szCs w:val="18"/>
                <w:color w:val="auto"/>
              </w:rPr>
              <w:t>EARNINGS (LOSSES) PER SHARE</w:t>
            </w:r>
          </w:p>
        </w:tc>
        <w:tc>
          <w:tcPr>
            <w:tcW w:w="10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83"/>
        </w:trPr>
        <w:tc>
          <w:tcPr>
            <w:tcW w:w="6660" w:type="dxa"/>
            <w:vAlign w:val="bottom"/>
          </w:tcPr>
          <w:p>
            <w:pPr>
              <w:ind w:left="180"/>
              <w:spacing w:after="0"/>
              <w:rPr>
                <w:sz w:val="20"/>
                <w:szCs w:val="20"/>
                <w:color w:val="auto"/>
              </w:rPr>
            </w:pPr>
            <w:r>
              <w:rPr>
                <w:rFonts w:ascii="Arial" w:cs="Arial" w:eastAsia="Arial" w:hAnsi="Arial"/>
                <w:sz w:val="18"/>
                <w:szCs w:val="18"/>
                <w:color w:val="auto"/>
              </w:rPr>
              <w:t>Basic</w:t>
            </w:r>
          </w:p>
        </w:tc>
        <w:tc>
          <w:tcPr>
            <w:tcW w:w="13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0.05</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(0.04)</w:t>
            </w:r>
          </w:p>
        </w:tc>
      </w:tr>
      <w:tr>
        <w:trPr>
          <w:trHeight w:val="196"/>
        </w:trPr>
        <w:tc>
          <w:tcPr>
            <w:tcW w:w="6660" w:type="dxa"/>
            <w:vAlign w:val="bottom"/>
            <w:tcBorders>
              <w:top w:val="single" w:sz="8" w:color="EEEEEE"/>
            </w:tcBorders>
            <w:shd w:val="clear" w:color="auto" w:fill="EEEEEE"/>
          </w:tcPr>
          <w:p>
            <w:pPr>
              <w:spacing w:after="0"/>
              <w:rPr>
                <w:sz w:val="17"/>
                <w:szCs w:val="17"/>
                <w:color w:val="auto"/>
              </w:rPr>
            </w:pPr>
          </w:p>
        </w:tc>
        <w:tc>
          <w:tcPr>
            <w:tcW w:w="1000" w:type="dxa"/>
            <w:vAlign w:val="bottom"/>
            <w:tcBorders>
              <w:top w:val="single" w:sz="8" w:color="EEEEEE"/>
            </w:tcBorders>
            <w:shd w:val="clear" w:color="auto" w:fill="EEEEEE"/>
          </w:tcPr>
          <w:p>
            <w:pPr>
              <w:spacing w:after="0"/>
              <w:rPr>
                <w:sz w:val="17"/>
                <w:szCs w:val="17"/>
                <w:color w:val="auto"/>
              </w:rPr>
            </w:pPr>
          </w:p>
        </w:tc>
        <w:tc>
          <w:tcPr>
            <w:tcW w:w="360" w:type="dxa"/>
            <w:vAlign w:val="bottom"/>
            <w:tcBorders>
              <w:top w:val="single" w:sz="8" w:color="auto"/>
            </w:tcBorders>
            <w:shd w:val="clear" w:color="auto" w:fill="EEEEEE"/>
          </w:tcPr>
          <w:p>
            <w:pPr>
              <w:spacing w:after="0"/>
              <w:rPr>
                <w:sz w:val="17"/>
                <w:szCs w:val="17"/>
                <w:color w:val="auto"/>
              </w:rPr>
            </w:pPr>
          </w:p>
        </w:tc>
        <w:tc>
          <w:tcPr>
            <w:tcW w:w="122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360" w:type="dxa"/>
            <w:vAlign w:val="bottom"/>
            <w:tcBorders>
              <w:top w:val="single" w:sz="8" w:color="auto"/>
            </w:tcBorders>
            <w:shd w:val="clear" w:color="auto" w:fill="EEEEEE"/>
          </w:tcPr>
          <w:p>
            <w:pPr>
              <w:spacing w:after="0"/>
              <w:rPr>
                <w:sz w:val="17"/>
                <w:szCs w:val="17"/>
                <w:color w:val="auto"/>
              </w:rPr>
            </w:pPr>
          </w:p>
        </w:tc>
        <w:tc>
          <w:tcPr>
            <w:tcW w:w="1220" w:type="dxa"/>
            <w:vAlign w:val="bottom"/>
            <w:tcBorders>
              <w:top w:val="single" w:sz="8" w:color="auto"/>
            </w:tcBorders>
            <w:shd w:val="clear" w:color="auto" w:fill="EEEEEE"/>
          </w:tcPr>
          <w:p>
            <w:pPr>
              <w:spacing w:after="0"/>
              <w:rPr>
                <w:sz w:val="17"/>
                <w:szCs w:val="17"/>
                <w:color w:val="auto"/>
              </w:rPr>
            </w:pPr>
          </w:p>
        </w:tc>
        <w:tc>
          <w:tcPr>
            <w:tcW w:w="20" w:type="dxa"/>
            <w:vAlign w:val="bottom"/>
            <w:tcBorders>
              <w:top w:val="single" w:sz="8" w:color="EEEEEE"/>
            </w:tcBorders>
            <w:shd w:val="clear" w:color="auto" w:fill="EEEEEE"/>
          </w:tcPr>
          <w:p>
            <w:pPr>
              <w:spacing w:after="0"/>
              <w:rPr>
                <w:sz w:val="17"/>
                <w:szCs w:val="17"/>
                <w:color w:val="auto"/>
              </w:rPr>
            </w:pPr>
          </w:p>
        </w:tc>
        <w:tc>
          <w:tcPr>
            <w:tcW w:w="80" w:type="dxa"/>
            <w:vAlign w:val="bottom"/>
            <w:tcBorders>
              <w:top w:val="single" w:sz="8" w:color="EEEEEE"/>
            </w:tcBorders>
            <w:shd w:val="clear" w:color="auto" w:fill="EEEEEE"/>
          </w:tcPr>
          <w:p>
            <w:pPr>
              <w:spacing w:after="0"/>
              <w:rPr>
                <w:sz w:val="17"/>
                <w:szCs w:val="17"/>
                <w:color w:val="auto"/>
              </w:rPr>
            </w:pPr>
          </w:p>
        </w:tc>
      </w:tr>
      <w:tr>
        <w:trPr>
          <w:trHeight w:val="243"/>
        </w:trPr>
        <w:tc>
          <w:tcPr>
            <w:tcW w:w="6660" w:type="dxa"/>
            <w:vAlign w:val="bottom"/>
          </w:tcPr>
          <w:p>
            <w:pPr>
              <w:ind w:left="180"/>
              <w:spacing w:after="0"/>
              <w:rPr>
                <w:sz w:val="20"/>
                <w:szCs w:val="20"/>
                <w:color w:val="auto"/>
              </w:rPr>
            </w:pPr>
            <w:r>
              <w:rPr>
                <w:rFonts w:ascii="Arial" w:cs="Arial" w:eastAsia="Arial" w:hAnsi="Arial"/>
                <w:sz w:val="18"/>
                <w:szCs w:val="18"/>
                <w:color w:val="auto"/>
              </w:rPr>
              <w:t>Diluted</w:t>
            </w:r>
          </w:p>
        </w:tc>
        <w:tc>
          <w:tcPr>
            <w:tcW w:w="13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0.05</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(0.04)</w:t>
            </w:r>
          </w:p>
        </w:tc>
      </w:tr>
      <w:tr>
        <w:trPr>
          <w:trHeight w:val="20"/>
        </w:trPr>
        <w:tc>
          <w:tcPr>
            <w:tcW w:w="6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November 16, 2020, the Company implemented a 2-for-1 forward split of the issued and outstanding shares of Class A Common Stock of the Company. Except shares authorized, all references to number of shares, and to per share information in the consolidated and combined financial statements have been retroactively adjusted.</w:t>
      </w:r>
    </w:p>
    <w:p>
      <w:pPr>
        <w:spacing w:after="0" w:line="184"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*On October 20, 2020, the Company issued to its Founders 14,000,000 shares of the Company’s Class B Common Stock. The issuance was considered as a nominal issuance, in substance a recapitalization transaction, which was recorded and presented retroactively as outstanding for all reporting periods.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457"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color w:val="auto"/>
        </w:rPr>
        <w:t>iPower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Years Ended June 30, 2022 and 2021</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color w:val="auto"/>
                <w:w w:val="93"/>
              </w:rPr>
              <w:t>Accumulated</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8"/>
        </w:trPr>
        <w:tc>
          <w:tcPr>
            <w:tcW w:w="2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6"/>
          </w:tcPr>
          <w:p>
            <w:pPr>
              <w:jc w:val="right"/>
              <w:ind w:right="760"/>
              <w:spacing w:after="0" w:line="149" w:lineRule="exact"/>
              <w:rPr>
                <w:sz w:val="20"/>
                <w:szCs w:val="20"/>
                <w:color w:val="auto"/>
              </w:rPr>
            </w:pPr>
            <w:r>
              <w:rPr>
                <w:rFonts w:ascii="Arial" w:cs="Arial" w:eastAsia="Arial" w:hAnsi="Arial"/>
                <w:sz w:val="14"/>
                <w:szCs w:val="14"/>
                <w:color w:val="auto"/>
              </w:rPr>
              <w:t>Class B</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7"/>
              </w:rPr>
              <w:t>Additional</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339"/>
              <w:spacing w:after="0" w:line="149" w:lineRule="exact"/>
              <w:rPr>
                <w:sz w:val="20"/>
                <w:szCs w:val="20"/>
                <w:color w:val="auto"/>
              </w:rPr>
            </w:pPr>
            <w:r>
              <w:rPr>
                <w:rFonts w:ascii="Arial" w:cs="Arial" w:eastAsia="Arial" w:hAnsi="Arial"/>
                <w:sz w:val="14"/>
                <w:szCs w:val="14"/>
                <w:color w:val="auto"/>
              </w:rPr>
              <w:t>Non-</w:t>
            </w:r>
          </w:p>
        </w:tc>
        <w:tc>
          <w:tcPr>
            <w:tcW w:w="200" w:type="dxa"/>
            <w:vAlign w:val="bottom"/>
          </w:tcPr>
          <w:p>
            <w:pPr>
              <w:spacing w:after="0"/>
              <w:rPr>
                <w:sz w:val="12"/>
                <w:szCs w:val="12"/>
                <w:color w:val="auto"/>
              </w:rPr>
            </w:pPr>
          </w:p>
        </w:tc>
        <w:tc>
          <w:tcPr>
            <w:tcW w:w="92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3"/>
              </w:rPr>
              <w:t>other</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180" w:type="dxa"/>
            <w:vAlign w:val="bottom"/>
          </w:tcPr>
          <w:p>
            <w:pPr>
              <w:spacing w:after="0"/>
              <w:rPr>
                <w:sz w:val="14"/>
                <w:szCs w:val="14"/>
                <w:color w:val="auto"/>
              </w:rPr>
            </w:pPr>
          </w:p>
        </w:tc>
        <w:tc>
          <w:tcPr>
            <w:tcW w:w="1660" w:type="dxa"/>
            <w:vAlign w:val="bottom"/>
            <w:gridSpan w:val="6"/>
          </w:tcPr>
          <w:p>
            <w:pPr>
              <w:ind w:left="240"/>
              <w:spacing w:after="0"/>
              <w:rPr>
                <w:sz w:val="20"/>
                <w:szCs w:val="20"/>
                <w:color w:val="auto"/>
              </w:rPr>
            </w:pPr>
            <w:r>
              <w:rPr>
                <w:rFonts w:ascii="Arial" w:cs="Arial" w:eastAsia="Arial" w:hAnsi="Arial"/>
                <w:sz w:val="14"/>
                <w:szCs w:val="14"/>
                <w:color w:val="auto"/>
              </w:rPr>
              <w:t>Common Stock *</w:t>
            </w:r>
          </w:p>
        </w:tc>
        <w:tc>
          <w:tcPr>
            <w:tcW w:w="1760" w:type="dxa"/>
            <w:vAlign w:val="bottom"/>
            <w:gridSpan w:val="6"/>
          </w:tcPr>
          <w:p>
            <w:pPr>
              <w:jc w:val="right"/>
              <w:ind w:right="480"/>
              <w:spacing w:after="0"/>
              <w:rPr>
                <w:sz w:val="20"/>
                <w:szCs w:val="20"/>
                <w:color w:val="auto"/>
              </w:rPr>
            </w:pPr>
            <w:r>
              <w:rPr>
                <w:rFonts w:ascii="Arial" w:cs="Arial" w:eastAsia="Arial" w:hAnsi="Arial"/>
                <w:sz w:val="14"/>
                <w:szCs w:val="14"/>
                <w:color w:val="auto"/>
              </w:rPr>
              <w:t>Common Stock *</w:t>
            </w:r>
          </w:p>
        </w:tc>
        <w:tc>
          <w:tcPr>
            <w:tcW w:w="860" w:type="dxa"/>
            <w:vAlign w:val="bottom"/>
            <w:gridSpan w:val="3"/>
          </w:tcPr>
          <w:p>
            <w:pPr>
              <w:spacing w:after="0"/>
              <w:rPr>
                <w:sz w:val="20"/>
                <w:szCs w:val="20"/>
                <w:color w:val="auto"/>
              </w:rPr>
            </w:pPr>
            <w:r>
              <w:rPr>
                <w:rFonts w:ascii="Arial" w:cs="Arial" w:eastAsia="Arial" w:hAnsi="Arial"/>
                <w:sz w:val="14"/>
                <w:szCs w:val="14"/>
                <w:color w:val="auto"/>
              </w:rPr>
              <w:t>Subscription</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color w:val="auto"/>
              </w:rPr>
              <w:t>Paid in</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Retained</w:t>
            </w:r>
          </w:p>
        </w:tc>
        <w:tc>
          <w:tcPr>
            <w:tcW w:w="1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rPr>
              <w:t>controlling</w:t>
            </w: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color w:val="auto"/>
                <w:w w:val="93"/>
              </w:rPr>
              <w:t>Comprehensive</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2180" w:type="dxa"/>
            <w:vAlign w:val="bottom"/>
          </w:tcPr>
          <w:p>
            <w:pPr>
              <w:spacing w:after="0"/>
              <w:rPr>
                <w:sz w:val="13"/>
                <w:szCs w:val="13"/>
                <w:color w:val="auto"/>
              </w:rPr>
            </w:pPr>
          </w:p>
        </w:tc>
        <w:tc>
          <w:tcPr>
            <w:tcW w:w="740" w:type="dxa"/>
            <w:vAlign w:val="bottom"/>
            <w:tcBorders>
              <w:top w:val="single" w:sz="8" w:color="auto"/>
            </w:tcBorders>
            <w:gridSpan w:val="2"/>
          </w:tcPr>
          <w:p>
            <w:pPr>
              <w:jc w:val="center"/>
              <w:ind w:right="80"/>
              <w:spacing w:after="0" w:line="155" w:lineRule="exact"/>
              <w:rPr>
                <w:sz w:val="20"/>
                <w:szCs w:val="20"/>
                <w:color w:val="auto"/>
              </w:rPr>
            </w:pPr>
            <w:r>
              <w:rPr>
                <w:rFonts w:ascii="Arial" w:cs="Arial" w:eastAsia="Arial" w:hAnsi="Arial"/>
                <w:sz w:val="14"/>
                <w:szCs w:val="14"/>
                <w:color w:val="auto"/>
                <w:w w:val="85"/>
              </w:rPr>
              <w:t>Shares</w:t>
            </w: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95"/>
              </w:rPr>
              <w:t>Amount</w:t>
            </w:r>
          </w:p>
        </w:tc>
        <w:tc>
          <w:tcPr>
            <w:tcW w:w="180" w:type="dxa"/>
            <w:vAlign w:val="bottom"/>
          </w:tcPr>
          <w:p>
            <w:pPr>
              <w:spacing w:after="0"/>
              <w:rPr>
                <w:sz w:val="13"/>
                <w:szCs w:val="13"/>
                <w:color w:val="auto"/>
              </w:rPr>
            </w:pPr>
          </w:p>
        </w:tc>
        <w:tc>
          <w:tcPr>
            <w:tcW w:w="820" w:type="dxa"/>
            <w:vAlign w:val="bottom"/>
            <w:tcBorders>
              <w:top w:val="single" w:sz="8" w:color="auto"/>
            </w:tcBorders>
            <w:gridSpan w:val="2"/>
          </w:tcPr>
          <w:p>
            <w:pPr>
              <w:jc w:val="right"/>
              <w:ind w:right="280"/>
              <w:spacing w:after="0" w:line="155" w:lineRule="exact"/>
              <w:rPr>
                <w:sz w:val="20"/>
                <w:szCs w:val="20"/>
                <w:color w:val="auto"/>
              </w:rPr>
            </w:pPr>
            <w:r>
              <w:rPr>
                <w:rFonts w:ascii="Arial" w:cs="Arial" w:eastAsia="Arial" w:hAnsi="Arial"/>
                <w:sz w:val="14"/>
                <w:szCs w:val="14"/>
                <w:color w:val="auto"/>
              </w:rPr>
              <w:t>Shares</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95"/>
              </w:rPr>
              <w:t>Amount</w:t>
            </w:r>
          </w:p>
        </w:tc>
        <w:tc>
          <w:tcPr>
            <w:tcW w:w="200" w:type="dxa"/>
            <w:vAlign w:val="bottom"/>
          </w:tcPr>
          <w:p>
            <w:pPr>
              <w:spacing w:after="0"/>
              <w:rPr>
                <w:sz w:val="13"/>
                <w:szCs w:val="13"/>
                <w:color w:val="auto"/>
              </w:rPr>
            </w:pPr>
          </w:p>
        </w:tc>
        <w:tc>
          <w:tcPr>
            <w:tcW w:w="860" w:type="dxa"/>
            <w:vAlign w:val="bottom"/>
            <w:gridSpan w:val="3"/>
          </w:tcPr>
          <w:p>
            <w:pPr>
              <w:jc w:val="right"/>
              <w:ind w:right="180"/>
              <w:spacing w:after="0" w:line="155" w:lineRule="exact"/>
              <w:rPr>
                <w:sz w:val="20"/>
                <w:szCs w:val="20"/>
                <w:color w:val="auto"/>
              </w:rPr>
            </w:pPr>
            <w:r>
              <w:rPr>
                <w:rFonts w:ascii="Arial" w:cs="Arial" w:eastAsia="Arial" w:hAnsi="Arial"/>
                <w:sz w:val="14"/>
                <w:szCs w:val="14"/>
                <w:color w:val="auto"/>
                <w:w w:val="95"/>
              </w:rPr>
              <w:t>Receivable</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Capital</w:t>
            </w:r>
          </w:p>
        </w:tc>
        <w:tc>
          <w:tcPr>
            <w:tcW w:w="8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Earnings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79"/>
              <w:spacing w:after="0" w:line="155" w:lineRule="exact"/>
              <w:rPr>
                <w:sz w:val="20"/>
                <w:szCs w:val="20"/>
                <w:color w:val="auto"/>
              </w:rPr>
            </w:pPr>
            <w:r>
              <w:rPr>
                <w:rFonts w:ascii="Arial" w:cs="Arial" w:eastAsia="Arial" w:hAnsi="Arial"/>
                <w:sz w:val="14"/>
                <w:szCs w:val="14"/>
                <w:color w:val="auto"/>
                <w:w w:val="95"/>
              </w:rPr>
              <w:t>interest</w:t>
            </w:r>
          </w:p>
        </w:tc>
        <w:tc>
          <w:tcPr>
            <w:tcW w:w="1120" w:type="dxa"/>
            <w:vAlign w:val="bottom"/>
            <w:gridSpan w:val="3"/>
          </w:tcPr>
          <w:p>
            <w:pPr>
              <w:jc w:val="center"/>
              <w:ind w:right="220"/>
              <w:spacing w:after="0" w:line="155" w:lineRule="exact"/>
              <w:rPr>
                <w:sz w:val="20"/>
                <w:szCs w:val="20"/>
                <w:color w:val="auto"/>
              </w:rPr>
            </w:pPr>
            <w:r>
              <w:rPr>
                <w:rFonts w:ascii="Arial" w:cs="Arial" w:eastAsia="Arial" w:hAnsi="Arial"/>
                <w:sz w:val="14"/>
                <w:szCs w:val="14"/>
                <w:color w:val="auto"/>
                <w:w w:val="93"/>
              </w:rPr>
              <w:t>income (loss)</w:t>
            </w:r>
          </w:p>
        </w:tc>
        <w:tc>
          <w:tcPr>
            <w:tcW w:w="80" w:type="dxa"/>
            <w:vAlign w:val="bottom"/>
          </w:tcPr>
          <w:p>
            <w:pPr>
              <w:spacing w:after="0"/>
              <w:rPr>
                <w:sz w:val="13"/>
                <w:szCs w:val="13"/>
                <w:color w:val="auto"/>
              </w:rPr>
            </w:pPr>
          </w:p>
        </w:tc>
        <w:tc>
          <w:tcPr>
            <w:tcW w:w="78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Total</w:t>
            </w:r>
          </w:p>
        </w:tc>
      </w:tr>
      <w:tr>
        <w:trPr>
          <w:trHeight w:val="142"/>
        </w:trPr>
        <w:tc>
          <w:tcPr>
            <w:tcW w:w="2180" w:type="dxa"/>
            <w:vAlign w:val="bottom"/>
            <w:tcBorders>
              <w:top w:val="single" w:sz="8" w:color="EEEEEE"/>
            </w:tcBorders>
            <w:shd w:val="clear" w:color="auto" w:fill="EEEEEE"/>
          </w:tcPr>
          <w:p>
            <w:pPr>
              <w:spacing w:after="0" w:line="142" w:lineRule="exact"/>
              <w:rPr>
                <w:sz w:val="20"/>
                <w:szCs w:val="20"/>
                <w:color w:val="auto"/>
              </w:rPr>
            </w:pPr>
            <w:r>
              <w:rPr>
                <w:rFonts w:ascii="Arial" w:cs="Arial" w:eastAsia="Arial" w:hAnsi="Arial"/>
                <w:sz w:val="14"/>
                <w:szCs w:val="14"/>
                <w:color w:val="auto"/>
              </w:rPr>
              <w:t>Balance, June 30, 2020</w:t>
            </w:r>
          </w:p>
        </w:tc>
        <w:tc>
          <w:tcPr>
            <w:tcW w:w="640" w:type="dxa"/>
            <w:vAlign w:val="bottom"/>
            <w:tcBorders>
              <w:top w:val="single" w:sz="8" w:color="auto"/>
            </w:tcBorders>
            <w:shd w:val="clear" w:color="auto" w:fill="EEEEEE"/>
          </w:tcPr>
          <w:p>
            <w:pPr>
              <w:jc w:val="center"/>
              <w:spacing w:after="0" w:line="142" w:lineRule="exact"/>
              <w:rPr>
                <w:sz w:val="20"/>
                <w:szCs w:val="20"/>
                <w:color w:val="auto"/>
              </w:rPr>
            </w:pPr>
            <w:r>
              <w:rPr>
                <w:rFonts w:ascii="Arial" w:cs="Arial" w:eastAsia="Arial" w:hAnsi="Arial"/>
                <w:sz w:val="14"/>
                <w:szCs w:val="14"/>
                <w:color w:val="auto"/>
                <w:w w:val="91"/>
              </w:rPr>
              <w:t>20,204,496</w:t>
            </w:r>
          </w:p>
        </w:tc>
        <w:tc>
          <w:tcPr>
            <w:tcW w:w="10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EEEEEE"/>
            </w:tcBorders>
            <w:shd w:val="clear" w:color="auto" w:fill="EEEEEE"/>
          </w:tcPr>
          <w:p>
            <w:pPr>
              <w:spacing w:after="0"/>
              <w:rPr>
                <w:sz w:val="12"/>
                <w:szCs w:val="12"/>
                <w:color w:val="auto"/>
              </w:rPr>
            </w:pPr>
          </w:p>
        </w:tc>
        <w:tc>
          <w:tcPr>
            <w:tcW w:w="8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20,204</w:t>
            </w:r>
          </w:p>
        </w:tc>
        <w:tc>
          <w:tcPr>
            <w:tcW w:w="180" w:type="dxa"/>
            <w:vAlign w:val="bottom"/>
            <w:tcBorders>
              <w:top w:val="single" w:sz="8" w:color="EEEEEE"/>
            </w:tcBorders>
            <w:shd w:val="clear" w:color="auto" w:fill="EEEEEE"/>
          </w:tcPr>
          <w:p>
            <w:pPr>
              <w:spacing w:after="0"/>
              <w:rPr>
                <w:sz w:val="12"/>
                <w:szCs w:val="12"/>
                <w:color w:val="auto"/>
              </w:rPr>
            </w:pPr>
          </w:p>
        </w:tc>
        <w:tc>
          <w:tcPr>
            <w:tcW w:w="70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w w:val="96"/>
              </w:rPr>
              <w:t>14,000,000</w:t>
            </w:r>
          </w:p>
        </w:tc>
        <w:tc>
          <w:tcPr>
            <w:tcW w:w="120" w:type="dxa"/>
            <w:vAlign w:val="bottom"/>
            <w:tcBorders>
              <w:top w:val="single" w:sz="8" w:color="EEEEEE"/>
            </w:tcBorders>
            <w:shd w:val="clear" w:color="auto" w:fill="EEEEEE"/>
          </w:tcPr>
          <w:p>
            <w:pPr>
              <w:spacing w:after="0"/>
              <w:rPr>
                <w:sz w:val="12"/>
                <w:szCs w:val="12"/>
                <w:color w:val="auto"/>
              </w:rPr>
            </w:pPr>
          </w:p>
        </w:tc>
        <w:tc>
          <w:tcPr>
            <w:tcW w:w="80" w:type="dxa"/>
            <w:vAlign w:val="bottom"/>
            <w:tcBorders>
              <w:top w:val="single" w:sz="8" w:color="EEEEEE"/>
            </w:tcBorders>
            <w:shd w:val="clear" w:color="auto" w:fill="EEEEEE"/>
          </w:tcPr>
          <w:p>
            <w:pPr>
              <w:spacing w:after="0"/>
              <w:rPr>
                <w:sz w:val="12"/>
                <w:szCs w:val="12"/>
                <w:color w:val="auto"/>
              </w:rPr>
            </w:pPr>
          </w:p>
        </w:tc>
        <w:tc>
          <w:tcPr>
            <w:tcW w:w="8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14,000</w:t>
            </w:r>
          </w:p>
        </w:tc>
        <w:tc>
          <w:tcPr>
            <w:tcW w:w="200" w:type="dxa"/>
            <w:vAlign w:val="bottom"/>
            <w:tcBorders>
              <w:top w:val="single" w:sz="8" w:color="EEEEEE"/>
            </w:tcBorders>
            <w:shd w:val="clear" w:color="auto" w:fill="EEEEEE"/>
          </w:tcPr>
          <w:p>
            <w:pPr>
              <w:spacing w:after="0"/>
              <w:rPr>
                <w:sz w:val="12"/>
                <w:szCs w:val="12"/>
                <w:color w:val="auto"/>
              </w:rPr>
            </w:pPr>
          </w:p>
        </w:tc>
        <w:tc>
          <w:tcPr>
            <w:tcW w:w="180" w:type="dxa"/>
            <w:vAlign w:val="bottom"/>
            <w:tcBorders>
              <w:top w:val="single" w:sz="8" w:color="auto"/>
            </w:tcBorders>
            <w:shd w:val="clear" w:color="auto" w:fill="EEEEEE"/>
          </w:tcPr>
          <w:p>
            <w:pPr>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w w:val="99"/>
              </w:rPr>
              <w:t>(14,000)</w:t>
            </w:r>
          </w:p>
        </w:tc>
        <w:tc>
          <w:tcPr>
            <w:tcW w:w="140" w:type="dxa"/>
            <w:vAlign w:val="bottom"/>
            <w:tcBorders>
              <w:top w:val="single" w:sz="8" w:color="EEEEEE"/>
            </w:tcBorders>
            <w:shd w:val="clear" w:color="auto" w:fill="EEEEEE"/>
          </w:tcPr>
          <w:p>
            <w:pPr>
              <w:spacing w:after="0"/>
              <w:rPr>
                <w:sz w:val="12"/>
                <w:szCs w:val="12"/>
                <w:color w:val="auto"/>
              </w:rPr>
            </w:pPr>
          </w:p>
        </w:tc>
        <w:tc>
          <w:tcPr>
            <w:tcW w:w="60" w:type="dxa"/>
            <w:vAlign w:val="bottom"/>
            <w:tcBorders>
              <w:top w:val="single" w:sz="8" w:color="EEEEEE"/>
            </w:tcBorders>
            <w:shd w:val="clear" w:color="auto" w:fill="EEEEEE"/>
          </w:tcPr>
          <w:p>
            <w:pPr>
              <w:spacing w:after="0"/>
              <w:rPr>
                <w:sz w:val="12"/>
                <w:szCs w:val="12"/>
                <w:color w:val="auto"/>
              </w:rPr>
            </w:pPr>
          </w:p>
        </w:tc>
        <w:tc>
          <w:tcPr>
            <w:tcW w:w="8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389,490</w:t>
            </w:r>
          </w:p>
        </w:tc>
        <w:tc>
          <w:tcPr>
            <w:tcW w:w="200" w:type="dxa"/>
            <w:vAlign w:val="bottom"/>
            <w:tcBorders>
              <w:top w:val="single" w:sz="8" w:color="EEEEEE"/>
            </w:tcBorders>
            <w:shd w:val="clear" w:color="auto" w:fill="EEEEEE"/>
          </w:tcPr>
          <w:p>
            <w:pPr>
              <w:spacing w:after="0"/>
              <w:rPr>
                <w:sz w:val="12"/>
                <w:szCs w:val="12"/>
                <w:color w:val="auto"/>
              </w:rPr>
            </w:pPr>
          </w:p>
        </w:tc>
        <w:tc>
          <w:tcPr>
            <w:tcW w:w="70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w w:val="91"/>
              </w:rPr>
              <w:t>$ 2,520,822</w:t>
            </w:r>
          </w:p>
        </w:tc>
        <w:tc>
          <w:tcPr>
            <w:tcW w:w="12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EEEEEE"/>
            </w:tcBorders>
            <w:shd w:val="clear" w:color="auto" w:fill="EEEEEE"/>
          </w:tcPr>
          <w:p>
            <w:pPr>
              <w:spacing w:after="0"/>
              <w:rPr>
                <w:sz w:val="12"/>
                <w:szCs w:val="12"/>
                <w:color w:val="auto"/>
              </w:rPr>
            </w:pPr>
          </w:p>
        </w:tc>
        <w:tc>
          <w:tcPr>
            <w:tcW w:w="80" w:type="dxa"/>
            <w:vAlign w:val="bottom"/>
            <w:tcBorders>
              <w:top w:val="single" w:sz="8" w:color="auto"/>
            </w:tcBorders>
            <w:shd w:val="clear" w:color="auto" w:fill="EEEEEE"/>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EEEEEE"/>
            </w:tcBorders>
            <w:shd w:val="clear" w:color="auto" w:fill="EEEEEE"/>
          </w:tcPr>
          <w:p>
            <w:pPr>
              <w:spacing w:after="0"/>
              <w:rPr>
                <w:sz w:val="12"/>
                <w:szCs w:val="12"/>
                <w:color w:val="auto"/>
              </w:rPr>
            </w:pPr>
          </w:p>
        </w:tc>
        <w:tc>
          <w:tcPr>
            <w:tcW w:w="200" w:type="dxa"/>
            <w:vAlign w:val="bottom"/>
            <w:tcBorders>
              <w:top w:val="single" w:sz="8" w:color="auto"/>
            </w:tcBorders>
            <w:shd w:val="clear" w:color="auto" w:fill="EEEEEE"/>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EEEEEE"/>
            </w:tcBorders>
            <w:shd w:val="clear" w:color="auto" w:fill="EEEEEE"/>
          </w:tcPr>
          <w:p>
            <w:pPr>
              <w:spacing w:after="0"/>
              <w:rPr>
                <w:sz w:val="12"/>
                <w:szCs w:val="12"/>
                <w:color w:val="auto"/>
              </w:rPr>
            </w:pPr>
          </w:p>
        </w:tc>
        <w:tc>
          <w:tcPr>
            <w:tcW w:w="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2,930,516</w:t>
            </w:r>
          </w:p>
        </w:tc>
        <w:tc>
          <w:tcPr>
            <w:tcW w:w="100" w:type="dxa"/>
            <w:vAlign w:val="bottom"/>
            <w:tcBorders>
              <w:top w:val="single" w:sz="8" w:color="EEEEEE"/>
            </w:tcBorders>
            <w:shd w:val="clear" w:color="auto" w:fill="EEEEEE"/>
          </w:tcPr>
          <w:p>
            <w:pPr>
              <w:spacing w:after="0"/>
              <w:rPr>
                <w:sz w:val="12"/>
                <w:szCs w:val="12"/>
                <w:color w:val="auto"/>
              </w:rPr>
            </w:pPr>
          </w:p>
        </w:tc>
      </w:tr>
      <w:tr>
        <w:trPr>
          <w:trHeight w:val="149"/>
        </w:trPr>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Net income</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(775,749)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(775,749)</w:t>
            </w:r>
          </w:p>
        </w:tc>
      </w:tr>
      <w:tr>
        <w:trPr>
          <w:trHeight w:val="148"/>
        </w:trPr>
        <w:tc>
          <w:tcPr>
            <w:tcW w:w="2180" w:type="dxa"/>
            <w:vAlign w:val="bottom"/>
            <w:shd w:val="clear" w:color="auto" w:fill="EEEEEE"/>
          </w:tcPr>
          <w:p>
            <w:pPr>
              <w:ind w:left="100"/>
              <w:spacing w:after="0" w:line="149" w:lineRule="exact"/>
              <w:rPr>
                <w:sz w:val="20"/>
                <w:szCs w:val="20"/>
                <w:color w:val="auto"/>
              </w:rPr>
            </w:pPr>
            <w:r>
              <w:rPr>
                <w:rFonts w:ascii="Arial" w:cs="Arial" w:eastAsia="Arial" w:hAnsi="Arial"/>
                <w:sz w:val="14"/>
                <w:szCs w:val="14"/>
                <w:color w:val="auto"/>
              </w:rPr>
              <w:t>Cash for Class B common stock</w:t>
            </w:r>
          </w:p>
        </w:tc>
        <w:tc>
          <w:tcPr>
            <w:tcW w:w="7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740" w:type="dxa"/>
            <w:vAlign w:val="bottom"/>
            <w:gridSpan w:val="2"/>
            <w:shd w:val="clear" w:color="auto" w:fill="EEEEEE"/>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780" w:type="dxa"/>
            <w:vAlign w:val="bottom"/>
            <w:gridSpan w:val="2"/>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EEEEE"/>
          </w:tcPr>
          <w:p>
            <w:pPr>
              <w:spacing w:after="0"/>
              <w:rPr>
                <w:sz w:val="12"/>
                <w:szCs w:val="12"/>
                <w:color w:val="auto"/>
              </w:rPr>
            </w:pPr>
          </w:p>
        </w:tc>
        <w:tc>
          <w:tcPr>
            <w:tcW w:w="680" w:type="dxa"/>
            <w:vAlign w:val="bottom"/>
            <w:gridSpan w:val="2"/>
            <w:shd w:val="clear" w:color="auto" w:fill="EEEEEE"/>
          </w:tcPr>
          <w:p>
            <w:pPr>
              <w:jc w:val="right"/>
              <w:ind w:right="140"/>
              <w:spacing w:after="0" w:line="149" w:lineRule="exact"/>
              <w:rPr>
                <w:sz w:val="20"/>
                <w:szCs w:val="20"/>
                <w:color w:val="auto"/>
              </w:rPr>
            </w:pPr>
            <w:r>
              <w:rPr>
                <w:rFonts w:ascii="Arial" w:cs="Arial" w:eastAsia="Arial" w:hAnsi="Arial"/>
                <w:sz w:val="14"/>
                <w:szCs w:val="14"/>
                <w:color w:val="auto"/>
              </w:rPr>
              <w:t>14,000</w:t>
            </w:r>
          </w:p>
        </w:tc>
        <w:tc>
          <w:tcPr>
            <w:tcW w:w="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880" w:type="dxa"/>
            <w:vAlign w:val="bottom"/>
            <w:gridSpan w:val="2"/>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780" w:type="dxa"/>
            <w:vAlign w:val="bottom"/>
            <w:gridSpan w:val="2"/>
            <w:shd w:val="clear" w:color="auto" w:fill="EEEEEE"/>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EEEEE"/>
          </w:tcPr>
          <w:p>
            <w:pPr>
              <w:spacing w:after="0"/>
              <w:rPr>
                <w:sz w:val="12"/>
                <w:szCs w:val="12"/>
                <w:color w:val="auto"/>
              </w:rPr>
            </w:pPr>
          </w:p>
        </w:tc>
        <w:tc>
          <w:tcPr>
            <w:tcW w:w="9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EEEEE"/>
          </w:tcPr>
          <w:p>
            <w:pPr>
              <w:spacing w:after="0"/>
              <w:rPr>
                <w:sz w:val="12"/>
                <w:szCs w:val="12"/>
                <w:color w:val="auto"/>
              </w:rPr>
            </w:pPr>
          </w:p>
        </w:tc>
        <w:tc>
          <w:tcPr>
            <w:tcW w:w="78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14,000</w:t>
            </w:r>
          </w:p>
        </w:tc>
      </w:tr>
      <w:tr>
        <w:trPr>
          <w:trHeight w:val="130"/>
        </w:trPr>
        <w:tc>
          <w:tcPr>
            <w:tcW w:w="2180" w:type="dxa"/>
            <w:vAlign w:val="bottom"/>
          </w:tcPr>
          <w:p>
            <w:pPr>
              <w:ind w:left="100"/>
              <w:spacing w:after="0" w:line="130" w:lineRule="exact"/>
              <w:rPr>
                <w:sz w:val="20"/>
                <w:szCs w:val="20"/>
                <w:color w:val="auto"/>
              </w:rPr>
            </w:pPr>
            <w:r>
              <w:rPr>
                <w:rFonts w:ascii="Arial" w:cs="Arial" w:eastAsia="Arial" w:hAnsi="Arial"/>
                <w:sz w:val="14"/>
                <w:szCs w:val="14"/>
                <w:color w:val="auto"/>
              </w:rPr>
              <w:t>Conversion of Class B common</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180" w:type="dxa"/>
            <w:vAlign w:val="bottom"/>
          </w:tcPr>
          <w:p>
            <w:pPr>
              <w:ind w:left="180"/>
              <w:spacing w:after="0"/>
              <w:rPr>
                <w:sz w:val="20"/>
                <w:szCs w:val="20"/>
                <w:color w:val="auto"/>
              </w:rPr>
            </w:pPr>
            <w:r>
              <w:rPr>
                <w:rFonts w:ascii="Arial" w:cs="Arial" w:eastAsia="Arial" w:hAnsi="Arial"/>
                <w:sz w:val="14"/>
                <w:szCs w:val="14"/>
                <w:color w:val="auto"/>
              </w:rPr>
              <w:t>stock</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w w:val="99"/>
              </w:rPr>
              <w:t>1,400,000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1,400</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w w:val="93"/>
              </w:rPr>
              <w:t>(14,000,000)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(14,000)</w:t>
            </w:r>
          </w:p>
        </w:tc>
        <w:tc>
          <w:tcPr>
            <w:tcW w:w="1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12,600</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48"/>
        </w:trPr>
        <w:tc>
          <w:tcPr>
            <w:tcW w:w="2180" w:type="dxa"/>
            <w:vAlign w:val="bottom"/>
            <w:shd w:val="clear" w:color="auto" w:fill="EEEEEE"/>
          </w:tcPr>
          <w:p>
            <w:pPr>
              <w:ind w:left="100"/>
              <w:spacing w:after="0" w:line="149" w:lineRule="exact"/>
              <w:rPr>
                <w:sz w:val="20"/>
                <w:szCs w:val="20"/>
                <w:color w:val="auto"/>
              </w:rPr>
            </w:pPr>
            <w:r>
              <w:rPr>
                <w:rFonts w:ascii="Arial" w:cs="Arial" w:eastAsia="Arial" w:hAnsi="Arial"/>
                <w:sz w:val="14"/>
                <w:szCs w:val="14"/>
                <w:color w:val="auto"/>
              </w:rPr>
              <w:t>Shares issued for cash upon IPO</w:t>
            </w:r>
          </w:p>
        </w:tc>
        <w:tc>
          <w:tcPr>
            <w:tcW w:w="7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w w:val="99"/>
              </w:rPr>
              <w:t>3,864,000</w:t>
            </w:r>
          </w:p>
        </w:tc>
        <w:tc>
          <w:tcPr>
            <w:tcW w:w="1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740" w:type="dxa"/>
            <w:vAlign w:val="bottom"/>
            <w:gridSpan w:val="2"/>
            <w:shd w:val="clear" w:color="auto" w:fill="EEEEEE"/>
          </w:tcPr>
          <w:p>
            <w:pPr>
              <w:jc w:val="right"/>
              <w:ind w:right="180"/>
              <w:spacing w:after="0" w:line="149" w:lineRule="exact"/>
              <w:rPr>
                <w:sz w:val="20"/>
                <w:szCs w:val="20"/>
                <w:color w:val="auto"/>
              </w:rPr>
            </w:pPr>
            <w:r>
              <w:rPr>
                <w:rFonts w:ascii="Arial" w:cs="Arial" w:eastAsia="Arial" w:hAnsi="Arial"/>
                <w:sz w:val="14"/>
                <w:szCs w:val="14"/>
                <w:color w:val="auto"/>
              </w:rPr>
              <w:t>3,864</w:t>
            </w:r>
          </w:p>
        </w:tc>
        <w:tc>
          <w:tcPr>
            <w:tcW w:w="82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780" w:type="dxa"/>
            <w:vAlign w:val="bottom"/>
            <w:gridSpan w:val="2"/>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EEEEE"/>
          </w:tcPr>
          <w:p>
            <w:pPr>
              <w:spacing w:after="0"/>
              <w:rPr>
                <w:sz w:val="12"/>
                <w:szCs w:val="12"/>
                <w:color w:val="auto"/>
              </w:rPr>
            </w:pPr>
          </w:p>
        </w:tc>
        <w:tc>
          <w:tcPr>
            <w:tcW w:w="680" w:type="dxa"/>
            <w:vAlign w:val="bottom"/>
            <w:gridSpan w:val="2"/>
            <w:shd w:val="clear" w:color="auto" w:fill="EEEEEE"/>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880" w:type="dxa"/>
            <w:vAlign w:val="bottom"/>
            <w:gridSpan w:val="2"/>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w w:val="94"/>
              </w:rPr>
              <w:t>16,562,541</w:t>
            </w:r>
          </w:p>
        </w:tc>
        <w:tc>
          <w:tcPr>
            <w:tcW w:w="82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780" w:type="dxa"/>
            <w:vAlign w:val="bottom"/>
            <w:gridSpan w:val="2"/>
            <w:shd w:val="clear" w:color="auto" w:fill="EEEEEE"/>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EEEEE"/>
          </w:tcPr>
          <w:p>
            <w:pPr>
              <w:spacing w:after="0"/>
              <w:rPr>
                <w:sz w:val="12"/>
                <w:szCs w:val="12"/>
                <w:color w:val="auto"/>
              </w:rPr>
            </w:pPr>
          </w:p>
        </w:tc>
        <w:tc>
          <w:tcPr>
            <w:tcW w:w="9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EEEEE"/>
          </w:tcPr>
          <w:p>
            <w:pPr>
              <w:spacing w:after="0"/>
              <w:rPr>
                <w:sz w:val="12"/>
                <w:szCs w:val="12"/>
                <w:color w:val="auto"/>
              </w:rPr>
            </w:pPr>
          </w:p>
        </w:tc>
        <w:tc>
          <w:tcPr>
            <w:tcW w:w="78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w w:val="94"/>
              </w:rPr>
              <w:t>16,566,405</w:t>
            </w:r>
          </w:p>
        </w:tc>
      </w:tr>
      <w:tr>
        <w:trPr>
          <w:trHeight w:val="130"/>
        </w:trPr>
        <w:tc>
          <w:tcPr>
            <w:tcW w:w="2180" w:type="dxa"/>
            <w:vAlign w:val="bottom"/>
          </w:tcPr>
          <w:p>
            <w:pPr>
              <w:ind w:left="100"/>
              <w:spacing w:after="0" w:line="130" w:lineRule="exact"/>
              <w:rPr>
                <w:sz w:val="20"/>
                <w:szCs w:val="20"/>
                <w:color w:val="auto"/>
              </w:rPr>
            </w:pPr>
            <w:r>
              <w:rPr>
                <w:rFonts w:ascii="Arial" w:cs="Arial" w:eastAsia="Arial" w:hAnsi="Arial"/>
                <w:sz w:val="14"/>
                <w:szCs w:val="14"/>
                <w:color w:val="auto"/>
                <w:w w:val="94"/>
              </w:rPr>
              <w:t>Shares issued upon conversions of</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180" w:type="dxa"/>
            <w:vAlign w:val="bottom"/>
          </w:tcPr>
          <w:p>
            <w:pPr>
              <w:ind w:left="180"/>
              <w:spacing w:after="0"/>
              <w:rPr>
                <w:sz w:val="20"/>
                <w:szCs w:val="20"/>
                <w:color w:val="auto"/>
              </w:rPr>
            </w:pPr>
            <w:r>
              <w:rPr>
                <w:rFonts w:ascii="Arial" w:cs="Arial" w:eastAsia="Arial" w:hAnsi="Arial"/>
                <w:sz w:val="14"/>
                <w:szCs w:val="14"/>
                <w:color w:val="auto"/>
              </w:rPr>
              <w:t>debts</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955,716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956</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4,777,602</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4,778,558</w:t>
            </w:r>
          </w:p>
        </w:tc>
      </w:tr>
      <w:tr>
        <w:trPr>
          <w:trHeight w:val="130"/>
        </w:trPr>
        <w:tc>
          <w:tcPr>
            <w:tcW w:w="2180" w:type="dxa"/>
            <w:vAlign w:val="bottom"/>
            <w:shd w:val="clear" w:color="auto" w:fill="EEEEEE"/>
          </w:tcPr>
          <w:p>
            <w:pPr>
              <w:ind w:left="100"/>
              <w:spacing w:after="0" w:line="130" w:lineRule="exact"/>
              <w:rPr>
                <w:sz w:val="20"/>
                <w:szCs w:val="20"/>
                <w:color w:val="auto"/>
              </w:rPr>
            </w:pPr>
            <w:r>
              <w:rPr>
                <w:rFonts w:ascii="Arial" w:cs="Arial" w:eastAsia="Arial" w:hAnsi="Arial"/>
                <w:sz w:val="14"/>
                <w:szCs w:val="14"/>
                <w:color w:val="auto"/>
              </w:rPr>
              <w:t>Shares issued upon exercise of</w:t>
            </w:r>
          </w:p>
        </w:tc>
        <w:tc>
          <w:tcPr>
            <w:tcW w:w="6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5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7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5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6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7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5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7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6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r>
      <w:tr>
        <w:trPr>
          <w:trHeight w:val="167"/>
        </w:trPr>
        <w:tc>
          <w:tcPr>
            <w:tcW w:w="2180" w:type="dxa"/>
            <w:vAlign w:val="bottom"/>
            <w:shd w:val="clear" w:color="auto" w:fill="EEEEEE"/>
          </w:tcPr>
          <w:p>
            <w:pPr>
              <w:ind w:left="180"/>
              <w:spacing w:after="0"/>
              <w:rPr>
                <w:sz w:val="20"/>
                <w:szCs w:val="20"/>
                <w:color w:val="auto"/>
              </w:rPr>
            </w:pPr>
            <w:r>
              <w:rPr>
                <w:rFonts w:ascii="Arial" w:cs="Arial" w:eastAsia="Arial" w:hAnsi="Arial"/>
                <w:sz w:val="14"/>
                <w:szCs w:val="14"/>
                <w:color w:val="auto"/>
              </w:rPr>
              <w:t>warrants</w:t>
            </w:r>
          </w:p>
        </w:tc>
        <w:tc>
          <w:tcPr>
            <w:tcW w:w="74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24,451</w:t>
            </w:r>
          </w:p>
        </w:tc>
        <w:tc>
          <w:tcPr>
            <w:tcW w:w="10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4"/>
                <w:szCs w:val="14"/>
                <w:color w:val="auto"/>
              </w:rPr>
              <w:t>25</w:t>
            </w:r>
          </w:p>
        </w:tc>
        <w:tc>
          <w:tcPr>
            <w:tcW w:w="82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780" w:type="dxa"/>
            <w:vAlign w:val="bottom"/>
            <w:gridSpan w:val="2"/>
            <w:shd w:val="clear" w:color="auto" w:fill="EEEEEE"/>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EEEEEE"/>
          </w:tcPr>
          <w:p>
            <w:pPr>
              <w:spacing w:after="0"/>
              <w:rPr>
                <w:sz w:val="14"/>
                <w:szCs w:val="14"/>
                <w:color w:val="auto"/>
              </w:rPr>
            </w:pPr>
          </w:p>
        </w:tc>
        <w:tc>
          <w:tcPr>
            <w:tcW w:w="680" w:type="dxa"/>
            <w:vAlign w:val="bottom"/>
            <w:gridSpan w:val="2"/>
            <w:shd w:val="clear" w:color="auto" w:fill="EEEEEE"/>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880" w:type="dxa"/>
            <w:vAlign w:val="bottom"/>
            <w:gridSpan w:val="2"/>
            <w:shd w:val="clear" w:color="auto" w:fill="EEEEEE"/>
          </w:tcPr>
          <w:p>
            <w:pPr>
              <w:jc w:val="right"/>
              <w:ind w:right="200"/>
              <w:spacing w:after="0"/>
              <w:rPr>
                <w:sz w:val="20"/>
                <w:szCs w:val="20"/>
                <w:color w:val="auto"/>
              </w:rPr>
            </w:pPr>
            <w:r>
              <w:rPr>
                <w:rFonts w:ascii="Arial" w:cs="Arial" w:eastAsia="Arial" w:hAnsi="Arial"/>
                <w:sz w:val="14"/>
                <w:szCs w:val="14"/>
                <w:color w:val="auto"/>
              </w:rPr>
              <w:t>36,679</w:t>
            </w:r>
          </w:p>
        </w:tc>
        <w:tc>
          <w:tcPr>
            <w:tcW w:w="82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780" w:type="dxa"/>
            <w:vAlign w:val="bottom"/>
            <w:gridSpan w:val="2"/>
            <w:shd w:val="clear" w:color="auto" w:fill="EEEEEE"/>
          </w:tcPr>
          <w:p>
            <w:pPr>
              <w:jc w:val="right"/>
              <w:ind w:right="159"/>
              <w:spacing w:after="0"/>
              <w:rPr>
                <w:sz w:val="20"/>
                <w:szCs w:val="20"/>
                <w:color w:val="auto"/>
              </w:rPr>
            </w:pPr>
            <w:r>
              <w:rPr>
                <w:rFonts w:ascii="Arial" w:cs="Arial" w:eastAsia="Arial" w:hAnsi="Arial"/>
                <w:sz w:val="14"/>
                <w:szCs w:val="14"/>
                <w:color w:val="auto"/>
              </w:rPr>
              <w:t>–</w:t>
            </w:r>
          </w:p>
        </w:tc>
        <w:tc>
          <w:tcPr>
            <w:tcW w:w="200" w:type="dxa"/>
            <w:vAlign w:val="bottom"/>
            <w:shd w:val="clear" w:color="auto" w:fill="EEEEEE"/>
          </w:tcPr>
          <w:p>
            <w:pPr>
              <w:spacing w:after="0"/>
              <w:rPr>
                <w:sz w:val="14"/>
                <w:szCs w:val="14"/>
                <w:color w:val="auto"/>
              </w:rPr>
            </w:pPr>
          </w:p>
        </w:tc>
        <w:tc>
          <w:tcPr>
            <w:tcW w:w="92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EEEEEE"/>
          </w:tcPr>
          <w:p>
            <w:pPr>
              <w:spacing w:after="0"/>
              <w:rPr>
                <w:sz w:val="14"/>
                <w:szCs w:val="14"/>
                <w:color w:val="auto"/>
              </w:rPr>
            </w:pPr>
          </w:p>
        </w:tc>
        <w:tc>
          <w:tcPr>
            <w:tcW w:w="78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36,704</w:t>
            </w:r>
          </w:p>
        </w:tc>
      </w:tr>
      <w:tr>
        <w:trPr>
          <w:trHeight w:val="148"/>
        </w:trPr>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Restricted stock units vested</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110,683</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110,683</w:t>
            </w:r>
          </w:p>
        </w:tc>
      </w:tr>
      <w:tr>
        <w:trPr>
          <w:trHeight w:val="162"/>
        </w:trPr>
        <w:tc>
          <w:tcPr>
            <w:tcW w:w="2180" w:type="dxa"/>
            <w:vAlign w:val="bottom"/>
            <w:shd w:val="clear" w:color="auto" w:fill="EEEEEE"/>
          </w:tcPr>
          <w:p>
            <w:pPr>
              <w:ind w:left="100"/>
              <w:spacing w:after="0"/>
              <w:rPr>
                <w:sz w:val="20"/>
                <w:szCs w:val="20"/>
                <w:color w:val="auto"/>
              </w:rPr>
            </w:pPr>
            <w:r>
              <w:rPr>
                <w:rFonts w:ascii="Arial" w:cs="Arial" w:eastAsia="Arial" w:hAnsi="Arial"/>
                <w:sz w:val="14"/>
                <w:szCs w:val="14"/>
                <w:color w:val="auto"/>
              </w:rPr>
              <w:t>Warrants</w:t>
            </w:r>
          </w:p>
        </w:tc>
        <w:tc>
          <w:tcPr>
            <w:tcW w:w="74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780" w:type="dxa"/>
            <w:vAlign w:val="bottom"/>
            <w:gridSpan w:val="2"/>
            <w:shd w:val="clear" w:color="auto" w:fill="EEEEEE"/>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EEEEEE"/>
          </w:tcPr>
          <w:p>
            <w:pPr>
              <w:spacing w:after="0"/>
              <w:rPr>
                <w:sz w:val="14"/>
                <w:szCs w:val="14"/>
                <w:color w:val="auto"/>
              </w:rPr>
            </w:pPr>
          </w:p>
        </w:tc>
        <w:tc>
          <w:tcPr>
            <w:tcW w:w="680" w:type="dxa"/>
            <w:vAlign w:val="bottom"/>
            <w:gridSpan w:val="2"/>
            <w:shd w:val="clear" w:color="auto" w:fill="EEEEEE"/>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880" w:type="dxa"/>
            <w:vAlign w:val="bottom"/>
            <w:gridSpan w:val="2"/>
            <w:shd w:val="clear" w:color="auto" w:fill="EEEEEE"/>
          </w:tcPr>
          <w:p>
            <w:pPr>
              <w:jc w:val="right"/>
              <w:ind w:right="200"/>
              <w:spacing w:after="0"/>
              <w:rPr>
                <w:sz w:val="20"/>
                <w:szCs w:val="20"/>
                <w:color w:val="auto"/>
              </w:rPr>
            </w:pPr>
            <w:r>
              <w:rPr>
                <w:rFonts w:ascii="Arial" w:cs="Arial" w:eastAsia="Arial" w:hAnsi="Arial"/>
                <w:sz w:val="14"/>
                <w:szCs w:val="14"/>
                <w:color w:val="auto"/>
              </w:rPr>
              <w:t>1,324,668</w:t>
            </w:r>
          </w:p>
        </w:tc>
        <w:tc>
          <w:tcPr>
            <w:tcW w:w="82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780" w:type="dxa"/>
            <w:vAlign w:val="bottom"/>
            <w:gridSpan w:val="2"/>
            <w:shd w:val="clear" w:color="auto" w:fill="EEEEEE"/>
          </w:tcPr>
          <w:p>
            <w:pPr>
              <w:jc w:val="right"/>
              <w:ind w:right="159"/>
              <w:spacing w:after="0"/>
              <w:rPr>
                <w:sz w:val="20"/>
                <w:szCs w:val="20"/>
                <w:color w:val="auto"/>
              </w:rPr>
            </w:pPr>
            <w:r>
              <w:rPr>
                <w:rFonts w:ascii="Arial" w:cs="Arial" w:eastAsia="Arial" w:hAnsi="Arial"/>
                <w:sz w:val="14"/>
                <w:szCs w:val="14"/>
                <w:color w:val="auto"/>
              </w:rPr>
              <w:t>–</w:t>
            </w:r>
          </w:p>
        </w:tc>
        <w:tc>
          <w:tcPr>
            <w:tcW w:w="200" w:type="dxa"/>
            <w:vAlign w:val="bottom"/>
            <w:shd w:val="clear" w:color="auto" w:fill="EEEEEE"/>
          </w:tcPr>
          <w:p>
            <w:pPr>
              <w:spacing w:after="0"/>
              <w:rPr>
                <w:sz w:val="14"/>
                <w:szCs w:val="14"/>
                <w:color w:val="auto"/>
              </w:rPr>
            </w:pPr>
          </w:p>
        </w:tc>
        <w:tc>
          <w:tcPr>
            <w:tcW w:w="92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EEEEEE"/>
          </w:tcPr>
          <w:p>
            <w:pPr>
              <w:spacing w:after="0"/>
              <w:rPr>
                <w:sz w:val="14"/>
                <w:szCs w:val="14"/>
                <w:color w:val="auto"/>
              </w:rPr>
            </w:pPr>
          </w:p>
        </w:tc>
        <w:tc>
          <w:tcPr>
            <w:tcW w:w="78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1,324,668</w:t>
            </w:r>
          </w:p>
        </w:tc>
      </w:tr>
      <w:tr>
        <w:trPr>
          <w:trHeight w:val="142"/>
        </w:trPr>
        <w:tc>
          <w:tcPr>
            <w:tcW w:w="2180" w:type="dxa"/>
            <w:vAlign w:val="bottom"/>
          </w:tcPr>
          <w:p>
            <w:pPr>
              <w:spacing w:after="0" w:line="142" w:lineRule="exact"/>
              <w:rPr>
                <w:sz w:val="20"/>
                <w:szCs w:val="20"/>
                <w:color w:val="auto"/>
              </w:rPr>
            </w:pPr>
            <w:r>
              <w:rPr>
                <w:rFonts w:ascii="Arial" w:cs="Arial" w:eastAsia="Arial" w:hAnsi="Arial"/>
                <w:sz w:val="14"/>
                <w:szCs w:val="14"/>
                <w:color w:val="auto"/>
              </w:rPr>
              <w:t>Balance, June 30, 2021</w:t>
            </w: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26,448,663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26,449</w:t>
            </w:r>
          </w:p>
        </w:tc>
        <w:tc>
          <w:tcPr>
            <w:tcW w:w="18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23,214,263</w:t>
            </w:r>
          </w:p>
        </w:tc>
        <w:tc>
          <w:tcPr>
            <w:tcW w:w="20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1,745,073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24,985,785</w:t>
            </w:r>
          </w:p>
        </w:tc>
        <w:tc>
          <w:tcPr>
            <w:tcW w:w="100" w:type="dxa"/>
            <w:vAlign w:val="bottom"/>
          </w:tcPr>
          <w:p>
            <w:pPr>
              <w:spacing w:after="0"/>
              <w:rPr>
                <w:sz w:val="12"/>
                <w:szCs w:val="12"/>
                <w:color w:val="auto"/>
              </w:rPr>
            </w:pPr>
          </w:p>
        </w:tc>
      </w:tr>
      <w:tr>
        <w:trPr>
          <w:trHeight w:val="148"/>
        </w:trPr>
        <w:tc>
          <w:tcPr>
            <w:tcW w:w="2180" w:type="dxa"/>
            <w:vAlign w:val="bottom"/>
            <w:shd w:val="clear" w:color="auto" w:fill="EEEEEE"/>
          </w:tcPr>
          <w:p>
            <w:pPr>
              <w:ind w:left="100"/>
              <w:spacing w:after="0" w:line="149" w:lineRule="exact"/>
              <w:rPr>
                <w:sz w:val="20"/>
                <w:szCs w:val="20"/>
                <w:color w:val="auto"/>
              </w:rPr>
            </w:pPr>
            <w:r>
              <w:rPr>
                <w:rFonts w:ascii="Arial" w:cs="Arial" w:eastAsia="Arial" w:hAnsi="Arial"/>
                <w:sz w:val="14"/>
                <w:szCs w:val="14"/>
                <w:color w:val="auto"/>
              </w:rPr>
              <w:t>Net income</w:t>
            </w:r>
          </w:p>
        </w:tc>
        <w:tc>
          <w:tcPr>
            <w:tcW w:w="7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740" w:type="dxa"/>
            <w:vAlign w:val="bottom"/>
            <w:gridSpan w:val="2"/>
            <w:shd w:val="clear" w:color="auto" w:fill="EEEEEE"/>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780" w:type="dxa"/>
            <w:vAlign w:val="bottom"/>
            <w:gridSpan w:val="2"/>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EEEEE"/>
          </w:tcPr>
          <w:p>
            <w:pPr>
              <w:spacing w:after="0"/>
              <w:rPr>
                <w:sz w:val="12"/>
                <w:szCs w:val="12"/>
                <w:color w:val="auto"/>
              </w:rPr>
            </w:pPr>
          </w:p>
        </w:tc>
        <w:tc>
          <w:tcPr>
            <w:tcW w:w="680" w:type="dxa"/>
            <w:vAlign w:val="bottom"/>
            <w:gridSpan w:val="2"/>
            <w:shd w:val="clear" w:color="auto" w:fill="EEEEEE"/>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880" w:type="dxa"/>
            <w:vAlign w:val="bottom"/>
            <w:gridSpan w:val="2"/>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1,517,875</w:t>
            </w:r>
          </w:p>
        </w:tc>
        <w:tc>
          <w:tcPr>
            <w:tcW w:w="1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780" w:type="dxa"/>
            <w:vAlign w:val="bottom"/>
            <w:gridSpan w:val="2"/>
            <w:shd w:val="clear" w:color="auto" w:fill="EEEEEE"/>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EEEEE"/>
          </w:tcPr>
          <w:p>
            <w:pPr>
              <w:spacing w:after="0"/>
              <w:rPr>
                <w:sz w:val="12"/>
                <w:szCs w:val="12"/>
                <w:color w:val="auto"/>
              </w:rPr>
            </w:pPr>
          </w:p>
        </w:tc>
        <w:tc>
          <w:tcPr>
            <w:tcW w:w="9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EEEEE"/>
          </w:tcPr>
          <w:p>
            <w:pPr>
              <w:spacing w:after="0"/>
              <w:rPr>
                <w:sz w:val="12"/>
                <w:szCs w:val="12"/>
                <w:color w:val="auto"/>
              </w:rPr>
            </w:pPr>
          </w:p>
        </w:tc>
        <w:tc>
          <w:tcPr>
            <w:tcW w:w="78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1,517,875</w:t>
            </w:r>
          </w:p>
        </w:tc>
      </w:tr>
      <w:tr>
        <w:trPr>
          <w:trHeight w:val="148"/>
        </w:trPr>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Non-controlling interest</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(13,232)</w:t>
            </w:r>
          </w:p>
        </w:tc>
        <w:tc>
          <w:tcPr>
            <w:tcW w:w="2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(13,232)</w:t>
            </w:r>
          </w:p>
        </w:tc>
      </w:tr>
      <w:tr>
        <w:trPr>
          <w:trHeight w:val="130"/>
        </w:trPr>
        <w:tc>
          <w:tcPr>
            <w:tcW w:w="2180" w:type="dxa"/>
            <w:vAlign w:val="bottom"/>
            <w:shd w:val="clear" w:color="auto" w:fill="EEEEEE"/>
          </w:tcPr>
          <w:p>
            <w:pPr>
              <w:ind w:left="100"/>
              <w:spacing w:after="0" w:line="130" w:lineRule="exact"/>
              <w:rPr>
                <w:sz w:val="20"/>
                <w:szCs w:val="20"/>
                <w:color w:val="auto"/>
              </w:rPr>
            </w:pPr>
            <w:r>
              <w:rPr>
                <w:rFonts w:ascii="Arial" w:cs="Arial" w:eastAsia="Arial" w:hAnsi="Arial"/>
                <w:sz w:val="14"/>
                <w:szCs w:val="14"/>
                <w:color w:val="auto"/>
                <w:w w:val="94"/>
              </w:rPr>
              <w:t>Restricted shares issued for vested</w:t>
            </w:r>
          </w:p>
        </w:tc>
        <w:tc>
          <w:tcPr>
            <w:tcW w:w="6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5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7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5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6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7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5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7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6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r>
      <w:tr>
        <w:trPr>
          <w:trHeight w:val="167"/>
        </w:trPr>
        <w:tc>
          <w:tcPr>
            <w:tcW w:w="2180" w:type="dxa"/>
            <w:vAlign w:val="bottom"/>
            <w:shd w:val="clear" w:color="auto" w:fill="EEEEEE"/>
          </w:tcPr>
          <w:p>
            <w:pPr>
              <w:ind w:left="180"/>
              <w:spacing w:after="0"/>
              <w:rPr>
                <w:sz w:val="20"/>
                <w:szCs w:val="20"/>
                <w:color w:val="auto"/>
              </w:rPr>
            </w:pPr>
            <w:r>
              <w:rPr>
                <w:rFonts w:ascii="Arial" w:cs="Arial" w:eastAsia="Arial" w:hAnsi="Arial"/>
                <w:sz w:val="14"/>
                <w:szCs w:val="14"/>
                <w:color w:val="auto"/>
              </w:rPr>
              <w:t>RSUs</w:t>
            </w:r>
          </w:p>
        </w:tc>
        <w:tc>
          <w:tcPr>
            <w:tcW w:w="74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40,019</w:t>
            </w:r>
          </w:p>
        </w:tc>
        <w:tc>
          <w:tcPr>
            <w:tcW w:w="10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4"/>
                <w:szCs w:val="14"/>
                <w:color w:val="auto"/>
              </w:rPr>
              <w:t>40</w:t>
            </w:r>
          </w:p>
        </w:tc>
        <w:tc>
          <w:tcPr>
            <w:tcW w:w="82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780" w:type="dxa"/>
            <w:vAlign w:val="bottom"/>
            <w:gridSpan w:val="2"/>
            <w:shd w:val="clear" w:color="auto" w:fill="EEEEEE"/>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EEEEEE"/>
          </w:tcPr>
          <w:p>
            <w:pPr>
              <w:spacing w:after="0"/>
              <w:rPr>
                <w:sz w:val="14"/>
                <w:szCs w:val="14"/>
                <w:color w:val="auto"/>
              </w:rPr>
            </w:pPr>
          </w:p>
        </w:tc>
        <w:tc>
          <w:tcPr>
            <w:tcW w:w="680" w:type="dxa"/>
            <w:vAlign w:val="bottom"/>
            <w:gridSpan w:val="2"/>
            <w:shd w:val="clear" w:color="auto" w:fill="EEEEEE"/>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880" w:type="dxa"/>
            <w:vAlign w:val="bottom"/>
            <w:gridSpan w:val="2"/>
            <w:shd w:val="clear" w:color="auto" w:fill="EEEEEE"/>
          </w:tcPr>
          <w:p>
            <w:pPr>
              <w:jc w:val="right"/>
              <w:ind w:right="140"/>
              <w:spacing w:after="0"/>
              <w:rPr>
                <w:sz w:val="20"/>
                <w:szCs w:val="20"/>
                <w:color w:val="auto"/>
              </w:rPr>
            </w:pPr>
            <w:r>
              <w:rPr>
                <w:rFonts w:ascii="Arial" w:cs="Arial" w:eastAsia="Arial" w:hAnsi="Arial"/>
                <w:sz w:val="14"/>
                <w:szCs w:val="14"/>
                <w:color w:val="auto"/>
              </w:rPr>
              <w:t>(40)</w:t>
            </w:r>
          </w:p>
        </w:tc>
        <w:tc>
          <w:tcPr>
            <w:tcW w:w="82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780" w:type="dxa"/>
            <w:vAlign w:val="bottom"/>
            <w:gridSpan w:val="2"/>
            <w:shd w:val="clear" w:color="auto" w:fill="EEEEEE"/>
          </w:tcPr>
          <w:p>
            <w:pPr>
              <w:jc w:val="right"/>
              <w:ind w:right="159"/>
              <w:spacing w:after="0"/>
              <w:rPr>
                <w:sz w:val="20"/>
                <w:szCs w:val="20"/>
                <w:color w:val="auto"/>
              </w:rPr>
            </w:pPr>
            <w:r>
              <w:rPr>
                <w:rFonts w:ascii="Arial" w:cs="Arial" w:eastAsia="Arial" w:hAnsi="Arial"/>
                <w:sz w:val="14"/>
                <w:szCs w:val="14"/>
                <w:color w:val="auto"/>
              </w:rPr>
              <w:t>–</w:t>
            </w:r>
          </w:p>
        </w:tc>
        <w:tc>
          <w:tcPr>
            <w:tcW w:w="200" w:type="dxa"/>
            <w:vAlign w:val="bottom"/>
            <w:shd w:val="clear" w:color="auto" w:fill="EEEEEE"/>
          </w:tcPr>
          <w:p>
            <w:pPr>
              <w:spacing w:after="0"/>
              <w:rPr>
                <w:sz w:val="14"/>
                <w:szCs w:val="14"/>
                <w:color w:val="auto"/>
              </w:rPr>
            </w:pPr>
          </w:p>
        </w:tc>
        <w:tc>
          <w:tcPr>
            <w:tcW w:w="92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EEEEEE"/>
          </w:tcPr>
          <w:p>
            <w:pPr>
              <w:spacing w:after="0"/>
              <w:rPr>
                <w:sz w:val="14"/>
                <w:szCs w:val="14"/>
                <w:color w:val="auto"/>
              </w:rPr>
            </w:pPr>
          </w:p>
        </w:tc>
        <w:tc>
          <w:tcPr>
            <w:tcW w:w="78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w:t>
            </w:r>
          </w:p>
        </w:tc>
      </w:tr>
      <w:tr>
        <w:trPr>
          <w:trHeight w:val="148"/>
        </w:trPr>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Stock-based compensation</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372,351</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372,351</w:t>
            </w:r>
          </w:p>
        </w:tc>
      </w:tr>
      <w:tr>
        <w:trPr>
          <w:trHeight w:val="148"/>
        </w:trPr>
        <w:tc>
          <w:tcPr>
            <w:tcW w:w="2180" w:type="dxa"/>
            <w:vAlign w:val="bottom"/>
            <w:shd w:val="clear" w:color="auto" w:fill="EEEEEE"/>
          </w:tcPr>
          <w:p>
            <w:pPr>
              <w:ind w:left="100"/>
              <w:spacing w:after="0" w:line="149" w:lineRule="exact"/>
              <w:rPr>
                <w:sz w:val="20"/>
                <w:szCs w:val="20"/>
                <w:color w:val="auto"/>
              </w:rPr>
            </w:pPr>
            <w:r>
              <w:rPr>
                <w:rFonts w:ascii="Arial" w:cs="Arial" w:eastAsia="Arial" w:hAnsi="Arial"/>
                <w:sz w:val="14"/>
                <w:szCs w:val="14"/>
                <w:color w:val="auto"/>
              </w:rPr>
              <w:t>Shares issued for acquisition</w:t>
            </w:r>
          </w:p>
        </w:tc>
        <w:tc>
          <w:tcPr>
            <w:tcW w:w="7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w w:val="99"/>
              </w:rPr>
              <w:t>3,083,700</w:t>
            </w:r>
          </w:p>
        </w:tc>
        <w:tc>
          <w:tcPr>
            <w:tcW w:w="1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740" w:type="dxa"/>
            <w:vAlign w:val="bottom"/>
            <w:gridSpan w:val="2"/>
            <w:shd w:val="clear" w:color="auto" w:fill="EEEEEE"/>
          </w:tcPr>
          <w:p>
            <w:pPr>
              <w:jc w:val="right"/>
              <w:ind w:right="180"/>
              <w:spacing w:after="0" w:line="149" w:lineRule="exact"/>
              <w:rPr>
                <w:sz w:val="20"/>
                <w:szCs w:val="20"/>
                <w:color w:val="auto"/>
              </w:rPr>
            </w:pPr>
            <w:r>
              <w:rPr>
                <w:rFonts w:ascii="Arial" w:cs="Arial" w:eastAsia="Arial" w:hAnsi="Arial"/>
                <w:sz w:val="14"/>
                <w:szCs w:val="14"/>
                <w:color w:val="auto"/>
              </w:rPr>
              <w:t>3,084</w:t>
            </w:r>
          </w:p>
        </w:tc>
        <w:tc>
          <w:tcPr>
            <w:tcW w:w="82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780" w:type="dxa"/>
            <w:vAlign w:val="bottom"/>
            <w:gridSpan w:val="2"/>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EEEEE"/>
          </w:tcPr>
          <w:p>
            <w:pPr>
              <w:spacing w:after="0"/>
              <w:rPr>
                <w:sz w:val="12"/>
                <w:szCs w:val="12"/>
                <w:color w:val="auto"/>
              </w:rPr>
            </w:pPr>
          </w:p>
        </w:tc>
        <w:tc>
          <w:tcPr>
            <w:tcW w:w="680" w:type="dxa"/>
            <w:vAlign w:val="bottom"/>
            <w:gridSpan w:val="2"/>
            <w:shd w:val="clear" w:color="auto" w:fill="EEEEEE"/>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880" w:type="dxa"/>
            <w:vAlign w:val="bottom"/>
            <w:gridSpan w:val="2"/>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5,525,289</w:t>
            </w:r>
          </w:p>
        </w:tc>
        <w:tc>
          <w:tcPr>
            <w:tcW w:w="82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780" w:type="dxa"/>
            <w:vAlign w:val="bottom"/>
            <w:gridSpan w:val="2"/>
            <w:shd w:val="clear" w:color="auto" w:fill="EEEEEE"/>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EEEEE"/>
          </w:tcPr>
          <w:p>
            <w:pPr>
              <w:spacing w:after="0"/>
              <w:rPr>
                <w:sz w:val="12"/>
                <w:szCs w:val="12"/>
                <w:color w:val="auto"/>
              </w:rPr>
            </w:pPr>
          </w:p>
        </w:tc>
        <w:tc>
          <w:tcPr>
            <w:tcW w:w="9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EEEEE"/>
          </w:tcPr>
          <w:p>
            <w:pPr>
              <w:spacing w:after="0"/>
              <w:rPr>
                <w:sz w:val="12"/>
                <w:szCs w:val="12"/>
                <w:color w:val="auto"/>
              </w:rPr>
            </w:pPr>
          </w:p>
        </w:tc>
        <w:tc>
          <w:tcPr>
            <w:tcW w:w="78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5,528,373</w:t>
            </w:r>
          </w:p>
        </w:tc>
      </w:tr>
      <w:tr>
        <w:trPr>
          <w:trHeight w:val="130"/>
        </w:trPr>
        <w:tc>
          <w:tcPr>
            <w:tcW w:w="2180" w:type="dxa"/>
            <w:vAlign w:val="bottom"/>
          </w:tcPr>
          <w:p>
            <w:pPr>
              <w:ind w:left="100"/>
              <w:spacing w:after="0" w:line="130" w:lineRule="exact"/>
              <w:rPr>
                <w:sz w:val="20"/>
                <w:szCs w:val="20"/>
                <w:color w:val="auto"/>
              </w:rPr>
            </w:pPr>
            <w:r>
              <w:rPr>
                <w:rFonts w:ascii="Arial" w:cs="Arial" w:eastAsia="Arial" w:hAnsi="Arial"/>
                <w:sz w:val="14"/>
                <w:szCs w:val="14"/>
                <w:color w:val="auto"/>
              </w:rPr>
              <w:t>Foreign currency translation</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180" w:type="dxa"/>
            <w:vAlign w:val="bottom"/>
          </w:tcPr>
          <w:p>
            <w:pPr>
              <w:ind w:left="180"/>
              <w:spacing w:after="0"/>
              <w:rPr>
                <w:sz w:val="20"/>
                <w:szCs w:val="20"/>
                <w:color w:val="auto"/>
              </w:rPr>
            </w:pPr>
            <w:r>
              <w:rPr>
                <w:rFonts w:ascii="Arial" w:cs="Arial" w:eastAsia="Arial" w:hAnsi="Arial"/>
                <w:sz w:val="14"/>
                <w:szCs w:val="14"/>
                <w:color w:val="auto"/>
              </w:rPr>
              <w:t>adjustments</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5,678</w:t>
            </w:r>
          </w:p>
        </w:tc>
        <w:tc>
          <w:tcPr>
            <w:tcW w:w="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5,678</w:t>
            </w:r>
          </w:p>
        </w:tc>
      </w:tr>
      <w:tr>
        <w:trPr>
          <w:trHeight w:val="155"/>
        </w:trPr>
        <w:tc>
          <w:tcPr>
            <w:tcW w:w="2180" w:type="dxa"/>
            <w:vAlign w:val="bottom"/>
            <w:tcBorders>
              <w:top w:val="single" w:sz="8" w:color="EEEEEE"/>
              <w:bottom w:val="single" w:sz="8" w:color="EEEEEE"/>
            </w:tcBorders>
            <w:shd w:val="clear" w:color="auto" w:fill="EEEEEE"/>
          </w:tcPr>
          <w:p>
            <w:pPr>
              <w:spacing w:after="0" w:line="155" w:lineRule="exact"/>
              <w:rPr>
                <w:sz w:val="20"/>
                <w:szCs w:val="20"/>
                <w:color w:val="auto"/>
              </w:rPr>
            </w:pPr>
            <w:r>
              <w:rPr>
                <w:rFonts w:ascii="Arial" w:cs="Arial" w:eastAsia="Arial" w:hAnsi="Arial"/>
                <w:sz w:val="14"/>
                <w:szCs w:val="14"/>
                <w:color w:val="auto"/>
              </w:rPr>
              <w:t>Balance June 30, 2022</w:t>
            </w:r>
          </w:p>
        </w:tc>
        <w:tc>
          <w:tcPr>
            <w:tcW w:w="640" w:type="dxa"/>
            <w:vAlign w:val="bottom"/>
            <w:tcBorders>
              <w:top w:val="single" w:sz="8" w:color="auto"/>
              <w:bottom w:val="single" w:sz="8" w:color="auto"/>
            </w:tcBorders>
            <w:shd w:val="clear" w:color="auto" w:fill="EEEEEE"/>
          </w:tcPr>
          <w:p>
            <w:pPr>
              <w:jc w:val="center"/>
              <w:spacing w:after="0" w:line="155" w:lineRule="exact"/>
              <w:rPr>
                <w:sz w:val="20"/>
                <w:szCs w:val="20"/>
                <w:color w:val="auto"/>
              </w:rPr>
            </w:pPr>
            <w:r>
              <w:rPr>
                <w:rFonts w:ascii="Arial" w:cs="Arial" w:eastAsia="Arial" w:hAnsi="Arial"/>
                <w:sz w:val="14"/>
                <w:szCs w:val="14"/>
                <w:color w:val="auto"/>
                <w:w w:val="91"/>
              </w:rPr>
              <w:t>29,572,382</w:t>
            </w:r>
          </w:p>
        </w:tc>
        <w:tc>
          <w:tcPr>
            <w:tcW w:w="100" w:type="dxa"/>
            <w:vAlign w:val="bottom"/>
            <w:tcBorders>
              <w:top w:val="single" w:sz="8" w:color="EEEEEE"/>
              <w:bottom w:val="single" w:sz="8" w:color="EEEEEE"/>
            </w:tcBorders>
            <w:shd w:val="clear" w:color="auto" w:fill="EEEEEE"/>
          </w:tcPr>
          <w:p>
            <w:pPr>
              <w:spacing w:after="0"/>
              <w:rPr>
                <w:sz w:val="13"/>
                <w:szCs w:val="13"/>
                <w:color w:val="auto"/>
              </w:rPr>
            </w:pPr>
          </w:p>
        </w:tc>
        <w:tc>
          <w:tcPr>
            <w:tcW w:w="100" w:type="dxa"/>
            <w:vAlign w:val="bottom"/>
            <w:tcBorders>
              <w:top w:val="single" w:sz="8" w:color="EEEEEE"/>
              <w:bottom w:val="single" w:sz="8" w:color="EEEEEE"/>
            </w:tcBorders>
            <w:shd w:val="clear" w:color="auto" w:fill="EEEEEE"/>
          </w:tcPr>
          <w:p>
            <w:pPr>
              <w:spacing w:after="0"/>
              <w:rPr>
                <w:sz w:val="13"/>
                <w:szCs w:val="13"/>
                <w:color w:val="auto"/>
              </w:rPr>
            </w:pPr>
          </w:p>
        </w:tc>
        <w:tc>
          <w:tcPr>
            <w:tcW w:w="8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29,573</w:t>
            </w:r>
          </w:p>
        </w:tc>
        <w:tc>
          <w:tcPr>
            <w:tcW w:w="180" w:type="dxa"/>
            <w:vAlign w:val="bottom"/>
            <w:tcBorders>
              <w:top w:val="single" w:sz="8" w:color="EEEEEE"/>
              <w:bottom w:val="single" w:sz="8" w:color="EEEEEE"/>
            </w:tcBorders>
            <w:shd w:val="clear" w:color="auto" w:fill="EEEEEE"/>
          </w:tcPr>
          <w:p>
            <w:pPr>
              <w:spacing w:after="0"/>
              <w:rPr>
                <w:sz w:val="13"/>
                <w:szCs w:val="13"/>
                <w:color w:val="auto"/>
              </w:rPr>
            </w:pPr>
          </w:p>
        </w:tc>
        <w:tc>
          <w:tcPr>
            <w:tcW w:w="70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EEEEEE"/>
              <w:bottom w:val="single" w:sz="8" w:color="EEEEEE"/>
            </w:tcBorders>
            <w:shd w:val="clear" w:color="auto" w:fill="EEEEEE"/>
          </w:tcPr>
          <w:p>
            <w:pPr>
              <w:spacing w:after="0"/>
              <w:rPr>
                <w:sz w:val="13"/>
                <w:szCs w:val="13"/>
                <w:color w:val="auto"/>
              </w:rPr>
            </w:pPr>
          </w:p>
        </w:tc>
        <w:tc>
          <w:tcPr>
            <w:tcW w:w="80" w:type="dxa"/>
            <w:vAlign w:val="bottom"/>
            <w:tcBorders>
              <w:top w:val="single" w:sz="8" w:color="EEEEEE"/>
              <w:bottom w:val="single" w:sz="8" w:color="EEEEEE"/>
            </w:tcBorders>
            <w:shd w:val="clear" w:color="auto" w:fill="EEEEEE"/>
          </w:tcPr>
          <w:p>
            <w:pPr>
              <w:spacing w:after="0"/>
              <w:rPr>
                <w:sz w:val="13"/>
                <w:szCs w:val="13"/>
                <w:color w:val="auto"/>
              </w:rPr>
            </w:pPr>
          </w:p>
        </w:tc>
        <w:tc>
          <w:tcPr>
            <w:tcW w:w="8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EEEEEE"/>
              <w:bottom w:val="single" w:sz="8" w:color="EEEEEE"/>
            </w:tcBorders>
            <w:shd w:val="clear" w:color="auto" w:fill="EEEEEE"/>
          </w:tcPr>
          <w:p>
            <w:pPr>
              <w:spacing w:after="0"/>
              <w:rPr>
                <w:sz w:val="13"/>
                <w:szCs w:val="13"/>
                <w:color w:val="auto"/>
              </w:rPr>
            </w:pPr>
          </w:p>
        </w:tc>
        <w:tc>
          <w:tcPr>
            <w:tcW w:w="180" w:type="dxa"/>
            <w:vAlign w:val="bottom"/>
            <w:tcBorders>
              <w:top w:val="single" w:sz="8" w:color="auto"/>
              <w:bottom w:val="single" w:sz="8" w:color="auto"/>
            </w:tcBorders>
            <w:shd w:val="clear" w:color="auto" w:fill="EEEEEE"/>
          </w:tcPr>
          <w:p>
            <w:pPr>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EEEEEE"/>
              <w:bottom w:val="single" w:sz="8" w:color="EEEEEE"/>
            </w:tcBorders>
            <w:shd w:val="clear" w:color="auto" w:fill="EEEEEE"/>
          </w:tcPr>
          <w:p>
            <w:pPr>
              <w:spacing w:after="0"/>
              <w:rPr>
                <w:sz w:val="13"/>
                <w:szCs w:val="13"/>
                <w:color w:val="auto"/>
              </w:rPr>
            </w:pPr>
          </w:p>
        </w:tc>
        <w:tc>
          <w:tcPr>
            <w:tcW w:w="60" w:type="dxa"/>
            <w:vAlign w:val="bottom"/>
            <w:tcBorders>
              <w:top w:val="single" w:sz="8" w:color="EEEEEE"/>
              <w:bottom w:val="single" w:sz="8" w:color="EEEEEE"/>
            </w:tcBorders>
            <w:shd w:val="clear" w:color="auto" w:fill="EEEEEE"/>
          </w:tcPr>
          <w:p>
            <w:pPr>
              <w:spacing w:after="0"/>
              <w:rPr>
                <w:sz w:val="13"/>
                <w:szCs w:val="13"/>
                <w:color w:val="auto"/>
              </w:rPr>
            </w:pPr>
          </w:p>
        </w:tc>
        <w:tc>
          <w:tcPr>
            <w:tcW w:w="8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w w:val="94"/>
              </w:rPr>
              <w:t>29,111,863</w:t>
            </w:r>
          </w:p>
        </w:tc>
        <w:tc>
          <w:tcPr>
            <w:tcW w:w="200" w:type="dxa"/>
            <w:vAlign w:val="bottom"/>
            <w:tcBorders>
              <w:top w:val="single" w:sz="8" w:color="EEEEEE"/>
              <w:bottom w:val="single" w:sz="8" w:color="EEEEEE"/>
            </w:tcBorders>
            <w:shd w:val="clear" w:color="auto" w:fill="EEEEEE"/>
          </w:tcPr>
          <w:p>
            <w:pPr>
              <w:spacing w:after="0"/>
              <w:rPr>
                <w:sz w:val="13"/>
                <w:szCs w:val="13"/>
                <w:color w:val="auto"/>
              </w:rPr>
            </w:pPr>
          </w:p>
        </w:tc>
        <w:tc>
          <w:tcPr>
            <w:tcW w:w="70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w w:val="91"/>
              </w:rPr>
              <w:t>$ 3,262,948</w:t>
            </w:r>
          </w:p>
        </w:tc>
        <w:tc>
          <w:tcPr>
            <w:tcW w:w="120" w:type="dxa"/>
            <w:vAlign w:val="bottom"/>
            <w:tcBorders>
              <w:top w:val="single" w:sz="8" w:color="EEEEEE"/>
              <w:bottom w:val="single" w:sz="8" w:color="EEEEEE"/>
            </w:tcBorders>
            <w:shd w:val="clear" w:color="auto" w:fill="EEEEEE"/>
          </w:tcPr>
          <w:p>
            <w:pPr>
              <w:spacing w:after="0"/>
              <w:rPr>
                <w:sz w:val="13"/>
                <w:szCs w:val="13"/>
                <w:color w:val="auto"/>
              </w:rPr>
            </w:pPr>
          </w:p>
        </w:tc>
        <w:tc>
          <w:tcPr>
            <w:tcW w:w="100" w:type="dxa"/>
            <w:vAlign w:val="bottom"/>
            <w:tcBorders>
              <w:top w:val="single" w:sz="8" w:color="EEEEEE"/>
              <w:bottom w:val="single" w:sz="8" w:color="EEEEEE"/>
            </w:tcBorders>
            <w:shd w:val="clear" w:color="auto" w:fill="EEEEEE"/>
          </w:tcPr>
          <w:p>
            <w:pPr>
              <w:spacing w:after="0"/>
              <w:rPr>
                <w:sz w:val="13"/>
                <w:szCs w:val="13"/>
                <w:color w:val="auto"/>
              </w:rPr>
            </w:pPr>
          </w:p>
        </w:tc>
        <w:tc>
          <w:tcPr>
            <w:tcW w:w="80" w:type="dxa"/>
            <w:vAlign w:val="bottom"/>
            <w:tcBorders>
              <w:top w:val="single" w:sz="8" w:color="auto"/>
              <w:bottom w:val="single" w:sz="8" w:color="auto"/>
            </w:tcBorders>
            <w:shd w:val="clear" w:color="auto" w:fill="EEEEEE"/>
          </w:tcPr>
          <w:p>
            <w:pPr>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(13,232</w:t>
            </w:r>
          </w:p>
        </w:tc>
        <w:tc>
          <w:tcPr>
            <w:tcW w:w="200" w:type="dxa"/>
            <w:vAlign w:val="bottom"/>
            <w:tcBorders>
              <w:top w:val="single" w:sz="8" w:color="EEEEEE"/>
              <w:bottom w:val="single" w:sz="8" w:color="EEEEEE"/>
            </w:tcBorders>
            <w:shd w:val="clear" w:color="auto" w:fill="EEEEEE"/>
          </w:tcPr>
          <w:p>
            <w:pPr>
              <w:jc w:val="right"/>
              <w:ind w:right="119"/>
              <w:spacing w:after="0"/>
              <w:rPr>
                <w:sz w:val="20"/>
                <w:szCs w:val="20"/>
                <w:color w:val="auto"/>
              </w:rPr>
            </w:pPr>
            <w:r>
              <w:rPr>
                <w:rFonts w:ascii="Arial" w:cs="Arial" w:eastAsia="Arial" w:hAnsi="Arial"/>
                <w:sz w:val="8"/>
                <w:szCs w:val="8"/>
                <w:color w:val="auto"/>
                <w:w w:val="73"/>
              </w:rPr>
              <w:t>)</w:t>
            </w:r>
          </w:p>
        </w:tc>
        <w:tc>
          <w:tcPr>
            <w:tcW w:w="200" w:type="dxa"/>
            <w:vAlign w:val="bottom"/>
            <w:tcBorders>
              <w:top w:val="single" w:sz="8" w:color="auto"/>
              <w:bottom w:val="single" w:sz="8" w:color="auto"/>
            </w:tcBorders>
            <w:shd w:val="clear" w:color="auto" w:fill="EEEEEE"/>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5,678</w:t>
            </w:r>
          </w:p>
        </w:tc>
        <w:tc>
          <w:tcPr>
            <w:tcW w:w="220" w:type="dxa"/>
            <w:vAlign w:val="bottom"/>
            <w:tcBorders>
              <w:top w:val="single" w:sz="8" w:color="EEEEEE"/>
              <w:bottom w:val="single" w:sz="8" w:color="EEEEEE"/>
            </w:tcBorders>
            <w:shd w:val="clear" w:color="auto" w:fill="EEEEEE"/>
          </w:tcPr>
          <w:p>
            <w:pPr>
              <w:spacing w:after="0"/>
              <w:rPr>
                <w:sz w:val="13"/>
                <w:szCs w:val="13"/>
                <w:color w:val="auto"/>
              </w:rPr>
            </w:pPr>
          </w:p>
        </w:tc>
        <w:tc>
          <w:tcPr>
            <w:tcW w:w="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w w:val="94"/>
              </w:rPr>
              <w:t>32,396,830</w:t>
            </w:r>
          </w:p>
        </w:tc>
        <w:tc>
          <w:tcPr>
            <w:tcW w:w="100" w:type="dxa"/>
            <w:vAlign w:val="bottom"/>
            <w:tcBorders>
              <w:top w:val="single" w:sz="8" w:color="EEEEEE"/>
              <w:bottom w:val="single" w:sz="8" w:color="EEEEEE"/>
            </w:tcBorders>
            <w:shd w:val="clear" w:color="auto" w:fill="EEEEEE"/>
          </w:tcPr>
          <w:p>
            <w:pPr>
              <w:spacing w:after="0"/>
              <w:rPr>
                <w:sz w:val="13"/>
                <w:szCs w:val="13"/>
                <w:color w:val="auto"/>
              </w:rPr>
            </w:pPr>
          </w:p>
        </w:tc>
      </w:tr>
      <w:tr>
        <w:trPr>
          <w:trHeight w:val="20"/>
        </w:trPr>
        <w:tc>
          <w:tcPr>
            <w:tcW w:w="2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November 16, 2020, the Company implemented a 2-for-1 forward split of the issued and outstanding shares of Class A Common Stock of the Company. Except shares authorized, all references to number of shares, and to per share information in the consolidated and combined financial statements have been retroactively adjusted.</w:t>
      </w:r>
    </w:p>
    <w:p>
      <w:pPr>
        <w:spacing w:after="0" w:line="184"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*On October 20, 2020, the Company issued to its Founders 14,000,000 shares of the Company’s Class B Common Stock. The issuance was considered as a nominal issuance, in substance a recapitalization transaction, which was recorded and presented retroactively as outstanding for all reporting periods.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7" w:name="page58"/>
    <w:bookmarkEnd w:id="57"/>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iPower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Years Ended June 30, 2022 and 2021</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20" w:type="dxa"/>
            <w:vAlign w:val="bottom"/>
            <w:gridSpan w:val="5"/>
          </w:tcPr>
          <w:p>
            <w:pPr>
              <w:jc w:val="right"/>
              <w:ind w:right="780"/>
              <w:spacing w:after="0"/>
              <w:rPr>
                <w:sz w:val="20"/>
                <w:szCs w:val="20"/>
                <w:color w:val="auto"/>
              </w:rPr>
            </w:pPr>
            <w:r>
              <w:rPr>
                <w:rFonts w:ascii="Arial" w:cs="Arial" w:eastAsia="Arial" w:hAnsi="Arial"/>
                <w:sz w:val="18"/>
                <w:szCs w:val="18"/>
                <w:color w:val="auto"/>
              </w:rPr>
              <w:t>For the Years Ended June 30,</w:t>
            </w:r>
          </w:p>
        </w:tc>
      </w:tr>
      <w:tr>
        <w:trPr>
          <w:trHeight w:val="230"/>
        </w:trPr>
        <w:tc>
          <w:tcPr>
            <w:tcW w:w="69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r>
      <w:tr>
        <w:trPr>
          <w:trHeight w:val="210"/>
        </w:trPr>
        <w:tc>
          <w:tcPr>
            <w:tcW w:w="6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0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1,517,875</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(775,749)</w:t>
            </w:r>
          </w:p>
        </w:tc>
      </w:tr>
      <w:tr>
        <w:trPr>
          <w:trHeight w:val="216"/>
        </w:trPr>
        <w:tc>
          <w:tcPr>
            <w:tcW w:w="69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Adjustments to reconcile net income to cash used in operating activities:</w:t>
            </w:r>
          </w:p>
        </w:tc>
        <w:tc>
          <w:tcPr>
            <w:tcW w:w="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960" w:type="dxa"/>
            <w:vAlign w:val="bottom"/>
          </w:tcPr>
          <w:p>
            <w:pPr>
              <w:ind w:left="540"/>
              <w:spacing w:after="0"/>
              <w:rPr>
                <w:sz w:val="20"/>
                <w:szCs w:val="20"/>
                <w:color w:val="auto"/>
              </w:rPr>
            </w:pPr>
            <w:r>
              <w:rPr>
                <w:rFonts w:ascii="Arial" w:cs="Arial" w:eastAsia="Arial" w:hAnsi="Arial"/>
                <w:sz w:val="18"/>
                <w:szCs w:val="18"/>
                <w:color w:val="auto"/>
              </w:rPr>
              <w:t>Depreciation and amortization expense</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277,924</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12,091</w:t>
            </w:r>
          </w:p>
        </w:tc>
      </w:tr>
      <w:tr>
        <w:trPr>
          <w:trHeight w:val="216"/>
        </w:trPr>
        <w:tc>
          <w:tcPr>
            <w:tcW w:w="6960" w:type="dxa"/>
            <w:vAlign w:val="bottom"/>
            <w:shd w:val="clear" w:color="auto" w:fill="EEEEEE"/>
          </w:tcPr>
          <w:p>
            <w:pPr>
              <w:ind w:left="540"/>
              <w:spacing w:after="0"/>
              <w:rPr>
                <w:sz w:val="20"/>
                <w:szCs w:val="20"/>
                <w:color w:val="auto"/>
              </w:rPr>
            </w:pPr>
            <w:r>
              <w:rPr>
                <w:rFonts w:ascii="Arial" w:cs="Arial" w:eastAsia="Arial" w:hAnsi="Arial"/>
                <w:sz w:val="18"/>
                <w:szCs w:val="18"/>
                <w:color w:val="auto"/>
              </w:rPr>
              <w:t>Inventory reserve</w:t>
            </w:r>
          </w:p>
        </w:tc>
        <w:tc>
          <w:tcPr>
            <w:tcW w:w="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224,426</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tcPr>
          <w:p>
            <w:pPr>
              <w:ind w:left="540"/>
              <w:spacing w:after="0"/>
              <w:rPr>
                <w:sz w:val="20"/>
                <w:szCs w:val="20"/>
                <w:color w:val="auto"/>
              </w:rPr>
            </w:pPr>
            <w:r>
              <w:rPr>
                <w:rFonts w:ascii="Arial" w:cs="Arial" w:eastAsia="Arial" w:hAnsi="Arial"/>
                <w:sz w:val="18"/>
                <w:szCs w:val="18"/>
                <w:color w:val="auto"/>
              </w:rPr>
              <w:t>Credit loss reserve</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70,000</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shd w:val="clear" w:color="auto" w:fill="EEEEEE"/>
          </w:tcPr>
          <w:p>
            <w:pPr>
              <w:ind w:left="540"/>
              <w:spacing w:after="0"/>
              <w:rPr>
                <w:sz w:val="20"/>
                <w:szCs w:val="20"/>
                <w:color w:val="auto"/>
              </w:rPr>
            </w:pPr>
            <w:r>
              <w:rPr>
                <w:rFonts w:ascii="Arial" w:cs="Arial" w:eastAsia="Arial" w:hAnsi="Arial"/>
                <w:sz w:val="18"/>
                <w:szCs w:val="18"/>
                <w:color w:val="auto"/>
              </w:rPr>
              <w:t>PPP loan forgiven</w:t>
            </w:r>
          </w:p>
        </w:tc>
        <w:tc>
          <w:tcPr>
            <w:tcW w:w="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(175,500)</w:t>
            </w:r>
          </w:p>
        </w:tc>
      </w:tr>
      <w:tr>
        <w:trPr>
          <w:trHeight w:val="216"/>
        </w:trPr>
        <w:tc>
          <w:tcPr>
            <w:tcW w:w="6960" w:type="dxa"/>
            <w:vAlign w:val="bottom"/>
          </w:tcPr>
          <w:p>
            <w:pPr>
              <w:ind w:left="540"/>
              <w:spacing w:after="0"/>
              <w:rPr>
                <w:sz w:val="20"/>
                <w:szCs w:val="20"/>
                <w:color w:val="auto"/>
              </w:rPr>
            </w:pPr>
            <w:r>
              <w:rPr>
                <w:rFonts w:ascii="Arial" w:cs="Arial" w:eastAsia="Arial" w:hAnsi="Arial"/>
                <w:sz w:val="18"/>
                <w:szCs w:val="18"/>
                <w:color w:val="auto"/>
              </w:rPr>
              <w:t>Loss on equity method investment</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6,616</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shd w:val="clear" w:color="auto" w:fill="EEEEEE"/>
          </w:tcPr>
          <w:p>
            <w:pPr>
              <w:ind w:left="540"/>
              <w:spacing w:after="0"/>
              <w:rPr>
                <w:sz w:val="20"/>
                <w:szCs w:val="20"/>
                <w:color w:val="auto"/>
              </w:rPr>
            </w:pPr>
            <w:r>
              <w:rPr>
                <w:rFonts w:ascii="Arial" w:cs="Arial" w:eastAsia="Arial" w:hAnsi="Arial"/>
                <w:sz w:val="18"/>
                <w:szCs w:val="18"/>
                <w:color w:val="auto"/>
              </w:rPr>
              <w:t>Stock-based compensation expense</w:t>
            </w:r>
          </w:p>
        </w:tc>
        <w:tc>
          <w:tcPr>
            <w:tcW w:w="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372,351</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110,683</w:t>
            </w:r>
          </w:p>
        </w:tc>
      </w:tr>
      <w:tr>
        <w:trPr>
          <w:trHeight w:val="216"/>
        </w:trPr>
        <w:tc>
          <w:tcPr>
            <w:tcW w:w="6960" w:type="dxa"/>
            <w:vAlign w:val="bottom"/>
          </w:tcPr>
          <w:p>
            <w:pPr>
              <w:ind w:left="540"/>
              <w:spacing w:after="0"/>
              <w:rPr>
                <w:sz w:val="20"/>
                <w:szCs w:val="20"/>
                <w:color w:val="auto"/>
              </w:rPr>
            </w:pPr>
            <w:r>
              <w:rPr>
                <w:rFonts w:ascii="Arial" w:cs="Arial" w:eastAsia="Arial" w:hAnsi="Arial"/>
                <w:sz w:val="18"/>
                <w:szCs w:val="18"/>
                <w:color w:val="auto"/>
              </w:rPr>
              <w:t>Non-cash operating lease expense</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323,907</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82,075</w:t>
            </w:r>
          </w:p>
        </w:tc>
      </w:tr>
      <w:tr>
        <w:trPr>
          <w:trHeight w:val="216"/>
        </w:trPr>
        <w:tc>
          <w:tcPr>
            <w:tcW w:w="6960" w:type="dxa"/>
            <w:vAlign w:val="bottom"/>
            <w:shd w:val="clear" w:color="auto" w:fill="EEEEEE"/>
          </w:tcPr>
          <w:p>
            <w:pPr>
              <w:ind w:left="540"/>
              <w:spacing w:after="0"/>
              <w:rPr>
                <w:sz w:val="20"/>
                <w:szCs w:val="20"/>
                <w:color w:val="auto"/>
              </w:rPr>
            </w:pPr>
            <w:r>
              <w:rPr>
                <w:rFonts w:ascii="Arial" w:cs="Arial" w:eastAsia="Arial" w:hAnsi="Arial"/>
                <w:sz w:val="18"/>
                <w:szCs w:val="18"/>
                <w:color w:val="auto"/>
              </w:rPr>
              <w:t>Amortization of debt premium/discount and non-cash financing costs</w:t>
            </w:r>
          </w:p>
        </w:tc>
        <w:tc>
          <w:tcPr>
            <w:tcW w:w="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158,203</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1,611,874</w:t>
            </w:r>
          </w:p>
        </w:tc>
      </w:tr>
      <w:tr>
        <w:trPr>
          <w:trHeight w:val="216"/>
        </w:trPr>
        <w:tc>
          <w:tcPr>
            <w:tcW w:w="6960" w:type="dxa"/>
            <w:vAlign w:val="bottom"/>
          </w:tcPr>
          <w:p>
            <w:pPr>
              <w:ind w:left="540"/>
              <w:spacing w:after="0"/>
              <w:rPr>
                <w:sz w:val="20"/>
                <w:szCs w:val="20"/>
                <w:color w:val="auto"/>
              </w:rPr>
            </w:pPr>
            <w:r>
              <w:rPr>
                <w:rFonts w:ascii="Arial" w:cs="Arial" w:eastAsia="Arial" w:hAnsi="Arial"/>
                <w:sz w:val="18"/>
                <w:szCs w:val="18"/>
                <w:color w:val="auto"/>
              </w:rPr>
              <w:t>Change in fair value of warrants and conversion features</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1,358,555</w:t>
            </w:r>
          </w:p>
        </w:tc>
      </w:tr>
      <w:tr>
        <w:trPr>
          <w:trHeight w:val="216"/>
        </w:trPr>
        <w:tc>
          <w:tcPr>
            <w:tcW w:w="6960" w:type="dxa"/>
            <w:vAlign w:val="bottom"/>
            <w:shd w:val="clear" w:color="auto" w:fill="EEEEEE"/>
          </w:tcPr>
          <w:p>
            <w:pPr>
              <w:ind w:left="360"/>
              <w:spacing w:after="0"/>
              <w:rPr>
                <w:sz w:val="20"/>
                <w:szCs w:val="20"/>
                <w:color w:val="auto"/>
              </w:rPr>
            </w:pPr>
            <w:r>
              <w:rPr>
                <w:rFonts w:ascii="Arial" w:cs="Arial" w:eastAsia="Arial" w:hAnsi="Arial"/>
                <w:sz w:val="18"/>
                <w:szCs w:val="18"/>
                <w:color w:val="auto"/>
              </w:rPr>
              <w:t>Change in operating assets and liabilities</w:t>
            </w:r>
          </w:p>
        </w:tc>
        <w:tc>
          <w:tcPr>
            <w:tcW w:w="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960" w:type="dxa"/>
            <w:vAlign w:val="bottom"/>
          </w:tcPr>
          <w:p>
            <w:pPr>
              <w:ind w:left="540"/>
              <w:spacing w:after="0"/>
              <w:rPr>
                <w:sz w:val="20"/>
                <w:szCs w:val="20"/>
                <w:color w:val="auto"/>
              </w:rPr>
            </w:pPr>
            <w:r>
              <w:rPr>
                <w:rFonts w:ascii="Arial" w:cs="Arial" w:eastAsia="Arial" w:hAnsi="Arial"/>
                <w:sz w:val="18"/>
                <w:szCs w:val="18"/>
                <w:color w:val="auto"/>
              </w:rPr>
              <w:t>Accounts receivable</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(9,535,940)</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(1,829,148)</w:t>
            </w:r>
          </w:p>
        </w:tc>
      </w:tr>
      <w:tr>
        <w:trPr>
          <w:trHeight w:val="216"/>
        </w:trPr>
        <w:tc>
          <w:tcPr>
            <w:tcW w:w="6960" w:type="dxa"/>
            <w:vAlign w:val="bottom"/>
            <w:shd w:val="clear" w:color="auto" w:fill="EEEEEE"/>
          </w:tcPr>
          <w:p>
            <w:pPr>
              <w:ind w:left="540"/>
              <w:spacing w:after="0"/>
              <w:rPr>
                <w:sz w:val="20"/>
                <w:szCs w:val="20"/>
                <w:color w:val="auto"/>
              </w:rPr>
            </w:pPr>
            <w:r>
              <w:rPr>
                <w:rFonts w:ascii="Arial" w:cs="Arial" w:eastAsia="Arial" w:hAnsi="Arial"/>
                <w:sz w:val="18"/>
                <w:szCs w:val="18"/>
                <w:color w:val="auto"/>
              </w:rPr>
              <w:t>Inventories</w:t>
            </w:r>
          </w:p>
        </w:tc>
        <w:tc>
          <w:tcPr>
            <w:tcW w:w="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(17,592,451)</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(7,322,560)</w:t>
            </w:r>
          </w:p>
        </w:tc>
      </w:tr>
      <w:tr>
        <w:trPr>
          <w:trHeight w:val="216"/>
        </w:trPr>
        <w:tc>
          <w:tcPr>
            <w:tcW w:w="6960" w:type="dxa"/>
            <w:vAlign w:val="bottom"/>
          </w:tcPr>
          <w:p>
            <w:pPr>
              <w:ind w:left="540"/>
              <w:spacing w:after="0"/>
              <w:rPr>
                <w:sz w:val="20"/>
                <w:szCs w:val="20"/>
                <w:color w:val="auto"/>
              </w:rPr>
            </w:pPr>
            <w:r>
              <w:rPr>
                <w:rFonts w:ascii="Arial" w:cs="Arial" w:eastAsia="Arial" w:hAnsi="Arial"/>
                <w:sz w:val="18"/>
                <w:szCs w:val="18"/>
                <w:color w:val="auto"/>
              </w:rPr>
              <w:t>Deferred tax assets/liabilities</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(449,998)</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shd w:val="clear" w:color="auto" w:fill="EEEEEE"/>
          </w:tcPr>
          <w:p>
            <w:pPr>
              <w:ind w:left="540"/>
              <w:spacing w:after="0"/>
              <w:rPr>
                <w:sz w:val="20"/>
                <w:szCs w:val="20"/>
                <w:color w:val="auto"/>
              </w:rPr>
            </w:pPr>
            <w:r>
              <w:rPr>
                <w:rFonts w:ascii="Arial" w:cs="Arial" w:eastAsia="Arial" w:hAnsi="Arial"/>
                <w:sz w:val="18"/>
                <w:szCs w:val="18"/>
                <w:color w:val="auto"/>
              </w:rPr>
              <w:t>Prepayments and other current assets</w:t>
            </w:r>
          </w:p>
        </w:tc>
        <w:tc>
          <w:tcPr>
            <w:tcW w:w="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637,865</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(3,956,769)</w:t>
            </w:r>
          </w:p>
        </w:tc>
      </w:tr>
      <w:tr>
        <w:trPr>
          <w:trHeight w:val="216"/>
        </w:trPr>
        <w:tc>
          <w:tcPr>
            <w:tcW w:w="6960" w:type="dxa"/>
            <w:vAlign w:val="bottom"/>
          </w:tcPr>
          <w:p>
            <w:pPr>
              <w:ind w:left="540"/>
              <w:spacing w:after="0"/>
              <w:rPr>
                <w:sz w:val="20"/>
                <w:szCs w:val="20"/>
                <w:color w:val="auto"/>
              </w:rPr>
            </w:pPr>
            <w:r>
              <w:rPr>
                <w:rFonts w:ascii="Arial" w:cs="Arial" w:eastAsia="Arial" w:hAnsi="Arial"/>
                <w:sz w:val="18"/>
                <w:szCs w:val="18"/>
                <w:color w:val="auto"/>
              </w:rPr>
              <w:t>Non-current prepayments</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431,668</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(1,357,292)</w:t>
            </w:r>
          </w:p>
        </w:tc>
      </w:tr>
      <w:tr>
        <w:trPr>
          <w:trHeight w:val="216"/>
        </w:trPr>
        <w:tc>
          <w:tcPr>
            <w:tcW w:w="6960" w:type="dxa"/>
            <w:vAlign w:val="bottom"/>
            <w:shd w:val="clear" w:color="auto" w:fill="EEEEEE"/>
          </w:tcPr>
          <w:p>
            <w:pPr>
              <w:ind w:left="540"/>
              <w:spacing w:after="0"/>
              <w:rPr>
                <w:sz w:val="20"/>
                <w:szCs w:val="20"/>
                <w:color w:val="auto"/>
              </w:rPr>
            </w:pPr>
            <w:r>
              <w:rPr>
                <w:rFonts w:ascii="Arial" w:cs="Arial" w:eastAsia="Arial" w:hAnsi="Arial"/>
                <w:sz w:val="18"/>
                <w:szCs w:val="18"/>
                <w:color w:val="auto"/>
              </w:rPr>
              <w:t>Other non-current assets</w:t>
            </w:r>
          </w:p>
        </w:tc>
        <w:tc>
          <w:tcPr>
            <w:tcW w:w="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(254,380)</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(99,645)</w:t>
            </w:r>
          </w:p>
        </w:tc>
      </w:tr>
      <w:tr>
        <w:trPr>
          <w:trHeight w:val="216"/>
        </w:trPr>
        <w:tc>
          <w:tcPr>
            <w:tcW w:w="6960" w:type="dxa"/>
            <w:vAlign w:val="bottom"/>
          </w:tcPr>
          <w:p>
            <w:pPr>
              <w:ind w:left="540"/>
              <w:spacing w:after="0"/>
              <w:rPr>
                <w:sz w:val="20"/>
                <w:szCs w:val="20"/>
                <w:color w:val="auto"/>
              </w:rPr>
            </w:pPr>
            <w:r>
              <w:rPr>
                <w:rFonts w:ascii="Arial" w:cs="Arial" w:eastAsia="Arial" w:hAnsi="Arial"/>
                <w:sz w:val="18"/>
                <w:szCs w:val="18"/>
                <w:color w:val="auto"/>
              </w:rPr>
              <w:t>Accounts payable</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5,592,444</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(279,384)</w:t>
            </w:r>
          </w:p>
        </w:tc>
      </w:tr>
      <w:tr>
        <w:trPr>
          <w:trHeight w:val="216"/>
        </w:trPr>
        <w:tc>
          <w:tcPr>
            <w:tcW w:w="6960" w:type="dxa"/>
            <w:vAlign w:val="bottom"/>
            <w:shd w:val="clear" w:color="auto" w:fill="EEEEEE"/>
          </w:tcPr>
          <w:p>
            <w:pPr>
              <w:ind w:left="540"/>
              <w:spacing w:after="0"/>
              <w:rPr>
                <w:sz w:val="20"/>
                <w:szCs w:val="20"/>
                <w:color w:val="auto"/>
              </w:rPr>
            </w:pPr>
            <w:r>
              <w:rPr>
                <w:rFonts w:ascii="Arial" w:cs="Arial" w:eastAsia="Arial" w:hAnsi="Arial"/>
                <w:sz w:val="18"/>
                <w:szCs w:val="18"/>
                <w:color w:val="auto"/>
              </w:rPr>
              <w:t>Credit cards payable</w:t>
            </w:r>
          </w:p>
        </w:tc>
        <w:tc>
          <w:tcPr>
            <w:tcW w:w="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223,376</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(308,481)</w:t>
            </w:r>
          </w:p>
        </w:tc>
      </w:tr>
      <w:tr>
        <w:trPr>
          <w:trHeight w:val="216"/>
        </w:trPr>
        <w:tc>
          <w:tcPr>
            <w:tcW w:w="6960" w:type="dxa"/>
            <w:vAlign w:val="bottom"/>
          </w:tcPr>
          <w:p>
            <w:pPr>
              <w:ind w:left="540"/>
              <w:spacing w:after="0"/>
              <w:rPr>
                <w:sz w:val="20"/>
                <w:szCs w:val="20"/>
                <w:color w:val="auto"/>
              </w:rPr>
            </w:pPr>
            <w:r>
              <w:rPr>
                <w:rFonts w:ascii="Arial" w:cs="Arial" w:eastAsia="Arial" w:hAnsi="Arial"/>
                <w:sz w:val="18"/>
                <w:szCs w:val="18"/>
                <w:color w:val="auto"/>
              </w:rPr>
              <w:t>Customer deposit</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(23,950)</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(443,894)</w:t>
            </w:r>
          </w:p>
        </w:tc>
      </w:tr>
      <w:tr>
        <w:trPr>
          <w:trHeight w:val="216"/>
        </w:trPr>
        <w:tc>
          <w:tcPr>
            <w:tcW w:w="6960" w:type="dxa"/>
            <w:vAlign w:val="bottom"/>
            <w:shd w:val="clear" w:color="auto" w:fill="EEEEEE"/>
          </w:tcPr>
          <w:p>
            <w:pPr>
              <w:ind w:left="540"/>
              <w:spacing w:after="0"/>
              <w:rPr>
                <w:sz w:val="20"/>
                <w:szCs w:val="20"/>
                <w:color w:val="auto"/>
              </w:rPr>
            </w:pPr>
            <w:r>
              <w:rPr>
                <w:rFonts w:ascii="Arial" w:cs="Arial" w:eastAsia="Arial" w:hAnsi="Arial"/>
                <w:sz w:val="18"/>
                <w:szCs w:val="18"/>
                <w:color w:val="auto"/>
              </w:rPr>
              <w:t>Other payables and accrued liabilities</w:t>
            </w:r>
          </w:p>
        </w:tc>
        <w:tc>
          <w:tcPr>
            <w:tcW w:w="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1,906,317</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546,583</w:t>
            </w:r>
          </w:p>
        </w:tc>
      </w:tr>
      <w:tr>
        <w:trPr>
          <w:trHeight w:val="230"/>
        </w:trPr>
        <w:tc>
          <w:tcPr>
            <w:tcW w:w="6960" w:type="dxa"/>
            <w:vAlign w:val="bottom"/>
          </w:tcPr>
          <w:p>
            <w:pPr>
              <w:ind w:left="540"/>
              <w:spacing w:after="0"/>
              <w:rPr>
                <w:sz w:val="20"/>
                <w:szCs w:val="20"/>
                <w:color w:val="auto"/>
              </w:rPr>
            </w:pPr>
            <w:r>
              <w:rPr>
                <w:rFonts w:ascii="Arial" w:cs="Arial" w:eastAsia="Arial" w:hAnsi="Arial"/>
                <w:sz w:val="18"/>
                <w:szCs w:val="18"/>
                <w:color w:val="auto"/>
              </w:rPr>
              <w:t>Income taxes prepaid/payable</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(489,258)</w:t>
            </w:r>
          </w:p>
        </w:tc>
        <w:tc>
          <w:tcPr>
            <w:tcW w:w="3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69,612</w:t>
            </w:r>
          </w:p>
        </w:tc>
      </w:tr>
      <w:tr>
        <w:trPr>
          <w:trHeight w:val="210"/>
        </w:trPr>
        <w:tc>
          <w:tcPr>
            <w:tcW w:w="6960" w:type="dxa"/>
            <w:vAlign w:val="bottom"/>
            <w:tcBorders>
              <w:top w:val="single" w:sz="8" w:color="EEEEEE"/>
            </w:tcBorders>
            <w:shd w:val="clear" w:color="auto" w:fill="EEEEEE"/>
          </w:tcPr>
          <w:p>
            <w:pPr>
              <w:ind w:left="540"/>
              <w:spacing w:after="0"/>
              <w:rPr>
                <w:sz w:val="20"/>
                <w:szCs w:val="20"/>
                <w:color w:val="auto"/>
              </w:rPr>
            </w:pPr>
            <w:r>
              <w:rPr>
                <w:rFonts w:ascii="Arial" w:cs="Arial" w:eastAsia="Arial" w:hAnsi="Arial"/>
                <w:sz w:val="18"/>
                <w:szCs w:val="18"/>
                <w:color w:val="auto"/>
              </w:rPr>
              <w:t>Net cash used in operating activities</w:t>
            </w:r>
          </w:p>
        </w:tc>
        <w:tc>
          <w:tcPr>
            <w:tcW w:w="70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(16,603,005)</w:t>
            </w:r>
          </w:p>
        </w:tc>
        <w:tc>
          <w:tcPr>
            <w:tcW w:w="32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(12,756,949)</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6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INVESTING ACTIVITIES:</w:t>
            </w:r>
          </w:p>
        </w:tc>
        <w:tc>
          <w:tcPr>
            <w:tcW w:w="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Purchase of equipment</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(484,172)</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(61,498)</w:t>
            </w:r>
          </w:p>
        </w:tc>
      </w:tr>
      <w:tr>
        <w:trPr>
          <w:trHeight w:val="216"/>
        </w:trPr>
        <w:tc>
          <w:tcPr>
            <w:tcW w:w="69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Cash acquired on acquisition</w:t>
            </w:r>
          </w:p>
        </w:tc>
        <w:tc>
          <w:tcPr>
            <w:tcW w:w="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394,786</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6960" w:type="dxa"/>
            <w:vAlign w:val="bottom"/>
          </w:tcPr>
          <w:p>
            <w:pPr>
              <w:ind w:left="180"/>
              <w:spacing w:after="0"/>
              <w:rPr>
                <w:sz w:val="20"/>
                <w:szCs w:val="20"/>
                <w:color w:val="auto"/>
              </w:rPr>
            </w:pPr>
            <w:r>
              <w:rPr>
                <w:rFonts w:ascii="Arial" w:cs="Arial" w:eastAsia="Arial" w:hAnsi="Arial"/>
                <w:sz w:val="18"/>
                <w:szCs w:val="18"/>
                <w:color w:val="auto"/>
              </w:rPr>
              <w:t>Investment in joint venture</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(50,000)</w:t>
            </w:r>
          </w:p>
        </w:tc>
        <w:tc>
          <w:tcPr>
            <w:tcW w:w="3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6960" w:type="dxa"/>
            <w:vAlign w:val="bottom"/>
            <w:tcBorders>
              <w:top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Net cash used in investing activities</w:t>
            </w:r>
          </w:p>
        </w:tc>
        <w:tc>
          <w:tcPr>
            <w:tcW w:w="70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(139,386)</w:t>
            </w:r>
          </w:p>
        </w:tc>
        <w:tc>
          <w:tcPr>
            <w:tcW w:w="32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(61,498)</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6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FINANCING ACTIVITIES:</w:t>
            </w:r>
          </w:p>
        </w:tc>
        <w:tc>
          <w:tcPr>
            <w:tcW w:w="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Proceeds from related parties</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571,824</w:t>
            </w:r>
          </w:p>
        </w:tc>
      </w:tr>
      <w:tr>
        <w:trPr>
          <w:trHeight w:val="216"/>
        </w:trPr>
        <w:tc>
          <w:tcPr>
            <w:tcW w:w="69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Payments to related parties</w:t>
            </w:r>
          </w:p>
        </w:tc>
        <w:tc>
          <w:tcPr>
            <w:tcW w:w="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(51,762)</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(705,617)</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Proceeds from short-term loans</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1,982,677</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29,609,915</w:t>
            </w:r>
          </w:p>
        </w:tc>
      </w:tr>
      <w:tr>
        <w:trPr>
          <w:trHeight w:val="216"/>
        </w:trPr>
        <w:tc>
          <w:tcPr>
            <w:tcW w:w="69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Payments of financing fees</w:t>
            </w:r>
          </w:p>
        </w:tc>
        <w:tc>
          <w:tcPr>
            <w:tcW w:w="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(796,035)</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(120,000)</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Payments on short-term loans</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(1,767,061)</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(30,776,825)</w:t>
            </w:r>
          </w:p>
        </w:tc>
      </w:tr>
      <w:tr>
        <w:trPr>
          <w:trHeight w:val="216"/>
        </w:trPr>
        <w:tc>
          <w:tcPr>
            <w:tcW w:w="69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Proceeds from convertible notes</w:t>
            </w:r>
          </w:p>
        </w:tc>
        <w:tc>
          <w:tcPr>
            <w:tcW w:w="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3,000,000</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Proceeds from long-term loans</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13,031,912</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Payments on long-term loans</w:t>
            </w:r>
          </w:p>
        </w:tc>
        <w:tc>
          <w:tcPr>
            <w:tcW w:w="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(487,815)</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(12,185)</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Shares issued for cash</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359,000</w:t>
            </w:r>
          </w:p>
        </w:tc>
      </w:tr>
      <w:tr>
        <w:trPr>
          <w:trHeight w:val="216"/>
        </w:trPr>
        <w:tc>
          <w:tcPr>
            <w:tcW w:w="69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Gross proceeds from IPO</w:t>
            </w:r>
          </w:p>
        </w:tc>
        <w:tc>
          <w:tcPr>
            <w:tcW w:w="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19,320,000</w:t>
            </w:r>
          </w:p>
        </w:tc>
      </w:tr>
      <w:tr>
        <w:trPr>
          <w:trHeight w:val="230"/>
        </w:trPr>
        <w:tc>
          <w:tcPr>
            <w:tcW w:w="6960" w:type="dxa"/>
            <w:vAlign w:val="bottom"/>
          </w:tcPr>
          <w:p>
            <w:pPr>
              <w:ind w:left="180"/>
              <w:spacing w:after="0"/>
              <w:rPr>
                <w:sz w:val="20"/>
                <w:szCs w:val="20"/>
                <w:color w:val="auto"/>
              </w:rPr>
            </w:pPr>
            <w:r>
              <w:rPr>
                <w:rFonts w:ascii="Arial" w:cs="Arial" w:eastAsia="Arial" w:hAnsi="Arial"/>
                <w:sz w:val="18"/>
                <w:szCs w:val="18"/>
                <w:color w:val="auto"/>
              </w:rPr>
              <w:t>IPO offering costs in cash</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(2,753,595)</w:t>
            </w:r>
          </w:p>
        </w:tc>
      </w:tr>
      <w:tr>
        <w:trPr>
          <w:trHeight w:val="209"/>
        </w:trPr>
        <w:tc>
          <w:tcPr>
            <w:tcW w:w="6960" w:type="dxa"/>
            <w:vAlign w:val="bottom"/>
            <w:tcBorders>
              <w:top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70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11,911,916</w:t>
            </w:r>
          </w:p>
        </w:tc>
        <w:tc>
          <w:tcPr>
            <w:tcW w:w="32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18,492,517</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6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960" w:type="dxa"/>
            <w:vAlign w:val="bottom"/>
            <w:shd w:val="clear" w:color="auto" w:fill="EEEEEE"/>
          </w:tcPr>
          <w:p>
            <w:pPr>
              <w:spacing w:after="0"/>
              <w:rPr>
                <w:sz w:val="20"/>
                <w:szCs w:val="20"/>
                <w:color w:val="auto"/>
              </w:rPr>
            </w:pPr>
            <w:r>
              <w:rPr>
                <w:rFonts w:ascii="Arial" w:cs="Arial" w:eastAsia="Arial" w:hAnsi="Arial"/>
                <w:sz w:val="18"/>
                <w:szCs w:val="18"/>
                <w:color w:val="auto"/>
              </w:rPr>
              <w:t>EFFECT OF EXCHANGE RATE ON CASH</w:t>
            </w:r>
          </w:p>
        </w:tc>
        <w:tc>
          <w:tcPr>
            <w:tcW w:w="70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717</w:t>
            </w:r>
          </w:p>
        </w:tc>
        <w:tc>
          <w:tcPr>
            <w:tcW w:w="36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6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EEEEEE"/>
          </w:tcPr>
          <w:p>
            <w:pPr>
              <w:spacing w:after="0"/>
              <w:rPr>
                <w:sz w:val="20"/>
                <w:szCs w:val="20"/>
                <w:color w:val="auto"/>
              </w:rPr>
            </w:pPr>
            <w:r>
              <w:rPr>
                <w:rFonts w:ascii="Arial" w:cs="Arial" w:eastAsia="Arial" w:hAnsi="Arial"/>
                <w:sz w:val="18"/>
                <w:szCs w:val="18"/>
                <w:color w:val="auto"/>
              </w:rPr>
              <w:t>CHANGES IN CASH</w:t>
            </w:r>
          </w:p>
        </w:tc>
        <w:tc>
          <w:tcPr>
            <w:tcW w:w="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(4,829,758)</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5,674,070</w:t>
            </w:r>
          </w:p>
        </w:tc>
      </w:tr>
      <w:tr>
        <w:trPr>
          <w:trHeight w:val="216"/>
        </w:trPr>
        <w:tc>
          <w:tcPr>
            <w:tcW w:w="6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96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 beginning of year</w:t>
            </w:r>
          </w:p>
        </w:tc>
        <w:tc>
          <w:tcPr>
            <w:tcW w:w="70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6,651,705</w:t>
            </w:r>
          </w:p>
        </w:tc>
        <w:tc>
          <w:tcPr>
            <w:tcW w:w="36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977,635</w:t>
            </w:r>
          </w:p>
        </w:tc>
      </w:tr>
      <w:tr>
        <w:trPr>
          <w:trHeight w:val="209"/>
        </w:trPr>
        <w:tc>
          <w:tcPr>
            <w:tcW w:w="6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96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 end of year</w:t>
            </w:r>
          </w:p>
        </w:tc>
        <w:tc>
          <w:tcPr>
            <w:tcW w:w="1060" w:type="dxa"/>
            <w:vAlign w:val="bottom"/>
            <w:gridSpan w:val="2"/>
            <w:shd w:val="clear" w:color="auto" w:fill="EEEEEE"/>
          </w:tcPr>
          <w:p>
            <w:pPr>
              <w:jc w:val="right"/>
              <w:ind w:right="17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1,821,947</w:t>
            </w:r>
          </w:p>
        </w:tc>
        <w:tc>
          <w:tcPr>
            <w:tcW w:w="36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6,651,705</w:t>
            </w:r>
          </w:p>
        </w:tc>
      </w:tr>
      <w:tr>
        <w:trPr>
          <w:trHeight w:val="20"/>
        </w:trPr>
        <w:tc>
          <w:tcPr>
            <w:tcW w:w="696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r>
        <w:trPr>
          <w:trHeight w:val="196"/>
        </w:trPr>
        <w:tc>
          <w:tcPr>
            <w:tcW w:w="6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60" w:type="dxa"/>
            <w:vAlign w:val="bottom"/>
            <w:shd w:val="clear" w:color="auto" w:fill="EEEEEE"/>
          </w:tcPr>
          <w:p>
            <w:pPr>
              <w:spacing w:after="0"/>
              <w:rPr>
                <w:sz w:val="20"/>
                <w:szCs w:val="20"/>
                <w:color w:val="auto"/>
              </w:rPr>
            </w:pPr>
            <w:r>
              <w:rPr>
                <w:rFonts w:ascii="Arial" w:cs="Arial" w:eastAsia="Arial" w:hAnsi="Arial"/>
                <w:sz w:val="18"/>
                <w:szCs w:val="18"/>
                <w:color w:val="auto"/>
              </w:rPr>
              <w:t>SUPPLEMENTAL CASH FLOW INFORMATION:</w:t>
            </w:r>
          </w:p>
        </w:tc>
        <w:tc>
          <w:tcPr>
            <w:tcW w:w="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83"/>
        </w:trPr>
        <w:tc>
          <w:tcPr>
            <w:tcW w:w="6960" w:type="dxa"/>
            <w:vAlign w:val="bottom"/>
          </w:tcPr>
          <w:p>
            <w:pPr>
              <w:ind w:left="180"/>
              <w:spacing w:after="0"/>
              <w:rPr>
                <w:sz w:val="20"/>
                <w:szCs w:val="20"/>
                <w:color w:val="auto"/>
              </w:rPr>
            </w:pPr>
            <w:r>
              <w:rPr>
                <w:rFonts w:ascii="Arial" w:cs="Arial" w:eastAsia="Arial" w:hAnsi="Arial"/>
                <w:sz w:val="18"/>
                <w:szCs w:val="18"/>
                <w:color w:val="auto"/>
              </w:rPr>
              <w:t>Cash paid for income tax</w:t>
            </w:r>
          </w:p>
        </w:tc>
        <w:tc>
          <w:tcPr>
            <w:tcW w:w="10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1,851,652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696,119</w:t>
            </w:r>
          </w:p>
        </w:tc>
      </w:tr>
      <w:tr>
        <w:trPr>
          <w:trHeight w:val="196"/>
        </w:trPr>
        <w:tc>
          <w:tcPr>
            <w:tcW w:w="6960" w:type="dxa"/>
            <w:vAlign w:val="bottom"/>
            <w:tcBorders>
              <w:top w:val="single" w:sz="8" w:color="EEEEEE"/>
              <w:bottom w:val="single" w:sz="8" w:color="EEEEEE"/>
            </w:tcBorders>
            <w:shd w:val="clear" w:color="auto" w:fill="EEEEEE"/>
          </w:tcPr>
          <w:p>
            <w:pPr>
              <w:ind w:left="180"/>
              <w:spacing w:after="0" w:line="190" w:lineRule="exact"/>
              <w:rPr>
                <w:sz w:val="20"/>
                <w:szCs w:val="20"/>
                <w:color w:val="auto"/>
              </w:rPr>
            </w:pPr>
            <w:r>
              <w:rPr>
                <w:rFonts w:ascii="Arial" w:cs="Arial" w:eastAsia="Arial" w:hAnsi="Arial"/>
                <w:sz w:val="18"/>
                <w:szCs w:val="18"/>
                <w:color w:val="auto"/>
              </w:rPr>
              <w:t>Cash paid for interest</w:t>
            </w:r>
          </w:p>
        </w:tc>
        <w:tc>
          <w:tcPr>
            <w:tcW w:w="700" w:type="dxa"/>
            <w:vAlign w:val="bottom"/>
            <w:tcBorders>
              <w:top w:val="single" w:sz="8" w:color="EEEEEE"/>
              <w:bottom w:val="single" w:sz="8" w:color="EEEEEE"/>
            </w:tcBorders>
            <w:shd w:val="clear" w:color="auto" w:fill="EEEEEE"/>
          </w:tcPr>
          <w:p>
            <w:pPr>
              <w:spacing w:after="0"/>
              <w:rPr>
                <w:sz w:val="17"/>
                <w:szCs w:val="17"/>
                <w:color w:val="auto"/>
              </w:rPr>
            </w:pPr>
          </w:p>
        </w:tc>
        <w:tc>
          <w:tcPr>
            <w:tcW w:w="360" w:type="dxa"/>
            <w:vAlign w:val="bottom"/>
            <w:tcBorders>
              <w:top w:val="single" w:sz="8" w:color="auto"/>
              <w:bottom w:val="single" w:sz="8" w:color="auto"/>
            </w:tcBorders>
            <w:shd w:val="clear" w:color="auto" w:fill="EEEEEE"/>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EEEEEE"/>
              <w:bottom w:val="single" w:sz="8" w:color="EEEEEE"/>
            </w:tcBorders>
            <w:shd w:val="clear" w:color="auto" w:fill="EEEEEE"/>
          </w:tcPr>
          <w:p>
            <w:pPr>
              <w:spacing w:after="0"/>
              <w:rPr>
                <w:sz w:val="17"/>
                <w:szCs w:val="17"/>
                <w:color w:val="auto"/>
              </w:rPr>
            </w:pPr>
          </w:p>
        </w:tc>
        <w:tc>
          <w:tcPr>
            <w:tcW w:w="360" w:type="dxa"/>
            <w:vAlign w:val="bottom"/>
            <w:tcBorders>
              <w:top w:val="single" w:sz="8" w:color="auto"/>
              <w:bottom w:val="single" w:sz="8" w:color="auto"/>
            </w:tcBorders>
            <w:shd w:val="clear" w:color="auto" w:fill="EEEEEE"/>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153,785</w:t>
            </w:r>
          </w:p>
        </w:tc>
        <w:tc>
          <w:tcPr>
            <w:tcW w:w="100" w:type="dxa"/>
            <w:vAlign w:val="bottom"/>
            <w:tcBorders>
              <w:top w:val="single" w:sz="8" w:color="EEEEEE"/>
              <w:bottom w:val="single" w:sz="8" w:color="EEEEEE"/>
            </w:tcBorders>
            <w:shd w:val="clear" w:color="auto" w:fill="EEEEEE"/>
          </w:tcPr>
          <w:p>
            <w:pPr>
              <w:spacing w:after="0"/>
              <w:rPr>
                <w:sz w:val="17"/>
                <w:szCs w:val="17"/>
                <w:color w:val="auto"/>
              </w:rPr>
            </w:pPr>
          </w:p>
        </w:tc>
      </w:tr>
      <w:tr>
        <w:trPr>
          <w:trHeight w:val="20"/>
        </w:trPr>
        <w:tc>
          <w:tcPr>
            <w:tcW w:w="6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69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SUPPLEMENTAL DISCLOSURE OF NON-CASH INVESTING AND FINANCING</w:t>
            </w:r>
          </w:p>
        </w:tc>
        <w:tc>
          <w:tcPr>
            <w:tcW w:w="70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30"/>
        </w:trPr>
        <w:tc>
          <w:tcPr>
            <w:tcW w:w="6960" w:type="dxa"/>
            <w:vAlign w:val="bottom"/>
            <w:shd w:val="clear" w:color="auto" w:fill="EEEEEE"/>
          </w:tcPr>
          <w:p>
            <w:pPr>
              <w:spacing w:after="0"/>
              <w:rPr>
                <w:sz w:val="20"/>
                <w:szCs w:val="20"/>
                <w:color w:val="auto"/>
              </w:rPr>
            </w:pPr>
            <w:r>
              <w:rPr>
                <w:rFonts w:ascii="Arial" w:cs="Arial" w:eastAsia="Arial" w:hAnsi="Arial"/>
                <w:sz w:val="18"/>
                <w:szCs w:val="18"/>
                <w:color w:val="auto"/>
              </w:rPr>
              <w:t>TRANSACTIONS:</w:t>
            </w:r>
          </w:p>
        </w:tc>
        <w:tc>
          <w:tcPr>
            <w:tcW w:w="700" w:type="dxa"/>
            <w:vAlign w:val="bottom"/>
            <w:shd w:val="clear" w:color="auto" w:fill="EEEEEE"/>
          </w:tcPr>
          <w:p>
            <w:pPr>
              <w:spacing w:after="0"/>
              <w:rPr>
                <w:sz w:val="20"/>
                <w:szCs w:val="20"/>
                <w:color w:val="auto"/>
              </w:rPr>
            </w:pPr>
          </w:p>
        </w:tc>
        <w:tc>
          <w:tcPr>
            <w:tcW w:w="36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36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Shares issued for acquisition</w:t>
            </w:r>
          </w:p>
        </w:tc>
        <w:tc>
          <w:tcPr>
            <w:tcW w:w="10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5,528,373</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Promissory note issued for acquisition</w:t>
            </w:r>
          </w:p>
        </w:tc>
        <w:tc>
          <w:tcPr>
            <w:tcW w:w="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3,600,627</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Investment payable for acquisition</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1,500,000</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1"/>
        </w:trPr>
        <w:tc>
          <w:tcPr>
            <w:tcW w:w="69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Goodwill acquired in business acquisition</w:t>
            </w:r>
          </w:p>
        </w:tc>
        <w:tc>
          <w:tcPr>
            <w:tcW w:w="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6,094,144</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bl>
    <w:p>
      <w:pPr>
        <w:sectPr>
          <w:pgSz w:w="11900" w:h="16900" w:orient="portrait"/>
          <w:cols w:equalWidth="0" w:num="1">
            <w:col w:w="11240"/>
          </w:cols>
          <w:pgMar w:left="320" w:top="800" w:right="339" w:bottom="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80" w:type="dxa"/>
            <w:vAlign w:val="bottom"/>
          </w:tcPr>
          <w:p>
            <w:pPr>
              <w:ind w:left="180"/>
              <w:spacing w:after="0"/>
              <w:rPr>
                <w:sz w:val="20"/>
                <w:szCs w:val="20"/>
                <w:color w:val="auto"/>
              </w:rPr>
            </w:pPr>
            <w:r>
              <w:rPr>
                <w:rFonts w:ascii="Arial" w:cs="Arial" w:eastAsia="Arial" w:hAnsi="Arial"/>
                <w:sz w:val="18"/>
                <w:szCs w:val="18"/>
                <w:color w:val="auto"/>
              </w:rPr>
              <w:t>Identifiable intangible assets acquired in business acquisition</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5,172,957</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5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Other net assets/(liabilities) acquired in business acquisition</w:t>
            </w:r>
          </w:p>
        </w:tc>
        <w:tc>
          <w:tcPr>
            <w:tcW w:w="3280" w:type="dxa"/>
            <w:vAlign w:val="bottom"/>
            <w:shd w:val="clear" w:color="auto" w:fill="EEEEEE"/>
          </w:tcPr>
          <w:p>
            <w:pPr>
              <w:jc w:val="right"/>
              <w:ind w:right="470"/>
              <w:spacing w:after="0"/>
              <w:rPr>
                <w:sz w:val="20"/>
                <w:szCs w:val="20"/>
                <w:color w:val="auto"/>
              </w:rPr>
            </w:pPr>
            <w:r>
              <w:rPr>
                <w:rFonts w:ascii="Arial" w:cs="Arial" w:eastAsia="Arial" w:hAnsi="Arial"/>
                <w:sz w:val="18"/>
                <w:szCs w:val="18"/>
                <w:color w:val="auto"/>
              </w:rPr>
              <w:t>(638,101)</w:t>
            </w:r>
          </w:p>
        </w:tc>
        <w:tc>
          <w:tcPr>
            <w:tcW w:w="13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580" w:type="dxa"/>
            <w:vAlign w:val="bottom"/>
          </w:tcPr>
          <w:p>
            <w:pPr>
              <w:ind w:left="180"/>
              <w:spacing w:after="0"/>
              <w:rPr>
                <w:sz w:val="20"/>
                <w:szCs w:val="20"/>
                <w:color w:val="auto"/>
              </w:rPr>
            </w:pPr>
            <w:r>
              <w:rPr>
                <w:rFonts w:ascii="Arial" w:cs="Arial" w:eastAsia="Arial" w:hAnsi="Arial"/>
                <w:sz w:val="18"/>
                <w:szCs w:val="18"/>
                <w:color w:val="auto"/>
              </w:rPr>
              <w:t>Right of use assets acquired under new operating leases</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10,094,669</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2,346,200</w:t>
            </w:r>
          </w:p>
        </w:tc>
      </w:tr>
      <w:tr>
        <w:trPr>
          <w:trHeight w:val="216"/>
        </w:trPr>
        <w:tc>
          <w:tcPr>
            <w:tcW w:w="65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Reclassification of warrant liability to additional paid in capital</w:t>
            </w:r>
          </w:p>
        </w:tc>
        <w:tc>
          <w:tcPr>
            <w:tcW w:w="3280" w:type="dxa"/>
            <w:vAlign w:val="bottom"/>
            <w:shd w:val="clear" w:color="auto" w:fill="EEEEEE"/>
          </w:tcPr>
          <w:p>
            <w:pPr>
              <w:jc w:val="right"/>
              <w:ind w:right="5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1,324,668</w:t>
            </w:r>
          </w:p>
        </w:tc>
      </w:tr>
      <w:tr>
        <w:trPr>
          <w:trHeight w:val="216"/>
        </w:trPr>
        <w:tc>
          <w:tcPr>
            <w:tcW w:w="6580" w:type="dxa"/>
            <w:vAlign w:val="bottom"/>
          </w:tcPr>
          <w:p>
            <w:pPr>
              <w:ind w:left="180"/>
              <w:spacing w:after="0"/>
              <w:rPr>
                <w:sz w:val="20"/>
                <w:szCs w:val="20"/>
                <w:color w:val="auto"/>
              </w:rPr>
            </w:pPr>
            <w:r>
              <w:rPr>
                <w:rFonts w:ascii="Arial" w:cs="Arial" w:eastAsia="Arial" w:hAnsi="Arial"/>
                <w:sz w:val="18"/>
                <w:szCs w:val="18"/>
                <w:color w:val="auto"/>
              </w:rPr>
              <w:t>Conversion of debts to common stock</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4,778,558</w:t>
            </w:r>
          </w:p>
        </w:tc>
      </w:tr>
      <w:tr>
        <w:trPr>
          <w:trHeight w:val="216"/>
        </w:trPr>
        <w:tc>
          <w:tcPr>
            <w:tcW w:w="65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Exercise of warrants</w:t>
            </w:r>
          </w:p>
        </w:tc>
        <w:tc>
          <w:tcPr>
            <w:tcW w:w="3280" w:type="dxa"/>
            <w:vAlign w:val="bottom"/>
            <w:shd w:val="clear" w:color="auto" w:fill="EEEEEE"/>
          </w:tcPr>
          <w:p>
            <w:pPr>
              <w:jc w:val="right"/>
              <w:ind w:right="5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36,704</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iPower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2022 and 2021 and for the Years Ended June 30, 2022 and 2021</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 and organization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iPower Inc., formerly known as BZRTH Inc., a Nevada corporation (the “Company”), was incorporated on April 11, 2018. The Company is principally engaged in the marketing and sale of advanced indoor and greenhouse lighting, ventilation systems, nutrients, growing media, grow tents, trimming machines, pumps and other products and accessories mainly in the North America.</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Effective on March 1, 2020, as amended and restated pursuant to an agreement dated October 26, 2020, the Company entered into an agreement with E Marketing Solution Inc. (“E Marketing”), an entity incorporated in California and owned by one of the shareholders of the Company. Pursuant to the terms of the agreement, the Company agreed to provide technical support, management services and other services on an exclusive basis in relation to E Marketing’s business during the term of the agreement. The Company also agreed to fund E Marketing for operational cash flow needs and bear the risk of E Marketing’s losses from operations and E Marketing agrees that iPower has rights to E Marketing’s net profits, if any. Under the terms of the agreement, the Company may at any time, at its option, acquire for nominal consideration 100% of either the equity of E Marketing or its assets subject to assumption of all of its liabilities. E Marketing was considered a variable interest entity (“VIE”). On May 18, 2021, the Company acquired 100% equity ownership of E Marketing. As a result, E Marketing has become the Company’s wholly owned subsidiary.</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September 4, 2020, the Company entered into an agreement with Global Product Marketing Inc. (“GPM”), an entity incorporated in the State of Nevada on September 4, 2020. GPM was then wholly owned by Chenlong Tan, the Chairman, CEO and President and one of the majority shareholders of the Company. Pursuant to the terms of the agreement, the Company was to provide technical support, management services and other services on an exclusive basis in relation to GPM’s business during the term of the Agreement. In addition, the Company agreed to fund GPM for operational cash flow needs and bear the risk of GPM’s losses from operations and GPM agreed that the Company has the right to GPM’s net profits, if any. Under the terms of the agreement, the Company may at any time, at its option, acquire for nominal consideration 100% of either the equity of GPM or its assets subject to assumption of all of its liabilities. GPM was considered a variable interest entity (“VIE”). On May 18, 2021, the Company acquired 100% equity ownership of GPM. As a result, GPM has become the Company’s wholly owned subsidiary.</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13, 2022, the Company entered into a joint venture agreement and formed a Nevada limited liability company, Box Harmony, LLC (“Box Harmony”), for the principal purpose of providing logistic services primarily for foreign-based manufacturers or distributors who desire to sell their products online in the United States, with such logistic services to include, without limitation, receiving, storing and transporting such products. The Company owns 40% of the equity interest in Box Harmony, retaining significant influence, but does not own a majority equity interest or otherwise control of Box Harmony. See details on Note 3 below.</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February 10, 2022, the Company entered into another joint venture agreement and formed a Nevada limited liability company, Global Social Media, LLC (“GSM”), for the principal purpose of providing a social media platform, contents and services to assist businesses, including the Company and other businesses, in marketing their products. The Company owns 60% of the equity interest in GSM and controls its operations. See details on Note 3 below.</w:t>
      </w:r>
    </w:p>
    <w:p>
      <w:pPr>
        <w:spacing w:after="0" w:line="14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February 15, 2022, the Company acquired 100% of the ordinary shares of Anivia Limited (“Anivia”), a corporation organized under the laws of the British Virgin Islands (“BVI”), in accordance with the terms of a share transfer framework agreement (the “Transfer Agreement”), dated February 15, 2022, by and between the Company, White Cherry Limited, a BVI company (“White Cherry”), White Cherry’s equity holders, Li Zanyu and Xie Jing (together with White Cherry, the “Sellers”), Anivia, Fly Elephant Limited, a Hong Kong company, Dayourenzai (Shenzhen) Technology Co., Ltd., and Daheshou (Shenzhen) Information Technology Co., Ltd. Anivia owns 100% of the equity of Fly Elephant Limited, which in turn owns 100% of the equity of Dayourenzai (Shenzhen) Technology Co., Ltd., a corporation located in the People’s Republic of China (“PRC”) and which is a wholly foreign-owned enterprise (“WFOE”) of Fly Elephant Limited. The WFOE controls, through contractual arrangements summarized in Note 4 below, the business, revenues and profits of Daheshou (Shenzhen) Information Technology Co., Ltd., a company organized under the Laws of the PRC (“DHS”) and located in Shenzhen, China. See details on Note 4 below.</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accompanying financial statements have been prepared in accordance with the generally accepted accounting principles in the United States of America (“U.S. GAAP”) and pursuant to the rules and regulations of the Securities Exchange Commission (“SEC”). The Company’s fiscal year end date is June 30.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consolidated financial statements include the accounts of the Company and its subsidiaries, E Marketing Solution Inc., Global Product Marketing Inc., Global Social Media, LLC, and Anivia Limited and its subsidiaries and VIE, including Fly Elephant Limited, Dayourenzai (Shenzhen) Technology Co., Ltd., and Daheshou (Shenzhen) Information Technology Co., Ltd. All inter-company balances and transactions have been eliminated.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Emerging Growth Company Status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 and assumptions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of assets and liabilities reported and disclosures of contingent assets and liabilities as of the date of the financial statements and the reported amounts of revenues and expenses during the periods presented. Actual results could differ from these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 translation and transactions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reporting and functional currency of iPower and subsidiaries is the U.S. dollar (USD). iPower’s WFOE and VIE in China uses the local currency, Renminbi (“RMB”), as its functional currency. Assets and liabilities of the VIE are translated at the current exchange rate as quoted by the People’s Bank of China (the “PBOC”) at the end of the period. Income and expense accounts are translated at the average translation rates and the equity accounts are translated at historical rates. Translation adjustments resulting from this process are included in accumulated other comprehensive income (loss) in the statement of changes in stockholders’ equity. Transaction gains and losses that arise from exchange rate fluctuations on transactions denominated in a currency other than the functional currency are included in the results of operations as incurred.</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balance sheet amounts of the VIE, with the exception of equity, on June 30, 2022, were translated at 6.6995 RMB to $1.00. The equity accounts were stated at their historical rates. The average translation rates applied to statements of operations and comprehensive income (loss) accounts for the year ended June 30, 2022 was 6.5222 RMB to $1.00. Cash flows were also translated at average translation rates for the period and, therefore, amounts reported on the statement of cash flows would not necessarily agree with changes in the corresponding balances on the consolidated balance sheet.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consist of amounts held as cash on hand and bank deposits.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the Company may maintain bank balances in interest bearing accounts in excess of the $250,000, which is currently the maximum amount insured by the Federal Deposit Insurance Corporation for interest bearing accounts (there is currently no insurance limit for deposits in noninterest bearing accounts). The Company has not experienced any losses with respect to cash. Management believes our Company is not exposed to any significant credit risk with respect to its cash.</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auto"/>
        </w:rPr>
        <w:t>Accounts receivable, net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ordinary course of business, the Company extends unsecured credit to its customers. Accounts receivable are stated at the amount the Company expects to collect from customers. Management reviews its accounts receivable balances each reporting period to determine if an allowance for credit loss is required.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July 2020, the Company adopted ASU 2016-13, Topics 326 - Credit Loss, Measurement of Credit Losses on Financial Instruments, which replaces the incurred loss methodology with an expected loss methodology that is referred to as the current expected credit loss (CECL) methodology, for its accounting standard for its trade accounts receivable.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evaluates the creditworthiness of all of its customers individually before accepting them and continuously monitors the recoverability of accounts receivable. If there are any indicators that a customer may not make payment, the Company may consider making provision for non-collectability for that particular customer. At the same time, the Company may cease further sales or services to such customer. The following are some of the factors that the Company develops allowance for credit losses:</w:t>
      </w:r>
    </w:p>
    <w:p>
      <w:pPr>
        <w:spacing w:after="0" w:line="18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customer fails to comply with its payment schedule;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customer is in serious financial difficulty;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significant dispute with the customer has occurred regarding job progress or other matters;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customer breaches any of its contractual obligations;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customer appears to be financially distressed due to economic or legal factors;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business between the customer and the Company is not active;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objective evidence indicates non-collectability of the accounts receivable.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adoption of the credit loss accounting standard has no material impact on the Company’s consolidated financial statements. Accounts receivable are recognized and carried at carrying amount less an allowance for credit losses, if any. The Company maintains an allowance for credit losses resulting from the inability of its customers to make required payments based on contractual terms. The Company reviews the collectability of its receivables on a regular and ongoing basis. The Company has also included in calculation of allowance for credit losses the potential impact of the COVID-19 pandemic on our customers’ businesses and their ability to pay their accounts receivable. After all attempts to collect a receivable have failed, the receivable is written off against the allowance. The Company also considers external factors to the specific customer, including current conditions and forecasts of economic conditions, including the potential impact of the COVID-19 pandemic. In the event we recover amounts previously written off, we will reduce the specific allowance for credit losses.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auto"/>
        </w:rPr>
        <w:t>Equity method investment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accounts for its ownership interest in Box Harmony, a 40% owned joint venture, following the equity method of accounting, in accordance with ASC 323, Investments —Equity Method and Joint Ventures. Under this method, the carrying cost is initially recorded at cost and then increased or decreased by recording its percentage of gain or loss in Box Harmony’s statement of operations and a corresponding charge or credit to the carrying value of the asset.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Combination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February 15, 2022, the Company acquired 100% of the ordinary shares of Anivia Limited (“Anivia”) and its subsidiaries, including the VIE. The Company applies the acquisition method of accounting for business combinations. Under the acquisition method, the acquiring entity in a business combination recognizes 100% of the assets acquired and liabilities assumed at their acquisition date fair values. Management utilizes valuation techniques appropriate for the asset or liability being measured in determining these fair values. Any excess of the purchase price over amounts allocated to assets acquired, including identifiable intangible assets, and liabilities assumed is recorded as goodwill. Where amounts allocated to assets acquired and liabilities assumed is greater than the purchase price, a bargain purchase gain is recognized. Acquisition-related costs are expensed as incurred. See Note 4 for details on acquisition.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Variable interest entities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February 15, 2022, the Company acquired 100% of the ordinary shares of Anivia Limited (“Anivia”) and its subsidiaries, including Daheshou (Shenzhen) Information Technology Co., Ltd., a company organized under the Laws of the PRC (“DHS”). Pursuant to the terms of the Agreements, the Company does not have direct ownership in DHS but is actively involved in DHS’s operations as the sole manager to direct the activities and significantly impact DHS’s economic performance. DHS’s operational funding has been provided by the Company following the February 15, 2022 acquisition. During the term of the agreements, the Company bears all the risk of loss and has the right to receive all of the benefits from DHS. As such, based on the determination that the Company is the primary beneficiary of DHS, in accordance with ASC 810-10-25-38A through 25-38J, DHS is considered a variable interest entity (“VIE”) of the Company and the financial statements of DHS have been consolidated from the date such control existed, February 15, 2022. See Note 4 and Note 5 for details on acquisition.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Goodwill represents the excess of the purchase price over the fair value of assets acquired and liabilities assumed. The Company accounts for goodwill under </w:t>
      </w:r>
      <w:r>
        <w:rPr>
          <w:rFonts w:ascii="Arial" w:cs="Arial" w:eastAsia="Arial" w:hAnsi="Arial"/>
          <w:sz w:val="18"/>
          <w:szCs w:val="18"/>
          <w:i w:val="1"/>
          <w:iCs w:val="1"/>
          <w:color w:val="auto"/>
        </w:rPr>
        <w:t>ASC Topic 350, Intangibles-Goodwill and Other</w:t>
      </w:r>
      <w:r>
        <w:rPr>
          <w:rFonts w:ascii="Arial" w:cs="Arial" w:eastAsia="Arial" w:hAnsi="Arial"/>
          <w:sz w:val="18"/>
          <w:szCs w:val="18"/>
          <w:color w:val="auto"/>
        </w:rPr>
        <w:t>.</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Goodwill is not amortized but is reviewed for potential impairment on an annual basis, or if events or circumstances indicate a potential impairment, at the reporting unit level. The Company’s review for impairment includes an assessment of qualitative factors to determine whether it is more likely than not that the fair value of a reporting unit is less than its carrying value, including goodwill. If it is determined that it is more likely than not that the fair value of a reporting unit is less than its carrying value, including goodwill, a quantitative goodwill impairment test is performed, which compares the fair value of the reporting unit with its carrying amounts, including goodwill. If the fair value of the reporting unit exceeds its carrying amount, goodwill of the reporting unit is considered not impaired. However, if the carrying amount of the reporting unit exceeds its fair value, additional procedures must be performed. That additional procedure compares the implied fair value of the reporting unit’s goodwill with the carrying amount of that goodwill. An impairment loss is recorded to the extent that the carrying amount of goodwill exceeds its implied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auto"/>
        </w:rPr>
        <w:t>Intangible Assets, net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Finite life intangible assets at June 30, 2022 include covenant not to compete, supplier relationship, and software recognized as part of the acquisition of Anivia Limited. Intangible assets are recorded at the estimated fair value of these items at the date of acquisition, February 15, 2022. Intangible assets are amortized on a straight-line basis over their estimated useful life as followings: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Borders>
              <w:bottom w:val="single" w:sz="8" w:color="EEEEEE"/>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Useful Life</w:t>
            </w:r>
          </w:p>
        </w:tc>
      </w:tr>
      <w:tr>
        <w:trPr>
          <w:trHeight w:val="210"/>
        </w:trPr>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Covenant Not to Compete</w:t>
            </w:r>
          </w:p>
        </w:tc>
        <w:tc>
          <w:tcPr>
            <w:tcW w:w="14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10 years</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Supplier relationship</w:t>
            </w:r>
          </w:p>
        </w:tc>
        <w:tc>
          <w:tcPr>
            <w:tcW w:w="1460" w:type="dxa"/>
            <w:vAlign w:val="bottom"/>
          </w:tcPr>
          <w:p>
            <w:pPr>
              <w:jc w:val="center"/>
              <w:spacing w:after="0"/>
              <w:rPr>
                <w:sz w:val="20"/>
                <w:szCs w:val="20"/>
                <w:color w:val="auto"/>
              </w:rPr>
            </w:pPr>
            <w:r>
              <w:rPr>
                <w:rFonts w:ascii="Arial" w:cs="Arial" w:eastAsia="Arial" w:hAnsi="Arial"/>
                <w:sz w:val="18"/>
                <w:szCs w:val="18"/>
                <w:color w:val="auto"/>
                <w:w w:val="84"/>
              </w:rPr>
              <w:t>6 years</w:t>
            </w:r>
          </w:p>
        </w:tc>
      </w:tr>
      <w:tr>
        <w:trPr>
          <w:trHeight w:val="216"/>
        </w:trPr>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Software</w:t>
            </w:r>
          </w:p>
        </w:tc>
        <w:tc>
          <w:tcPr>
            <w:tcW w:w="14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4"/>
              </w:rPr>
              <w:t>5 years</w:t>
            </w: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reviews the recoverability of long-lived assets, including the intangible assets, when events or changes in circumstances occur that indicate the carrying value of the asset may not be recoverable. The assessment of possible impairment is based on the ability to recover the carrying value of the asset from the expected future pretax cash flows (undiscounted and without interest charges) of the related operations. If these cash flows are less than the carrying value of such asset, an impairment loss is recognized for the difference between estimated fair value and carrying value. The measurement of impairment requires management to make estimates of these cash flows related to long-lived assets, as well as other fair value determinations. As of June 30, 2022, there were no indicators of impairment.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values of financial instruments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ASC 825, “Disclosures about Fair Value of Financial Instruments,” requires disclosure of fair value information about financial instruments. ASC 820, “Fair Value Measurements” defines fair value, establishes a framework for measuring fair value in generally accepted accounting principles, and expands disclosures about fair value measurements.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amounts of cash and cash equivalents, accounts receivable, accounts payable and all other current assets and liabilities approximate fair values due to their short-term nature.</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February 15, 2022, as part of the consideration for the acquisition of Anivia Limited, the Company issued a two-year unsecured 6% subordinated promissory note, payable in equal semi-annual installments commencing August 15, 2022 (the “Purchase Note”). The principal amount of the Purchase Note was $3.5 million. On February 15, 2022, the Company evaluated the fair value of the Purchase Note to be $3.6 million using the following inputs: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shd w:val="clear" w:color="auto" w:fill="EEEEEE"/>
          </w:tcPr>
          <w:p>
            <w:pPr>
              <w:spacing w:after="0"/>
              <w:rPr>
                <w:sz w:val="20"/>
                <w:szCs w:val="20"/>
                <w:color w:val="auto"/>
              </w:rPr>
            </w:pPr>
            <w:r>
              <w:rPr>
                <w:rFonts w:ascii="Arial" w:cs="Arial" w:eastAsia="Arial" w:hAnsi="Arial"/>
                <w:sz w:val="18"/>
                <w:szCs w:val="18"/>
                <w:color w:val="auto"/>
              </w:rPr>
              <w:t>Corporate bond yield</w:t>
            </w:r>
          </w:p>
        </w:tc>
        <w:tc>
          <w:tcPr>
            <w:tcW w:w="3560" w:type="dxa"/>
            <w:vAlign w:val="bottom"/>
            <w:shd w:val="clear" w:color="auto" w:fill="EEEEEE"/>
          </w:tcPr>
          <w:p>
            <w:pPr>
              <w:jc w:val="right"/>
              <w:ind w:right="2550"/>
              <w:spacing w:after="0"/>
              <w:rPr>
                <w:sz w:val="20"/>
                <w:szCs w:val="20"/>
                <w:color w:val="auto"/>
              </w:rPr>
            </w:pPr>
            <w:r>
              <w:rPr>
                <w:rFonts w:ascii="Arial" w:cs="Arial" w:eastAsia="Arial" w:hAnsi="Arial"/>
                <w:sz w:val="18"/>
                <w:szCs w:val="18"/>
                <w:color w:val="auto"/>
              </w:rPr>
              <w:t>3.1%</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Risk-free rate</w:t>
            </w:r>
          </w:p>
        </w:tc>
        <w:tc>
          <w:tcPr>
            <w:tcW w:w="3560" w:type="dxa"/>
            <w:vAlign w:val="bottom"/>
          </w:tcPr>
          <w:p>
            <w:pPr>
              <w:jc w:val="right"/>
              <w:ind w:right="2550"/>
              <w:spacing w:after="0"/>
              <w:rPr>
                <w:sz w:val="20"/>
                <w:szCs w:val="20"/>
                <w:color w:val="auto"/>
              </w:rPr>
            </w:pPr>
            <w:r>
              <w:rPr>
                <w:rFonts w:ascii="Arial" w:cs="Arial" w:eastAsia="Arial" w:hAnsi="Arial"/>
                <w:sz w:val="18"/>
                <w:szCs w:val="18"/>
                <w:color w:val="auto"/>
              </w:rPr>
              <w:t>1.6%</w:t>
            </w:r>
          </w:p>
        </w:tc>
      </w:tr>
      <w:tr>
        <w:trPr>
          <w:trHeight w:val="216"/>
        </w:trPr>
        <w:tc>
          <w:tcPr>
            <w:tcW w:w="2060" w:type="dxa"/>
            <w:vAlign w:val="bottom"/>
            <w:shd w:val="clear" w:color="auto" w:fill="EEEEEE"/>
          </w:tcPr>
          <w:p>
            <w:pPr>
              <w:spacing w:after="0"/>
              <w:rPr>
                <w:sz w:val="20"/>
                <w:szCs w:val="20"/>
                <w:color w:val="auto"/>
              </w:rPr>
            </w:pPr>
            <w:r>
              <w:rPr>
                <w:rFonts w:ascii="Arial" w:cs="Arial" w:eastAsia="Arial" w:hAnsi="Arial"/>
                <w:sz w:val="18"/>
                <w:szCs w:val="18"/>
                <w:color w:val="auto"/>
              </w:rPr>
              <w:t>Liquidity premium</w:t>
            </w:r>
          </w:p>
        </w:tc>
        <w:tc>
          <w:tcPr>
            <w:tcW w:w="3560" w:type="dxa"/>
            <w:vAlign w:val="bottom"/>
            <w:shd w:val="clear" w:color="auto" w:fill="EEEEEE"/>
          </w:tcPr>
          <w:p>
            <w:pPr>
              <w:jc w:val="right"/>
              <w:ind w:right="2550"/>
              <w:spacing w:after="0"/>
              <w:rPr>
                <w:sz w:val="20"/>
                <w:szCs w:val="20"/>
                <w:color w:val="auto"/>
              </w:rPr>
            </w:pPr>
            <w:r>
              <w:rPr>
                <w:rFonts w:ascii="Arial" w:cs="Arial" w:eastAsia="Arial" w:hAnsi="Arial"/>
                <w:sz w:val="18"/>
                <w:szCs w:val="18"/>
                <w:color w:val="auto"/>
              </w:rPr>
              <w:t>0.4%</w:t>
            </w: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Discount rate</w:t>
            </w:r>
          </w:p>
        </w:tc>
        <w:tc>
          <w:tcPr>
            <w:tcW w:w="3560" w:type="dxa"/>
            <w:vAlign w:val="bottom"/>
          </w:tcPr>
          <w:p>
            <w:pPr>
              <w:jc w:val="right"/>
              <w:ind w:right="2550"/>
              <w:spacing w:after="0"/>
              <w:rPr>
                <w:sz w:val="20"/>
                <w:szCs w:val="20"/>
                <w:color w:val="auto"/>
              </w:rPr>
            </w:pPr>
            <w:r>
              <w:rPr>
                <w:rFonts w:ascii="Arial" w:cs="Arial" w:eastAsia="Arial" w:hAnsi="Arial"/>
                <w:sz w:val="18"/>
                <w:szCs w:val="18"/>
                <w:color w:val="auto"/>
              </w:rPr>
              <w:t>3.5%</w:t>
            </w:r>
          </w:p>
        </w:tc>
      </w:tr>
    </w:tbl>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2022, the outstanding principal balance of the Purchase Note was $3,660,770, including premium of $82,020 and $78,750 of accrued interest.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other financial instruments to be reported at fair value, the Company utilizes valuation techniques that maximize the use of observable inputs and minimize the use of unobservable inputs to the extent possible. The Company determines the fair value of its financial instruments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Level 1 – Inputs are unadjusted, quoted prices in active markets for identical assets or liabilities at the measurement date;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3 – Unobservable inputs that are significant to the measurement of the fair value of the assets or liabilities that are supported by little or no market data.</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adopted Accounting Standards Codification (“ASC”) 606 since its inception on April 11, 2018 and recognizes revenue from product sales revenues, net of promotional discounts and return allowances, when the following revenue recognition criteria are met: a contract has been identified, separate performance obligations are identified, the transaction price is determined, the transaction price is allocated to separate performance obligations and revenue is recognized upon satisfying each performance obligation. The Company transfers the risk of loss or damage upon shipment, therefore, revenue from product sales is recognized when it is shipped to the customer. Return allowances, which reduce product revenue by the Company’s best estimate of expected product returns, are estimated using historical experience.</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evaluates the criteria of ASC 606 - Revenue Recognition Principal Agent Considerations in determining whether it is appropriate to record the gross amount of product sales and related costs or the net amount earned as commissions. Generally, when the Company is primarily responsible for fulfilling the promise to provide a specified good or service, the Company is subject to inventory risk before the good or service has been transferred to a customer and the Company has discretion in establishing the price, revenue is recorded at gross.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Payments received prior to the delivery of goods to customers are recorded as customer deposits.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periodically provides incentive offers to its customers to encourage purchases. Such offers include current discount offers, such as percentage discounts off current purchases and other similar offers. Current discount offers, when accepted by the Company’s customers, are treated as a reduction to the purchase price of the related transaction.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discounts are recorded in the period in which the related sale is recognized. Sales return allowances are estimated based on historical amounts and are recorded upon recognizing the related sales. Shipping and handling costs are recorded as selling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 costs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Advertising costs are expensed as incurred. Total advertising and promotional costs included in selling and fulfillment expenses for the years ended June 30, 2022 and 2021 were $2,718,082 and $1,783,573,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mainly consists of costs for purchases of products and related inbound freight and delivery fees.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which consist of selling and fulfillment and general and administrative expenses, are expensed as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Inventory consists of finished goods ready for sale and is stated at the lower of cost or market. The Company values its inventory using the weighted average costing method. The Company’s policy is to include as a part of cost of goods sold any freight incurred to ship the product from its vendors to warehouses. Outbound freight costs related to shipping costs to customers are considered periodic costs and are reflected in selling and fulfillment expenses. The Company regularly reviews inventory and considers forecasts of future demand, market conditions and product obsolescence.</w:t>
      </w:r>
    </w:p>
    <w:p>
      <w:pPr>
        <w:spacing w:after="0" w:line="17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If the estimated realizable value of the inventory is less than cost, the Company makes provisions in order to reduce its carrying value to its estimated market value. The Company also reviews inventory for slow moving inventory and obsolescence and records allowance for obsolescence.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Issuance Costs</w:t>
      </w:r>
    </w:p>
    <w:p>
      <w:pPr>
        <w:spacing w:after="0" w:line="22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Costs incurred in connection with the issuance of debt are deferred and amortized as interest expense over the term of the related debt using the effective interest method. To the extent that the debt is outstanding, these amounts are reflected in the consolidated balance sheets as direct deductions from the carrying amount of the outstanding borrowings.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auto"/>
        </w:rPr>
        <w:t>Segment reporting</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follows ASC 280, Segment Reporting. The Company’s chief operating decision maker, the Chief Executive Officer, reviews the consolidated results of operations when making decisions about allocating resources and assessing the performance of the Company as a whole and, hence, the Company has only one reportable segment. The Company does not distinguish between markets or segments for the purpose of internal reporting. For the year ended June 30, 2022, sales through Amazon to Canada and other foreign countries were approximately 7.2% of the Company’s total sales. Sales of hydroponic products, including ventilation and grow light systems, was approximately 50% of the Company’s total sales and the remaining 50% consisted of general gardening, home goods, and other products and accessories. As of June 30, 2022, there were approximately $1.8 million of inventory stored in China. The Company’s majority of long-lived assets are located in California, United States, and majority of the Company’s revenues are derived from within the United States. Therefore, no geographical segments are presented.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its inception date, April 11, 2018, the Company adopted ASC 842 – Leases (“ASC 842”), which requires lessees to record right-of-use (“ROU”) assets and related lease obligations on the balance sheet, as well as disclose key information regarding leasing arrangements.</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ROU assets represent our right to use an underlying asset for the lease terms and lease liabilities represent our obligation to make lease payments arising from the lease. Operating lease ROU assets and liabilities are recognized at commencement date based on the present value of lease payments over the lease term. As the Company’s leases do not provide an implicit rate, the Company generally uses its incremental borrowing rate based on the estimated rate of interest for collateralized borrowing over a similar term of the lease payments at commencement date. The operating lease ROU asset also includes any lease payments made and excludes lease incentives. Lease expense for lease payments is recognized on a straight-line basis over the lease term.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applies ASC No. 718, “Compensation-Stock Compensation,” which requires that share-based payment transactions with employees and nonemployees upon adoption of ASU 2018-07, be measured based on the grant date fair value of the equity instrument and recognized as compensation expense over the requisite service period, with a corresponding addition to equity. Under this method, compensation cost related to employee share options or similar equity instruments is measured at the grant date based on the fair value of the award and is recognized over the period during which an employee is required to provide service in exchange for the award, which generally is the vesting period. In addition to requisite service period, the Company also evaluates the performance condition and market condition under ASC 718-10-20. For an award which contains both a performance and a market condition, and where both conditions must be satisfied for the award to vest, the market condition is incorporated into the fair value of the award, and that fair value is recognized over the employee’s requisite service period or nonemployee’s vesting period if it is probable the performance condition will be met. If the performance condition is ultimately not met, compensation cost related to the award should not be recognized (or should be reversed) because the vesting condition in the award has not been satisfied.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recognize forfeitures of such equity-based compensation as they occur.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accounts for income taxes under the asset and liability method. Deferred tax assets and liabilities are recognized for future tax consequences attributable to differences between the financial statement carrying amounts of existing assets and liabilities and their perspective tax bases. Deferred tax assets and liabilities are measured using enacted tax rates expected to apply to taxable income in the years in which the temporary differences are expected to be recovered or settled. The effect on deferred tax assets and liabilities of a change in tax rates is recognized in income in the period that includes the enactment date. Valuation allowances are recorded, when necessary, to reduce deferred tax assets to the amount expected to be realized.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6" w:name="page67"/>
    <w:bookmarkEnd w:id="66"/>
    <w:p>
      <w:pPr>
        <w:jc w:val="both"/>
        <w:spacing w:after="0" w:line="272" w:lineRule="auto"/>
        <w:rPr>
          <w:sz w:val="20"/>
          <w:szCs w:val="20"/>
          <w:color w:val="auto"/>
        </w:rPr>
      </w:pPr>
      <w:r>
        <w:rPr>
          <w:rFonts w:ascii="Arial" w:cs="Arial" w:eastAsia="Arial" w:hAnsi="Arial"/>
          <w:sz w:val="17"/>
          <w:szCs w:val="17"/>
          <w:color w:val="auto"/>
        </w:rPr>
        <w:t>As a result of the implementation of certain provisions of ASC 740, Income Taxes (“ASC 740”), which clarifies the accounting and disclosure for uncertainty in tax position, as defined, ASC 740 seeks to reduce the diversity in practice associated with certain aspects of the recognition and measurement related to accounting for income taxes. The Company has adopted the provisions of ASC 740 since inception, April 11, 2018, and has analyzed filing positions in each of the federal and state jurisdictions where the Company is required to file income tax returns, as well as open tax years in such jurisdictions. The Company has identified the U.S. federal jurisdiction, and the states of Nevada and California, as its “major” tax jurisdictions. However, the Company has certain tax attribute carryforwards which will remain subject to review and adjustment by the relevant tax authorities until the statute of limitations closes with respect to the year in which such attributes are utilized.</w:t>
      </w:r>
    </w:p>
    <w:p>
      <w:pPr>
        <w:spacing w:after="0" w:line="17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believes that our income tax filing positions and deductions will be sustained on audit and do not anticipate any adjustments that will result in a material change to its financial position. Therefore, no reserves for uncertain income tax positions have been recorded pursuant to ASC 740. The Company’s policy for recording interest and penalties associated with income-based tax audits is to record such items as a component of income taxes.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Commitments and contingencies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business, the Company is subject to certain contingencies, including legal proceedings and claims arising out of the business that relate to a wide range of matters, such as government investigations and tax matters. The Company recognizes a liability for such contingency if it determines it is probable that a loss has occurred and a reasonable estimate of the loss can be made. The Company may consider many factors in making these assessments including historical and specific facts and circumstances of each matter.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earnings per share are computed by dividing net income attributable to holders of common stock by the weighted average number of shares of common stock outstanding during the year. Diluted earnings per share reflect the potential dilution that could occur if securities to issue common stock were exercised.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pronouncements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June 2022, FASB issued ASU 2022-03, Fair Value Measurement (Topic 820): Fair Value Measurement of Equity Securities Subject to Contractual Sale Restrictions. The amendments in this ASU clarify the guidance in ASC 820 on the fair value measurement of an equity security that is subject to a contractual sale restriction and require specific disclosures related to such an equity security. This standard is effective for fiscal years beginning after December 15, 2024. The Company does not expect the adoption of this standard to have a material impact on the consolidated financial statements.</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2021, the FASB issued ASU 2021-08, Business Combinations (Topic 805), Accounting for Contract Assets and Contract Liabilities from Contracts with Customers. This ASU clarifies that an acquirer of a business should recognize and measure contract assets and contract liabilities in a business combination in accordance with ASU 2014-09, Revenue from Contracts with Customers (Topic 606) as if the entity had originated the contracts. The guidance is effective for fiscal years beginning after December 15, 2023, with early application permitted. The Company does not expect the adoption of this standard to have a material impact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7" w:name="page68"/>
    <w:bookmarkEnd w:id="67"/>
    <w:p>
      <w:pPr>
        <w:jc w:val="both"/>
        <w:spacing w:after="0" w:line="293" w:lineRule="auto"/>
        <w:rPr>
          <w:sz w:val="20"/>
          <w:szCs w:val="20"/>
          <w:color w:val="auto"/>
        </w:rPr>
      </w:pPr>
      <w:r>
        <w:rPr>
          <w:rFonts w:ascii="Arial" w:cs="Arial" w:eastAsia="Arial" w:hAnsi="Arial"/>
          <w:sz w:val="16"/>
          <w:szCs w:val="16"/>
          <w:color w:val="auto"/>
        </w:rPr>
        <w:t>In August 2020, the FASB issued ASU 2020-06, “Debt – Debt with Conversion and Other Options (Subtopic 470-20) and Derivatives and Hedging – Contracts in Entity’s Own Equity (Subtopic 815-40).” This ASU reduces the number of accounting models for convertible debt instruments and convertible preferred stock, as well as amend the guidance for the derivatives scope exception for contracts in an entity’s own equity to reduce form-over-substance-based accounting conclusions. In addition, this ASU improves and amends the related EPS guidance. This standard is effective for the Company on July 1, 2024, including interim periods within those fiscal years. Adoption is either a modified retrospective method or a fully retrospective method of transition. The Company does not expect the adoption of this standard to have a material impact on the consolidated financial statements.</w:t>
      </w:r>
    </w:p>
    <w:p>
      <w:pPr>
        <w:spacing w:after="0" w:line="16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January 2020, the FASB issued ASU 2020-01, “Investments - Equity Securities (Topic 321), Investments - Equity Method and Joint Ventures (Topic 323), and Derivatives and Hedging (Topic 815) - Clarifying the Interactions between Topic 321, Topic 323, and Topic 815.” This ASU among other things clarifies that a company should consider observable transactions that require a company to either apply or discontinue the equity method of accounting under Topic 323, Investments—Equity Method and Joint Ventures, for the purposes of applying the measurement alternative in accordance with Topic 321 immediately before applying or upon discontinuing the equity method. The new ASU clarifies that, when determining the accounting for certain forward contracts and purchased options a company should not consider, whether upon settlement or exercise, if the underlying securities would be accounted for under the equity method or fair value option. ASU 2020-01 is effective For public business entities for fiscal years, and interim periods within those fiscal years, beginning after December 15, 2021. An entity should apply ASU 2020-01 prospectively at the beginning of the interim period that includes the adoption date. The adoption of ASU 2020-01 is not expected to have material impact on the Company's Consolidated Financial Statements.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December 2019, the FASB issued ASU 2019-12, Income Taxes (Topic 740) – Simplifying the Accounting for Income Taxes. The update is intended to simplify the current rules regarding the accounting for income taxes and addresses several technical topics including accounting for franchise taxes, allocating income taxes between a loss in continuing operations and in other categories such as discontinued operations, reporting income taxes for legal entities that are not subject to income taxes, and interim accounting for enacted changes in tax laws. The new standard is effective for fiscal years beginning after December 15, 2021, and interim periods within fiscal years beginning after December 15, 2022; however, early adoption is permitted. The Company does not expect the adoption of this standard have a material impact on the consolidated financial statements.</w:t>
      </w:r>
    </w:p>
    <w:p>
      <w:pPr>
        <w:spacing w:after="0" w:line="16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January 2017, the FASB issued ASU 2017-04, “Intangibles - Goodwill and Other (Topic 350): Simplifying the Test for Goodwill Impairment,” which eliminates step two from the goodwill impairment test. Under ASU 2017-04, an entity should recognize an impairment charge for the amount by which the carrying amount of a reporting unit exceeds its fair value up to the amount of goodwill allocated to that reporting unit. All other entities, including not-for-profit entities, that are adopting the amendments in this Update should do so for their annual or any interim goodwill impairment tests in fiscal years beginning after December 15, 2021. The adoption of ASU 2017-04 is not expected to have material impact on the Company's Consolidated Financial Statements.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does not believe other recently issued but not yet effective accounting standards, if currently adopted, would have a material effect on the consolidated financial position, statements of operations and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Subsequent events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through the date that the consolidated financial statements are available to be issued. Material subsequent events that required recognition or additional disclosure in the consolidated financial statements are presented.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Note 3 - Joint Ventures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Box Harmony, LLC</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13, 2022, the Company entered into a joint venture agreement (the “Joint Venture Agreement”) with Titanium Plus Autoparts, Inc., a California corporation (“TPA”), Tony Chiu (“Chiu”) and Bin Xiao (“Xiao”). Pursuant to the terms of the Joint Venture Agreement, the parties formed a Nevada limited liability company, Box Harmony, LLC (“Box Harmony”), for the principal purpose of providing logistic services primarily for foreign-based manufacturers or distributors who desire to sell their products online in the United States, with such logistic services to include, without limitation, receiving, storing and transporting such products.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Following entry into the Joint Venture Agreement, Box Harmony issued a total of 6,000 certificated units of membership interest, designated as Class A voting units (“Equity Units”), as follows: (i) the Company agreed to contribute $50,000 in cash in exchange for 2,400 Equity Units in Box Harmony and agreed to provide Box Harmony with the use and access to certain warehouse facilities leased by the Company (see below), and (ii) TPA received 1,200 Equity Units in exchange for (a) $1,200 and contributing the TPA IP License referred to below, (b) its existing and future customer contracts, and (c) granting Box Harmony the use of shipping accounts (FedEx and UPS) and all other TPA carrier contracts, and (iii) Xiao received 2,400 Equity Units in exchange for $2,400 and his agreement to manage the day to day operations of Box Harmony.</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terms of the Box Harmony limited liability operating agreement (the “LLC Agreement”), TPA and Xiao each granted to the Company an unconditional and irrevocable right and option to purchase from Xiao and TPA at any time within the first 18 months following January 13, 2022, up to 1,200 Class A voting units, at an exercise price of $550 per Class A voting unit, for a total exercise price of up to $660,000. If such option is fully exercised, the Company would own 3,600 Equity Units or 60% of the total outstanding Equity Units. As of the date of this report, the Company had not exercised the option to purchase additional voting units from Xiao and TPA. The LLC Agreement prohibits the issuance of additional Equity Units and certain other actions unless approved in advance by the Company, that a noncontrolling right that would not be substantive to overcome the majority voting interests held by TPA and Xiao.</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the Company owns 40% of the equity interest in Box Harmony with significant influence but does not own a majority equity interest or otherwise control of Box Harmony. The Company accounts for its ownership interest in Box Harmony following the equity method of accounting, in accordance with ASC 323, Investments —Equity Method and Joint Ventures. Under this method, the carrying cost is initially recorded at cost and then increased or decreased by recording its percentage of gain or loss in its statement of operations and a corresponding charge or credit to the carrying value of the asset.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Social Media, LLC</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10, 2022, the Company entered into a joint venture agreement with Bro Angel, LLC, Ji Shin and Bing Luo (the “GSM Joint Venture Agreement”). Pursuant to the terms of the GSM Joint Venture Agreement, the parties formed a Nevada limited liability company, Global Social Media, LLC (“GSM”), for the principal purpose of providing a social media platform, contents and services to assist businesses, including the Company and other businesses, in marketing their products.</w:t>
      </w:r>
    </w:p>
    <w:p>
      <w:pPr>
        <w:spacing w:after="0" w:line="187"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Following entry into the GSM Joint Venture Agreement, GSM issued 10,000 certificated units of membership interest (the “GSM Equity Units”), of which the Company was issued 6,000 GSM Equity Units and Bro Angel was issued 4,000 GSM Equity Units. Messrs. Shin and Luo are the owners of 100% of the equity of Bro Angel. The LLC Agreement prohibits the issuance of additional Equity Units and certain other actions unless approved in advance by Bro Angel, creating a noncontrolling right that would not be substantive to overcome the majority voting interests held by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of this report, the members had not completed the capital contributions and no receivables were recorded.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terms of the Agreements, the Company owns 60% of the equity interest in GSM and control of the operations. Based on ASU 2015-02, the Company consolidate GSM due to its majority equity ownership and control over operations. For the years ended June 30, 2022 and 2021, the impact of GSM’s activities were immaterial to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Note 4 - Acquisition of Anivia Limited and Subsidiaries and Variable Interest Entity</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15, 2022, the Company acquired 100% of the ordinary shares of Anivia Limited (“Anivia”), a corporation organized under the laws of the British Virgin Islands (“BVI”), in accordance with the terms of a share transfer framework agreement (the “Transfer Agreement”), dated February 15, 2022, by and between the Company, White Cherry Limited, a BVI company (“White Cherry”), White Cherry’s equity holders, Li Zanyu and Xie Jing (together with White Cherry, the “Sellers”), Anivia, Fly Elephant Limited, a Hong Kong company, Dayourenzai (Shenzhen) Technology Co., Ltd. and Daheshou (Shenzhen) Information Technology Co., Ltd. Anivia owns 100% of the equity of Fly Elephant Limited, which in turn owns 100% of the equity of Dayourenzai (Shenzhen) Technology Co., Ltd., a corporation located in the People’s Republic of China (“PRC”) and which is a wholly foreign-owned enterprise (“WFOE”) of Fly Elephant Limited. The WFOE controls, through contractual arrangements summarized below, the business, revenues and profits of Daheshou (Shenzhen) Information Technology Co., Ltd., a company organized under the Laws of the PRC (“DHS”) and located in Shenzhen, China.</w:t>
      </w:r>
    </w:p>
    <w:p>
      <w:pPr>
        <w:spacing w:after="0" w:line="19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contractual arrangements between the WFOE and DHS are established through a variable interest operating entity structure, which is reflected in (i) an exclusive business cooperation agreement, dated December 15, 2021, between the WFOE and DHS, (ii) an exclusive equity interest pledge agreement, dated December 15, 2021, between the WFOE and DHS in which the equity of DHS was pledged to the WFOE, (iii) an exclusive option agreement, dated December 15, 2021, between the WFOE, DHS and its equity holders, Li Zanyu and Xie Jing (the “Equity Holders), pursuant to which the Equity Holders give the WFOE the irrevocable and exclusive right to purchase the equity interests in DHS, and (iii) a power of attorney, dated December 15, 2021, pursuant to which Li Zanyu and Xie Jing, the holders of 100% of the equity interest of DHS, granted the WFOE all voting and other rights to their equity interest in DHS. According to the exclusive business cooperation agreement, in consideration for the services provided by the WFOE, DHS shall pay a service fee to the WFOE on annual basis (or at any time agreed by the Parties). The service fees for each year (or for any other period agreed to by the Parties) shall consist of a management fee and a fee for services provided, which shall be reasonably determined by the WFOE based on the nature, complexity, time, and other market and operation factors. The WFOE may provide a separate confirmation letter and/or invoice to DHS to indicate the amount of service fees due for each service period; or the amount of services fees may be as set forth in the relevant contracts separately executed by the Parties. DHS is principally engaged in selling a wide range of products and providing logistic services in the PRC.</w:t>
      </w:r>
    </w:p>
    <w:p>
      <w:pPr>
        <w:spacing w:after="0" w:line="16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the terms of the Agreements, the Company does not have direct ownership in DHS but is actively involved in DHS’s operations as the sole manager to direct the activities and significantly impact DHS’s economic performance. As such, based on the determination that the Company is the primary beneficiary of DHS, in accordance with ASC 810-10-25-38A through 25-38J, DHS is considered a variable interest entity (“VIE”) of the Company and the financial statements of DHS have been consolidated from the date such control existed, February 15, 2022.</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fair value of the consideration for the transaction was $10,629,000, which was paid to White Cherry as follows: at closing, the Company (i) paid $3,500,000 in the form of a two-year unsecured 6% subordinated promissory note, payable in equal semi-annual installments commencing August 15, 2022 (the “Purchase Note”), (ii) issued 3,083,700 restricted shares (subject to a lock-up period of 180 days and insider trading rules) of the Company’s common stock, and (iii) an additional $1,500,000 in cash was to be paid after closing.</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JP Morgan Chase Bank, the Company’s senior secured lender (“JPM”), consented to the transaction. In conjunction with obtaining JPM’s consent, the Company delivered an amendment to the pledge and security agreement with JPM, pursuant to which the Company pledged to JPM 65% of the equity interest of Anivia Limited, Fly Elephant Limited and the WFOE.</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in conjunction with the closing of the transaction, the WFOE entered into an employment agreement with Li Zanyu, dated February 15, 2022 (the “Employment Agreement”), pursuant to which Mr. Li has been appointed to serve as general manager of the WFOE for a term of 10 years (through February 14, 2032), with annual base compensation of up to 500,000 RMB plus bonus as may be determined by the WFOE from time to time, in its sole discretion, based on Mr. Li’s performance. During such employment, Mr. Li may not engage in other employment without the consent of the WFOE.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0" w:name="page71"/>
    <w:bookmarkEnd w:id="70"/>
    <w:p>
      <w:pPr>
        <w:jc w:val="both"/>
        <w:spacing w:after="0" w:line="269" w:lineRule="auto"/>
        <w:rPr>
          <w:sz w:val="20"/>
          <w:szCs w:val="20"/>
          <w:color w:val="auto"/>
        </w:rPr>
      </w:pPr>
      <w:r>
        <w:rPr>
          <w:rFonts w:ascii="Arial" w:cs="Arial" w:eastAsia="Arial" w:hAnsi="Arial"/>
          <w:sz w:val="17"/>
          <w:szCs w:val="17"/>
          <w:color w:val="auto"/>
        </w:rPr>
        <w:t>The acquisition of Anivia was accounted for as a business combination under ASC 805. As the acquirer for accounting purposes, the Company has estimated the fair value of Anivia and its subsidiaries’ assets acquired and conformed the accounting policies of Anivia to its own accounting policies. The Company applied the income approach and cost approach in determining the fair value of the intangible assets, which intangible assets consisted of a covenant not to compete, supplier relationship and software. The fair value of the remaining assets acquired and liabilities assumed were not significantly different from their carrying values at the acquisition date. In addition, pursuant to the Transfer Agreement, the Sellers made certain representations and warranties, including that other than the items presented on the balance sheet on February 15, 2022, DHS, the operating VIE, was not subject to any loans, debts, liabilities, guarantees or other contingent liabilities at the Closing date. In the event of any breach of any of the representations and warranties, the sellers shall bear joint and several liability for any direct or indirect losses suffered by the Company as a result thereof. The Company recognized an approximately $6.1 million of goodwill in the transaction, which is primarily due to the subsumed assembled workforce intangible assets. Goodwill is not deductible for income tax purposes. The Company expensed with the acquisition, certain legal and accounting costs of $54,702, as general and administration expenses and $50,000 paid to JPM as financing fees.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information summarizes the purchase consideration and allocation of the fair values assigned to the assets at the purchase date, February 15,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60" w:type="dxa"/>
            <w:vAlign w:val="bottom"/>
          </w:tcPr>
          <w:p>
            <w:pPr>
              <w:spacing w:after="0"/>
              <w:rPr>
                <w:sz w:val="20"/>
                <w:szCs w:val="20"/>
                <w:color w:val="auto"/>
              </w:rPr>
            </w:pPr>
            <w:r>
              <w:rPr>
                <w:rFonts w:ascii="Arial" w:cs="Arial" w:eastAsia="Arial" w:hAnsi="Arial"/>
                <w:sz w:val="18"/>
                <w:szCs w:val="18"/>
                <w:b w:val="1"/>
                <w:bCs w:val="1"/>
                <w:color w:val="auto"/>
              </w:rPr>
              <w:t>Fair Value of Purchase Price:</w:t>
            </w: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95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Cash</w:t>
            </w:r>
          </w:p>
        </w:tc>
        <w:tc>
          <w:tcPr>
            <w:tcW w:w="420" w:type="dxa"/>
            <w:vAlign w:val="bottom"/>
            <w:shd w:val="clear" w:color="auto" w:fill="EEEEEE"/>
          </w:tcPr>
          <w:p>
            <w:pPr>
              <w:jc w:val="right"/>
              <w:ind w:right="2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1,500,000</w:t>
            </w:r>
          </w:p>
        </w:tc>
        <w:tc>
          <w:tcPr>
            <w:tcW w:w="80" w:type="dxa"/>
            <w:vAlign w:val="bottom"/>
            <w:shd w:val="clear" w:color="auto" w:fill="EEEEEE"/>
          </w:tcPr>
          <w:p>
            <w:pPr>
              <w:spacing w:after="0"/>
              <w:rPr>
                <w:sz w:val="18"/>
                <w:szCs w:val="18"/>
                <w:color w:val="auto"/>
              </w:rPr>
            </w:pPr>
          </w:p>
        </w:tc>
      </w:tr>
      <w:tr>
        <w:trPr>
          <w:trHeight w:val="216"/>
        </w:trPr>
        <w:tc>
          <w:tcPr>
            <w:tcW w:w="9560" w:type="dxa"/>
            <w:vAlign w:val="bottom"/>
          </w:tcPr>
          <w:p>
            <w:pPr>
              <w:ind w:left="180"/>
              <w:spacing w:after="0"/>
              <w:rPr>
                <w:sz w:val="20"/>
                <w:szCs w:val="20"/>
                <w:color w:val="auto"/>
              </w:rPr>
            </w:pPr>
            <w:r>
              <w:rPr>
                <w:rFonts w:ascii="Arial" w:cs="Arial" w:eastAsia="Arial" w:hAnsi="Arial"/>
                <w:sz w:val="18"/>
                <w:szCs w:val="18"/>
                <w:color w:val="auto"/>
              </w:rPr>
              <w:t>Promissory note issued</w:t>
            </w:r>
          </w:p>
        </w:tc>
        <w:tc>
          <w:tcPr>
            <w:tcW w:w="4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3,600,627</w:t>
            </w:r>
          </w:p>
        </w:tc>
        <w:tc>
          <w:tcPr>
            <w:tcW w:w="80" w:type="dxa"/>
            <w:vAlign w:val="bottom"/>
          </w:tcPr>
          <w:p>
            <w:pPr>
              <w:spacing w:after="0"/>
              <w:rPr>
                <w:sz w:val="18"/>
                <w:szCs w:val="18"/>
                <w:color w:val="auto"/>
              </w:rPr>
            </w:pPr>
          </w:p>
        </w:tc>
      </w:tr>
      <w:tr>
        <w:trPr>
          <w:trHeight w:val="230"/>
        </w:trPr>
        <w:tc>
          <w:tcPr>
            <w:tcW w:w="95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Common stock issued</w:t>
            </w:r>
          </w:p>
        </w:tc>
        <w:tc>
          <w:tcPr>
            <w:tcW w:w="42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5,528,373</w:t>
            </w:r>
          </w:p>
        </w:tc>
        <w:tc>
          <w:tcPr>
            <w:tcW w:w="80" w:type="dxa"/>
            <w:vAlign w:val="bottom"/>
            <w:shd w:val="clear" w:color="auto" w:fill="EEEEEE"/>
          </w:tcPr>
          <w:p>
            <w:pPr>
              <w:spacing w:after="0"/>
              <w:rPr>
                <w:sz w:val="19"/>
                <w:szCs w:val="19"/>
                <w:color w:val="auto"/>
              </w:rPr>
            </w:pPr>
          </w:p>
        </w:tc>
      </w:tr>
      <w:tr>
        <w:trPr>
          <w:trHeight w:val="263"/>
        </w:trPr>
        <w:tc>
          <w:tcPr>
            <w:tcW w:w="956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Total purchase consideration</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10,629,000</w:t>
            </w:r>
          </w:p>
        </w:tc>
        <w:tc>
          <w:tcPr>
            <w:tcW w:w="2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r>
      <w:tr>
        <w:trPr>
          <w:trHeight w:val="197"/>
        </w:trPr>
        <w:tc>
          <w:tcPr>
            <w:tcW w:w="95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b w:val="1"/>
                <w:bCs w:val="1"/>
                <w:color w:val="auto"/>
              </w:rPr>
              <w:t>Purchase Price Allocation:</w:t>
            </w: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5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Covenant not to compete</w:t>
            </w:r>
          </w:p>
        </w:tc>
        <w:tc>
          <w:tcPr>
            <w:tcW w:w="420" w:type="dxa"/>
            <w:vAlign w:val="bottom"/>
            <w:shd w:val="clear" w:color="auto" w:fill="EEEEEE"/>
          </w:tcPr>
          <w:p>
            <w:pPr>
              <w:jc w:val="right"/>
              <w:ind w:right="2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3,459,120</w:t>
            </w:r>
          </w:p>
        </w:tc>
        <w:tc>
          <w:tcPr>
            <w:tcW w:w="80" w:type="dxa"/>
            <w:vAlign w:val="bottom"/>
            <w:shd w:val="clear" w:color="auto" w:fill="EEEEEE"/>
          </w:tcPr>
          <w:p>
            <w:pPr>
              <w:spacing w:after="0"/>
              <w:rPr>
                <w:sz w:val="18"/>
                <w:szCs w:val="18"/>
                <w:color w:val="auto"/>
              </w:rPr>
            </w:pPr>
          </w:p>
        </w:tc>
      </w:tr>
      <w:tr>
        <w:trPr>
          <w:trHeight w:val="216"/>
        </w:trPr>
        <w:tc>
          <w:tcPr>
            <w:tcW w:w="9560" w:type="dxa"/>
            <w:vAlign w:val="bottom"/>
          </w:tcPr>
          <w:p>
            <w:pPr>
              <w:ind w:left="180"/>
              <w:spacing w:after="0"/>
              <w:rPr>
                <w:sz w:val="20"/>
                <w:szCs w:val="20"/>
                <w:color w:val="auto"/>
              </w:rPr>
            </w:pPr>
            <w:r>
              <w:rPr>
                <w:rFonts w:ascii="Arial" w:cs="Arial" w:eastAsia="Arial" w:hAnsi="Arial"/>
                <w:sz w:val="18"/>
                <w:szCs w:val="18"/>
                <w:color w:val="auto"/>
              </w:rPr>
              <w:t>Supplier relationship</w:t>
            </w:r>
          </w:p>
        </w:tc>
        <w:tc>
          <w:tcPr>
            <w:tcW w:w="4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1,179,246</w:t>
            </w:r>
          </w:p>
        </w:tc>
        <w:tc>
          <w:tcPr>
            <w:tcW w:w="80" w:type="dxa"/>
            <w:vAlign w:val="bottom"/>
          </w:tcPr>
          <w:p>
            <w:pPr>
              <w:spacing w:after="0"/>
              <w:rPr>
                <w:sz w:val="18"/>
                <w:szCs w:val="18"/>
                <w:color w:val="auto"/>
              </w:rPr>
            </w:pPr>
          </w:p>
        </w:tc>
      </w:tr>
      <w:tr>
        <w:trPr>
          <w:trHeight w:val="216"/>
        </w:trPr>
        <w:tc>
          <w:tcPr>
            <w:tcW w:w="95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Software</w:t>
            </w:r>
          </w:p>
        </w:tc>
        <w:tc>
          <w:tcPr>
            <w:tcW w:w="4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534,591</w:t>
            </w:r>
          </w:p>
        </w:tc>
        <w:tc>
          <w:tcPr>
            <w:tcW w:w="80" w:type="dxa"/>
            <w:vAlign w:val="bottom"/>
            <w:shd w:val="clear" w:color="auto" w:fill="EEEEEE"/>
          </w:tcPr>
          <w:p>
            <w:pPr>
              <w:spacing w:after="0"/>
              <w:rPr>
                <w:sz w:val="18"/>
                <w:szCs w:val="18"/>
                <w:color w:val="auto"/>
              </w:rPr>
            </w:pPr>
          </w:p>
        </w:tc>
      </w:tr>
      <w:tr>
        <w:trPr>
          <w:trHeight w:val="216"/>
        </w:trPr>
        <w:tc>
          <w:tcPr>
            <w:tcW w:w="956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4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1,784,113</w:t>
            </w:r>
          </w:p>
        </w:tc>
        <w:tc>
          <w:tcPr>
            <w:tcW w:w="80" w:type="dxa"/>
            <w:vAlign w:val="bottom"/>
          </w:tcPr>
          <w:p>
            <w:pPr>
              <w:spacing w:after="0"/>
              <w:rPr>
                <w:sz w:val="18"/>
                <w:szCs w:val="18"/>
                <w:color w:val="auto"/>
              </w:rPr>
            </w:pPr>
          </w:p>
        </w:tc>
      </w:tr>
      <w:tr>
        <w:trPr>
          <w:trHeight w:val="216"/>
        </w:trPr>
        <w:tc>
          <w:tcPr>
            <w:tcW w:w="95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Property and equipment</w:t>
            </w:r>
          </w:p>
        </w:tc>
        <w:tc>
          <w:tcPr>
            <w:tcW w:w="4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46,548</w:t>
            </w:r>
          </w:p>
        </w:tc>
        <w:tc>
          <w:tcPr>
            <w:tcW w:w="80" w:type="dxa"/>
            <w:vAlign w:val="bottom"/>
            <w:shd w:val="clear" w:color="auto" w:fill="EEEEEE"/>
          </w:tcPr>
          <w:p>
            <w:pPr>
              <w:spacing w:after="0"/>
              <w:rPr>
                <w:sz w:val="18"/>
                <w:szCs w:val="18"/>
                <w:color w:val="auto"/>
              </w:rPr>
            </w:pPr>
          </w:p>
        </w:tc>
      </w:tr>
      <w:tr>
        <w:trPr>
          <w:trHeight w:val="216"/>
        </w:trPr>
        <w:tc>
          <w:tcPr>
            <w:tcW w:w="9560" w:type="dxa"/>
            <w:vAlign w:val="bottom"/>
          </w:tcPr>
          <w:p>
            <w:pPr>
              <w:ind w:left="180"/>
              <w:spacing w:after="0"/>
              <w:rPr>
                <w:sz w:val="20"/>
                <w:szCs w:val="20"/>
                <w:color w:val="auto"/>
              </w:rPr>
            </w:pPr>
            <w:r>
              <w:rPr>
                <w:rFonts w:ascii="Arial" w:cs="Arial" w:eastAsia="Arial" w:hAnsi="Arial"/>
                <w:sz w:val="18"/>
                <w:szCs w:val="18"/>
                <w:color w:val="auto"/>
              </w:rPr>
              <w:t>Rent deposit</w:t>
            </w:r>
          </w:p>
        </w:tc>
        <w:tc>
          <w:tcPr>
            <w:tcW w:w="4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52,707</w:t>
            </w:r>
          </w:p>
        </w:tc>
        <w:tc>
          <w:tcPr>
            <w:tcW w:w="80" w:type="dxa"/>
            <w:vAlign w:val="bottom"/>
          </w:tcPr>
          <w:p>
            <w:pPr>
              <w:spacing w:after="0"/>
              <w:rPr>
                <w:sz w:val="18"/>
                <w:szCs w:val="18"/>
                <w:color w:val="auto"/>
              </w:rPr>
            </w:pPr>
          </w:p>
        </w:tc>
      </w:tr>
      <w:tr>
        <w:trPr>
          <w:trHeight w:val="216"/>
        </w:trPr>
        <w:tc>
          <w:tcPr>
            <w:tcW w:w="95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ROU asset</w:t>
            </w:r>
          </w:p>
        </w:tc>
        <w:tc>
          <w:tcPr>
            <w:tcW w:w="4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234,578</w:t>
            </w:r>
          </w:p>
        </w:tc>
        <w:tc>
          <w:tcPr>
            <w:tcW w:w="80" w:type="dxa"/>
            <w:vAlign w:val="bottom"/>
            <w:shd w:val="clear" w:color="auto" w:fill="EEEEEE"/>
          </w:tcPr>
          <w:p>
            <w:pPr>
              <w:spacing w:after="0"/>
              <w:rPr>
                <w:sz w:val="18"/>
                <w:szCs w:val="18"/>
                <w:color w:val="auto"/>
              </w:rPr>
            </w:pPr>
          </w:p>
        </w:tc>
      </w:tr>
      <w:tr>
        <w:trPr>
          <w:trHeight w:val="216"/>
        </w:trPr>
        <w:tc>
          <w:tcPr>
            <w:tcW w:w="9560" w:type="dxa"/>
            <w:vAlign w:val="bottom"/>
          </w:tcPr>
          <w:p>
            <w:pPr>
              <w:ind w:left="180"/>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6,094,144</w:t>
            </w:r>
          </w:p>
        </w:tc>
        <w:tc>
          <w:tcPr>
            <w:tcW w:w="80" w:type="dxa"/>
            <w:vAlign w:val="bottom"/>
          </w:tcPr>
          <w:p>
            <w:pPr>
              <w:spacing w:after="0"/>
              <w:rPr>
                <w:sz w:val="18"/>
                <w:szCs w:val="18"/>
                <w:color w:val="auto"/>
              </w:rPr>
            </w:pPr>
          </w:p>
        </w:tc>
      </w:tr>
      <w:tr>
        <w:trPr>
          <w:trHeight w:val="216"/>
        </w:trPr>
        <w:tc>
          <w:tcPr>
            <w:tcW w:w="95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Deferred tax liabilities</w:t>
            </w:r>
          </w:p>
        </w:tc>
        <w:tc>
          <w:tcPr>
            <w:tcW w:w="42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(1,389,113)</w:t>
            </w:r>
          </w:p>
        </w:tc>
      </w:tr>
      <w:tr>
        <w:trPr>
          <w:trHeight w:val="216"/>
        </w:trPr>
        <w:tc>
          <w:tcPr>
            <w:tcW w:w="9560" w:type="dxa"/>
            <w:vAlign w:val="bottom"/>
          </w:tcPr>
          <w:p>
            <w:pPr>
              <w:ind w:left="180"/>
              <w:spacing w:after="0"/>
              <w:rPr>
                <w:sz w:val="20"/>
                <w:szCs w:val="20"/>
                <w:color w:val="auto"/>
              </w:rPr>
            </w:pPr>
            <w:r>
              <w:rPr>
                <w:rFonts w:ascii="Arial" w:cs="Arial" w:eastAsia="Arial" w:hAnsi="Arial"/>
                <w:sz w:val="18"/>
                <w:szCs w:val="18"/>
                <w:color w:val="auto"/>
              </w:rPr>
              <w:t>Current liabilities</w:t>
            </w:r>
          </w:p>
        </w:tc>
        <w:tc>
          <w:tcPr>
            <w:tcW w:w="42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(1,143,076)</w:t>
            </w:r>
          </w:p>
        </w:tc>
      </w:tr>
      <w:tr>
        <w:trPr>
          <w:trHeight w:val="230"/>
        </w:trPr>
        <w:tc>
          <w:tcPr>
            <w:tcW w:w="95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Lease liability</w:t>
            </w:r>
          </w:p>
        </w:tc>
        <w:tc>
          <w:tcPr>
            <w:tcW w:w="420" w:type="dxa"/>
            <w:vAlign w:val="bottom"/>
            <w:shd w:val="clear" w:color="auto" w:fill="EEEEEE"/>
          </w:tcPr>
          <w:p>
            <w:pPr>
              <w:spacing w:after="0"/>
              <w:rPr>
                <w:sz w:val="19"/>
                <w:szCs w:val="19"/>
                <w:color w:val="auto"/>
              </w:rPr>
            </w:pPr>
          </w:p>
        </w:tc>
        <w:tc>
          <w:tcPr>
            <w:tcW w:w="12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(223,858)</w:t>
            </w:r>
          </w:p>
        </w:tc>
      </w:tr>
      <w:tr>
        <w:trPr>
          <w:trHeight w:val="223"/>
        </w:trPr>
        <w:tc>
          <w:tcPr>
            <w:tcW w:w="9560" w:type="dxa"/>
            <w:vAlign w:val="bottom"/>
          </w:tcPr>
          <w:p>
            <w:pPr>
              <w:spacing w:after="0"/>
              <w:rPr>
                <w:sz w:val="20"/>
                <w:szCs w:val="20"/>
                <w:color w:val="auto"/>
              </w:rPr>
            </w:pPr>
            <w:r>
              <w:rPr>
                <w:rFonts w:ascii="Arial" w:cs="Arial" w:eastAsia="Arial" w:hAnsi="Arial"/>
                <w:sz w:val="18"/>
                <w:szCs w:val="18"/>
                <w:color w:val="auto"/>
              </w:rPr>
              <w:t>Total purchase consideration</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10,629,000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5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the date of this report, the $1.5 million cash portion of the consideration, which was presented as investment payable, had not been paid as the seller’s bank account was still not opened due to the delay caused by the COVID-19 conditions in Hong Kong and China.</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results of operations of Anivia for the period from February 16, 2022 through June 30, 2022 were included in the Company's consolidated financial statements as of and for the year ended June 30, 2022. See Note 5 for details.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i w:val="1"/>
          <w:iCs w:val="1"/>
          <w:color w:val="auto"/>
        </w:rPr>
        <w:t>Pro Forma Financial Information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pro forma information presents a summary of the Company’s combined operating results for the years ended June 30, 2022 and 2021, as if the acquisition had occurred on July 1, 2020. The following pro forma financial information is not necessarily indicative of the Company’s operating results as they would have been had the acquisition been effected on the assumed date, nor is it necessarily an indication of trends in future results for a number of reasons, including, but not limited to, differences between the assumptions used to prepare the pro forma information, basic shares outstanding and dilutive equivalents, cost savings from operating efficiencies, potential synergies, and the impact of incremental costs incurred in integrating the businesses.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80" w:type="dxa"/>
            <w:vAlign w:val="bottom"/>
            <w:gridSpan w:val="5"/>
          </w:tcPr>
          <w:p>
            <w:pPr>
              <w:jc w:val="right"/>
              <w:ind w:right="1040"/>
              <w:spacing w:after="0"/>
              <w:rPr>
                <w:sz w:val="20"/>
                <w:szCs w:val="20"/>
                <w:color w:val="auto"/>
              </w:rPr>
            </w:pPr>
            <w:r>
              <w:rPr>
                <w:rFonts w:ascii="Arial" w:cs="Arial" w:eastAsia="Arial" w:hAnsi="Arial"/>
                <w:sz w:val="18"/>
                <w:szCs w:val="18"/>
                <w:b w:val="1"/>
                <w:bCs w:val="1"/>
                <w:color w:val="auto"/>
              </w:rPr>
              <w:t>Years ended June 30,</w:t>
            </w:r>
          </w:p>
        </w:tc>
      </w:tr>
      <w:tr>
        <w:trPr>
          <w:trHeight w:val="223"/>
        </w:trPr>
        <w:tc>
          <w:tcPr>
            <w:tcW w:w="51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09"/>
        </w:trPr>
        <w:tc>
          <w:tcPr>
            <w:tcW w:w="51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(Unaudited)</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rPr>
              <w:t>(Unaudited)</w:t>
            </w:r>
          </w:p>
        </w:tc>
        <w:tc>
          <w:tcPr>
            <w:tcW w:w="100" w:type="dxa"/>
            <w:vAlign w:val="bottom"/>
          </w:tcPr>
          <w:p>
            <w:pPr>
              <w:spacing w:after="0"/>
              <w:rPr>
                <w:sz w:val="18"/>
                <w:szCs w:val="18"/>
                <w:color w:val="auto"/>
              </w:rPr>
            </w:pPr>
          </w:p>
        </w:tc>
      </w:tr>
      <w:tr>
        <w:trPr>
          <w:trHeight w:val="216"/>
        </w:trPr>
        <w:tc>
          <w:tcPr>
            <w:tcW w:w="5100" w:type="dxa"/>
            <w:vAlign w:val="bottom"/>
            <w:shd w:val="clear" w:color="auto" w:fill="EEEEEE"/>
          </w:tcPr>
          <w:p>
            <w:pPr>
              <w:spacing w:after="0"/>
              <w:rPr>
                <w:sz w:val="20"/>
                <w:szCs w:val="20"/>
                <w:color w:val="auto"/>
              </w:rPr>
            </w:pPr>
            <w:r>
              <w:rPr>
                <w:rFonts w:ascii="Arial" w:cs="Arial" w:eastAsia="Arial" w:hAnsi="Arial"/>
                <w:sz w:val="18"/>
                <w:szCs w:val="18"/>
                <w:color w:val="auto"/>
              </w:rPr>
              <w:t>Total Revenues</w:t>
            </w:r>
          </w:p>
        </w:tc>
        <w:tc>
          <w:tcPr>
            <w:tcW w:w="27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79,418,473</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54,075,922</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3,133,112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3,261,067</w:t>
            </w:r>
          </w:p>
        </w:tc>
      </w:tr>
      <w:tr>
        <w:trPr>
          <w:trHeight w:val="216"/>
        </w:trPr>
        <w:tc>
          <w:tcPr>
            <w:tcW w:w="5100" w:type="dxa"/>
            <w:vAlign w:val="bottom"/>
            <w:shd w:val="clear" w:color="auto" w:fill="EEEEEE"/>
          </w:tcPr>
          <w:p>
            <w:pPr>
              <w:spacing w:after="0"/>
              <w:rPr>
                <w:sz w:val="20"/>
                <w:szCs w:val="20"/>
                <w:color w:val="auto"/>
              </w:rPr>
            </w:pPr>
            <w:r>
              <w:rPr>
                <w:rFonts w:ascii="Arial" w:cs="Arial" w:eastAsia="Arial" w:hAnsi="Arial"/>
                <w:sz w:val="18"/>
                <w:szCs w:val="18"/>
                <w:color w:val="auto"/>
              </w:rPr>
              <w:t>Basic and diluted income per share</w:t>
            </w:r>
          </w:p>
        </w:tc>
        <w:tc>
          <w:tcPr>
            <w:tcW w:w="27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0.08</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(0.03)</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Variable interest entity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February 15, 2022, upon acquisition of Anivia, the Company assumed the contractual arrangements between the WFOE and DHS through a variable interest operating entity structure. See Note 4 for details.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did not provide financial or other support to the VIE for the periods presented where the Company was not otherwise contractually required to provide such support.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 and 2021, there was no pledge or collateralization of the VIE assets that would be used to settle obligations of the VIE.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carrying amounts of the assets, liabilities and the results of operations of the VIE included in the Company’s consolidated balance sheets and statements of operations and comprehensive income after the elimination of intercompany balances and transactions with the VIE are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40" w:type="dxa"/>
            <w:vAlign w:val="bottom"/>
          </w:tcPr>
          <w:p>
            <w:pPr>
              <w:spacing w:after="0"/>
              <w:rPr>
                <w:sz w:val="20"/>
                <w:szCs w:val="20"/>
                <w:color w:val="auto"/>
              </w:rPr>
            </w:pPr>
            <w:r>
              <w:rPr>
                <w:rFonts w:ascii="Arial" w:cs="Arial" w:eastAsia="Arial" w:hAnsi="Arial"/>
                <w:sz w:val="18"/>
                <w:szCs w:val="18"/>
                <w:color w:val="auto"/>
                <w:w w:val="97"/>
              </w:rPr>
              <w:t>The carrying amount of the VIE’s assets and liabilities were as follows for the years indicated:</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24"/>
                <w:szCs w:val="24"/>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7240" w:type="dxa"/>
            <w:vAlign w:val="bottom"/>
            <w:tcBorders>
              <w:bottom w:val="single" w:sz="8" w:color="EEEEEE"/>
            </w:tcBorders>
          </w:tcPr>
          <w:p>
            <w:pPr>
              <w:spacing w:after="0"/>
              <w:rPr>
                <w:sz w:val="20"/>
                <w:szCs w:val="20"/>
                <w:color w:val="auto"/>
              </w:rPr>
            </w:pPr>
          </w:p>
        </w:tc>
        <w:tc>
          <w:tcPr>
            <w:tcW w:w="420" w:type="dxa"/>
            <w:vAlign w:val="bottom"/>
            <w:tcBorders>
              <w:bottom w:val="single" w:sz="8" w:color="EEEEEE"/>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EEEEEE"/>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EEEEEE"/>
            </w:tcBorders>
          </w:tcPr>
          <w:p>
            <w:pPr>
              <w:spacing w:after="0"/>
              <w:rPr>
                <w:sz w:val="20"/>
                <w:szCs w:val="20"/>
                <w:color w:val="auto"/>
              </w:rPr>
            </w:pPr>
          </w:p>
        </w:tc>
      </w:tr>
      <w:tr>
        <w:trPr>
          <w:trHeight w:val="210"/>
        </w:trPr>
        <w:tc>
          <w:tcPr>
            <w:tcW w:w="7240" w:type="dxa"/>
            <w:vAlign w:val="bottom"/>
            <w:shd w:val="clear" w:color="auto" w:fill="EEEEEE"/>
          </w:tcPr>
          <w:p>
            <w:pPr>
              <w:spacing w:after="0"/>
              <w:rPr>
                <w:sz w:val="20"/>
                <w:szCs w:val="20"/>
                <w:color w:val="auto"/>
              </w:rPr>
            </w:pPr>
            <w:r>
              <w:rPr>
                <w:rFonts w:ascii="Arial" w:cs="Arial" w:eastAsia="Arial" w:hAnsi="Arial"/>
                <w:sz w:val="18"/>
                <w:szCs w:val="18"/>
                <w:color w:val="auto"/>
              </w:rPr>
              <w:t>Cash in bank</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271,164</w:t>
            </w: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EEEEEE"/>
          </w:tcPr>
          <w:p>
            <w:pPr>
              <w:ind w:left="120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EEEEEE"/>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Prepayments and other receivables</w:t>
            </w:r>
          </w:p>
        </w:tc>
        <w:tc>
          <w:tcPr>
            <w:tcW w:w="7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1,374,698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120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shd w:val="clear" w:color="auto" w:fill="EEEEEE"/>
          </w:tcPr>
          <w:p>
            <w:pPr>
              <w:spacing w:after="0"/>
              <w:rPr>
                <w:sz w:val="20"/>
                <w:szCs w:val="20"/>
                <w:color w:val="auto"/>
              </w:rPr>
            </w:pPr>
            <w:r>
              <w:rPr>
                <w:rFonts w:ascii="Arial" w:cs="Arial" w:eastAsia="Arial" w:hAnsi="Arial"/>
                <w:sz w:val="18"/>
                <w:szCs w:val="18"/>
                <w:color w:val="auto"/>
              </w:rPr>
              <w:t>Rent deposit</w:t>
            </w:r>
          </w:p>
        </w:tc>
        <w:tc>
          <w:tcPr>
            <w:tcW w:w="700" w:type="dxa"/>
            <w:vAlign w:val="bottom"/>
            <w:gridSpan w:val="2"/>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50,036</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Office equipment, net</w:t>
            </w:r>
          </w:p>
        </w:tc>
        <w:tc>
          <w:tcPr>
            <w:tcW w:w="7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57,730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120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shd w:val="clear" w:color="auto" w:fill="EEEEEE"/>
          </w:tcPr>
          <w:p>
            <w:pPr>
              <w:spacing w:after="0"/>
              <w:rPr>
                <w:sz w:val="20"/>
                <w:szCs w:val="20"/>
                <w:color w:val="auto"/>
              </w:rPr>
            </w:pPr>
            <w:r>
              <w:rPr>
                <w:rFonts w:ascii="Arial" w:cs="Arial" w:eastAsia="Arial" w:hAnsi="Arial"/>
                <w:sz w:val="18"/>
                <w:szCs w:val="18"/>
                <w:color w:val="auto"/>
              </w:rPr>
              <w:t>Right of use - noncurrent</w:t>
            </w:r>
          </w:p>
        </w:tc>
        <w:tc>
          <w:tcPr>
            <w:tcW w:w="700" w:type="dxa"/>
            <w:vAlign w:val="bottom"/>
            <w:gridSpan w:val="2"/>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153,064</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Advance from shareholders</w:t>
            </w:r>
          </w:p>
        </w:tc>
        <w:tc>
          <w:tcPr>
            <w:tcW w:w="7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92,246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120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shd w:val="clear" w:color="auto" w:fill="EEEEEE"/>
          </w:tcPr>
          <w:p>
            <w:pPr>
              <w:spacing w:after="0"/>
              <w:rPr>
                <w:sz w:val="20"/>
                <w:szCs w:val="20"/>
                <w:color w:val="auto"/>
              </w:rPr>
            </w:pPr>
            <w:r>
              <w:rPr>
                <w:rFonts w:ascii="Arial" w:cs="Arial" w:eastAsia="Arial" w:hAnsi="Arial"/>
                <w:sz w:val="18"/>
                <w:szCs w:val="18"/>
                <w:color w:val="auto"/>
              </w:rPr>
              <w:t>Accounts payable</w:t>
            </w:r>
          </w:p>
        </w:tc>
        <w:tc>
          <w:tcPr>
            <w:tcW w:w="700" w:type="dxa"/>
            <w:vAlign w:val="bottom"/>
            <w:gridSpan w:val="2"/>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121,073</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Lease liability</w:t>
            </w:r>
          </w:p>
        </w:tc>
        <w:tc>
          <w:tcPr>
            <w:tcW w:w="7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154,418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120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shd w:val="clear" w:color="auto" w:fill="EEEEEE"/>
          </w:tcPr>
          <w:p>
            <w:pPr>
              <w:spacing w:after="0"/>
              <w:rPr>
                <w:sz w:val="20"/>
                <w:szCs w:val="20"/>
                <w:color w:val="auto"/>
              </w:rPr>
            </w:pPr>
            <w:r>
              <w:rPr>
                <w:rFonts w:ascii="Arial" w:cs="Arial" w:eastAsia="Arial" w:hAnsi="Arial"/>
                <w:sz w:val="18"/>
                <w:szCs w:val="18"/>
                <w:color w:val="auto"/>
              </w:rPr>
              <w:t>Income tax payable</w:t>
            </w:r>
          </w:p>
        </w:tc>
        <w:tc>
          <w:tcPr>
            <w:tcW w:w="700" w:type="dxa"/>
            <w:vAlign w:val="bottom"/>
            <w:gridSpan w:val="2"/>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299,563</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Other payables and accrued liabilities</w:t>
            </w:r>
          </w:p>
        </w:tc>
        <w:tc>
          <w:tcPr>
            <w:tcW w:w="7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188,066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120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0"/>
        </w:trPr>
        <w:tc>
          <w:tcPr>
            <w:tcW w:w="9560" w:type="dxa"/>
            <w:vAlign w:val="bottom"/>
          </w:tcPr>
          <w:p>
            <w:pPr>
              <w:spacing w:after="0"/>
              <w:rPr>
                <w:sz w:val="20"/>
                <w:szCs w:val="20"/>
                <w:color w:val="auto"/>
              </w:rPr>
            </w:pPr>
            <w:r>
              <w:rPr>
                <w:rFonts w:ascii="Arial" w:cs="Arial" w:eastAsia="Arial" w:hAnsi="Arial"/>
                <w:sz w:val="18"/>
                <w:szCs w:val="18"/>
                <w:color w:val="auto"/>
              </w:rPr>
              <w:t>The operating results of the VIE were as follows for the period from February 15, 2022 to June 30, 2022:</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9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2022</w:t>
            </w:r>
          </w:p>
        </w:tc>
      </w:tr>
      <w:tr>
        <w:trPr>
          <w:trHeight w:val="209"/>
        </w:trPr>
        <w:tc>
          <w:tcPr>
            <w:tcW w:w="95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Revenue</w:t>
            </w:r>
          </w:p>
        </w:tc>
        <w:tc>
          <w:tcPr>
            <w:tcW w:w="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9560" w:type="dxa"/>
            <w:vAlign w:val="bottom"/>
          </w:tcPr>
          <w:p>
            <w:pPr>
              <w:spacing w:after="0"/>
              <w:rPr>
                <w:sz w:val="20"/>
                <w:szCs w:val="20"/>
                <w:color w:val="auto"/>
              </w:rPr>
            </w:pPr>
            <w:r>
              <w:rPr>
                <w:rFonts w:ascii="Arial" w:cs="Arial" w:eastAsia="Arial" w:hAnsi="Arial"/>
                <w:sz w:val="18"/>
                <w:szCs w:val="18"/>
                <w:color w:val="auto"/>
              </w:rPr>
              <w:t>Net loss after elimination of intercompany transactions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1,272,705</w:t>
            </w:r>
          </w:p>
        </w:tc>
      </w:tr>
    </w:tbl>
    <w:p>
      <w:pPr>
        <w:spacing w:after="0" w:line="187"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For the period from February 16, 2022 to June 30, 2022, the VIE contributed approximately $4.8 million of revenue and $0.9 million of net income before elimination.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r>
              <w:rPr>
                <w:rFonts w:ascii="Arial" w:cs="Arial" w:eastAsia="Arial" w:hAnsi="Arial"/>
                <w:sz w:val="18"/>
                <w:szCs w:val="18"/>
                <w:b w:val="1"/>
                <w:bCs w:val="1"/>
                <w:color w:val="auto"/>
              </w:rPr>
              <w:t>Note 6 – Accounts receivable, net</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660" w:type="dxa"/>
            <w:vAlign w:val="bottom"/>
          </w:tcPr>
          <w:p>
            <w:pPr>
              <w:spacing w:after="0"/>
              <w:rPr>
                <w:sz w:val="20"/>
                <w:szCs w:val="20"/>
                <w:color w:val="auto"/>
              </w:rPr>
            </w:pPr>
            <w:r>
              <w:rPr>
                <w:rFonts w:ascii="Arial" w:cs="Arial" w:eastAsia="Arial" w:hAnsi="Arial"/>
                <w:sz w:val="18"/>
                <w:szCs w:val="18"/>
                <w:color w:val="auto"/>
              </w:rPr>
              <w:t>Accounts receivable for the Company consisted of the following as of the dates indicated below:</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24"/>
                <w:szCs w:val="24"/>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7660" w:type="dxa"/>
            <w:vAlign w:val="bottom"/>
            <w:tcBorders>
              <w:bottom w:val="single" w:sz="8" w:color="EEEEEE"/>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EEEEEE"/>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EEEEEE"/>
            </w:tcBorders>
          </w:tcPr>
          <w:p>
            <w:pPr>
              <w:spacing w:after="0"/>
              <w:rPr>
                <w:sz w:val="20"/>
                <w:szCs w:val="20"/>
                <w:color w:val="auto"/>
              </w:rPr>
            </w:pPr>
          </w:p>
        </w:tc>
      </w:tr>
      <w:tr>
        <w:trPr>
          <w:trHeight w:val="210"/>
        </w:trPr>
        <w:tc>
          <w:tcPr>
            <w:tcW w:w="7660" w:type="dxa"/>
            <w:vAlign w:val="bottom"/>
            <w:shd w:val="clear" w:color="auto" w:fill="EEEEEE"/>
          </w:tcPr>
          <w:p>
            <w:pPr>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17,502,287</w:t>
            </w: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7,896,347</w:t>
            </w:r>
          </w:p>
        </w:tc>
        <w:tc>
          <w:tcPr>
            <w:tcW w:w="100" w:type="dxa"/>
            <w:vAlign w:val="bottom"/>
            <w:shd w:val="clear" w:color="auto" w:fill="EEEEEE"/>
          </w:tcPr>
          <w:p>
            <w:pPr>
              <w:spacing w:after="0"/>
              <w:rPr>
                <w:sz w:val="18"/>
                <w:szCs w:val="18"/>
                <w:color w:val="auto"/>
              </w:rPr>
            </w:pPr>
          </w:p>
        </w:tc>
      </w:tr>
      <w:tr>
        <w:trPr>
          <w:trHeight w:val="229"/>
        </w:trPr>
        <w:tc>
          <w:tcPr>
            <w:tcW w:w="7660" w:type="dxa"/>
            <w:vAlign w:val="bottom"/>
          </w:tcPr>
          <w:p>
            <w:pPr>
              <w:spacing w:after="0"/>
              <w:rPr>
                <w:sz w:val="20"/>
                <w:szCs w:val="20"/>
                <w:color w:val="auto"/>
              </w:rPr>
            </w:pPr>
            <w:r>
              <w:rPr>
                <w:rFonts w:ascii="Arial" w:cs="Arial" w:eastAsia="Arial" w:hAnsi="Arial"/>
                <w:sz w:val="18"/>
                <w:szCs w:val="18"/>
                <w:color w:val="auto"/>
              </w:rPr>
              <w:t>Less: allowance for credit losses</w:t>
            </w:r>
          </w:p>
        </w:tc>
        <w:tc>
          <w:tcPr>
            <w:tcW w:w="280" w:type="dxa"/>
            <w:vAlign w:val="bottom"/>
          </w:tcPr>
          <w:p>
            <w:pPr>
              <w:spacing w:after="0"/>
              <w:rPr>
                <w:sz w:val="19"/>
                <w:szCs w:val="19"/>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(70,000)</w:t>
            </w:r>
          </w:p>
        </w:tc>
        <w:tc>
          <w:tcPr>
            <w:tcW w:w="2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6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accounts receivable</w:t>
            </w:r>
          </w:p>
        </w:tc>
        <w:tc>
          <w:tcPr>
            <w:tcW w:w="280" w:type="dxa"/>
            <w:vAlign w:val="bottom"/>
            <w:tcBorders>
              <w:top w:val="single" w:sz="8" w:color="auto"/>
              <w:bottom w:val="single" w:sz="8" w:color="auto"/>
            </w:tcBorders>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17,432,287</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7,896,347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was no credit loss for the year ended June 30,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Inventories, net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2022 and 2021, inventories consisted of finished goods ready for sale, net of allowance for obsolescence, amounted to $30,433,766 and $13,065,741,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r>
              <w:rPr>
                <w:rFonts w:ascii="Arial" w:cs="Arial" w:eastAsia="Arial" w:hAnsi="Arial"/>
                <w:sz w:val="18"/>
                <w:szCs w:val="18"/>
                <w:color w:val="auto"/>
                <w:w w:val="92"/>
              </w:rPr>
              <w:t>As of June 30, 2022 and 2021, allowance for obsolescence was $320,000 and $95,574, respectively.</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440" w:type="dxa"/>
            <w:vAlign w:val="bottom"/>
          </w:tcPr>
          <w:p>
            <w:pPr>
              <w:spacing w:after="0"/>
              <w:rPr>
                <w:sz w:val="20"/>
                <w:szCs w:val="20"/>
                <w:color w:val="auto"/>
              </w:rPr>
            </w:pPr>
            <w:r>
              <w:rPr>
                <w:rFonts w:ascii="Arial" w:cs="Arial" w:eastAsia="Arial" w:hAnsi="Arial"/>
                <w:sz w:val="18"/>
                <w:szCs w:val="18"/>
                <w:b w:val="1"/>
                <w:bCs w:val="1"/>
                <w:color w:val="auto"/>
              </w:rPr>
              <w:t>Note 8 – Prepayments and other current assets</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440" w:type="dxa"/>
            <w:vAlign w:val="bottom"/>
          </w:tcPr>
          <w:p>
            <w:pPr>
              <w:spacing w:after="0"/>
              <w:rPr>
                <w:sz w:val="20"/>
                <w:szCs w:val="20"/>
                <w:color w:val="auto"/>
              </w:rPr>
            </w:pPr>
            <w:r>
              <w:rPr>
                <w:rFonts w:ascii="Arial" w:cs="Arial" w:eastAsia="Arial" w:hAnsi="Arial"/>
                <w:sz w:val="18"/>
                <w:szCs w:val="18"/>
                <w:color w:val="auto"/>
                <w:w w:val="97"/>
              </w:rPr>
              <w:t>As of June 30, 2022 and 2021, prepayments and other current assets consisted of the following:</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24"/>
                <w:szCs w:val="24"/>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7440" w:type="dxa"/>
            <w:vAlign w:val="bottom"/>
            <w:tcBorders>
              <w:bottom w:val="single" w:sz="8" w:color="EEEEEE"/>
            </w:tcBorders>
          </w:tcPr>
          <w:p>
            <w:pPr>
              <w:spacing w:after="0"/>
              <w:rPr>
                <w:sz w:val="20"/>
                <w:szCs w:val="20"/>
                <w:color w:val="auto"/>
              </w:rPr>
            </w:pPr>
          </w:p>
        </w:tc>
        <w:tc>
          <w:tcPr>
            <w:tcW w:w="220" w:type="dxa"/>
            <w:vAlign w:val="bottom"/>
            <w:tcBorders>
              <w:bottom w:val="single" w:sz="8" w:color="EEEEEE"/>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EEEEEE"/>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EEEEEE"/>
            </w:tcBorders>
          </w:tcPr>
          <w:p>
            <w:pPr>
              <w:spacing w:after="0"/>
              <w:rPr>
                <w:sz w:val="20"/>
                <w:szCs w:val="20"/>
                <w:color w:val="auto"/>
              </w:rPr>
            </w:pPr>
          </w:p>
        </w:tc>
      </w:tr>
      <w:tr>
        <w:trPr>
          <w:trHeight w:val="210"/>
        </w:trPr>
        <w:tc>
          <w:tcPr>
            <w:tcW w:w="7440" w:type="dxa"/>
            <w:vAlign w:val="bottom"/>
            <w:shd w:val="clear" w:color="auto" w:fill="EEEEEE"/>
          </w:tcPr>
          <w:p>
            <w:pPr>
              <w:spacing w:after="0"/>
              <w:rPr>
                <w:sz w:val="20"/>
                <w:szCs w:val="20"/>
                <w:color w:val="auto"/>
              </w:rPr>
            </w:pPr>
            <w:r>
              <w:rPr>
                <w:rFonts w:ascii="Arial" w:cs="Arial" w:eastAsia="Arial" w:hAnsi="Arial"/>
                <w:sz w:val="18"/>
                <w:szCs w:val="18"/>
                <w:color w:val="auto"/>
              </w:rPr>
              <w:t>Advance to suppliers</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3,938,881</w:t>
            </w: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3,969,625</w:t>
            </w:r>
          </w:p>
        </w:tc>
        <w:tc>
          <w:tcPr>
            <w:tcW w:w="100" w:type="dxa"/>
            <w:vAlign w:val="bottom"/>
            <w:shd w:val="clear" w:color="auto" w:fill="EEEEEE"/>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Prepaid income taxes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375,087</w:t>
            </w:r>
          </w:p>
        </w:tc>
        <w:tc>
          <w:tcPr>
            <w:tcW w:w="2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7440" w:type="dxa"/>
            <w:vAlign w:val="bottom"/>
            <w:shd w:val="clear" w:color="auto" w:fill="EEEEEE"/>
          </w:tcPr>
          <w:p>
            <w:pPr>
              <w:spacing w:after="0"/>
              <w:rPr>
                <w:sz w:val="20"/>
                <w:szCs w:val="20"/>
                <w:color w:val="auto"/>
              </w:rPr>
            </w:pPr>
            <w:r>
              <w:rPr>
                <w:rFonts w:ascii="Arial" w:cs="Arial" w:eastAsia="Arial" w:hAnsi="Arial"/>
                <w:sz w:val="18"/>
                <w:szCs w:val="18"/>
                <w:color w:val="auto"/>
              </w:rPr>
              <w:t>Prepaid expenses and other receivables</w:t>
            </w:r>
          </w:p>
        </w:tc>
        <w:tc>
          <w:tcPr>
            <w:tcW w:w="2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1,130,495</w:t>
            </w:r>
          </w:p>
        </w:tc>
        <w:tc>
          <w:tcPr>
            <w:tcW w:w="28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723,375</w:t>
            </w:r>
          </w:p>
        </w:tc>
      </w:tr>
      <w:tr>
        <w:trPr>
          <w:trHeight w:val="210"/>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440" w:type="dxa"/>
            <w:vAlign w:val="bottom"/>
            <w:shd w:val="clear" w:color="auto" w:fill="EEEEEE"/>
          </w:tcPr>
          <w:p>
            <w:pPr>
              <w:spacing w:after="0"/>
              <w:rPr>
                <w:sz w:val="20"/>
                <w:szCs w:val="20"/>
                <w:color w:val="auto"/>
              </w:rPr>
            </w:pPr>
            <w:r>
              <w:rPr>
                <w:rFonts w:ascii="Arial" w:cs="Arial" w:eastAsia="Arial" w:hAnsi="Arial"/>
                <w:sz w:val="18"/>
                <w:szCs w:val="18"/>
                <w:color w:val="auto"/>
              </w:rPr>
              <w:t>Total</w:t>
            </w:r>
          </w:p>
        </w:tc>
        <w:tc>
          <w:tcPr>
            <w:tcW w:w="500" w:type="dxa"/>
            <w:vAlign w:val="bottom"/>
            <w:gridSpan w:val="2"/>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5,444,463</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4,693,000</w:t>
            </w:r>
          </w:p>
        </w:tc>
      </w:tr>
      <w:tr>
        <w:trPr>
          <w:trHeight w:val="20"/>
        </w:trPr>
        <w:tc>
          <w:tcPr>
            <w:tcW w:w="744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receivables consisted of delivery fees of $56,884 and $178,581 and receivables from one and two unrelated parties for their use of the Company’s courier accounts at June 30, 2022 and 2021. As of the date of this report, the amount had been fully collected.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Note 9 – Non-current prepayments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Non-current prepayments included $853,749 for product sourcing, marketing research and promotion, and other management advisory and consulting services to companies owned by an employee and minority shareholder and by relatives of a minority shareholder of the Company. The terms of these services are from two years to five years. In addition, there was a $71,875 down payment on a four-year car lease. As of June 30, 2022 and 2021, total non-current prepayments were $925,624 and $1,357,292, respectively. For the years ended June 30, 2022 and 2021, the Company recorded amortization expenses of $431,668 and $53,959, respectively.</w:t>
      </w:r>
    </w:p>
    <w:p>
      <w:pPr>
        <w:sectPr>
          <w:pgSz w:w="11900" w:h="16838" w:orient="portrait"/>
          <w:cols w:equalWidth="0" w:num="1">
            <w:col w:w="11240"/>
          </w:cols>
          <w:pgMar w:left="320" w:top="796" w:right="33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2022, intangible assets, net, consisted of the following:</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Covenant Not to Compete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Supplier 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Software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Accumulated amortization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74"/>
        <w:spacing w:after="0"/>
        <w:rPr>
          <w:sz w:val="20"/>
          <w:szCs w:val="20"/>
          <w:color w:val="auto"/>
        </w:rPr>
      </w:pPr>
      <w:r>
        <w:rPr>
          <w:rFonts w:ascii="Arial" w:cs="Arial" w:eastAsia="Arial" w:hAnsi="Arial"/>
          <w:sz w:val="18"/>
          <w:szCs w:val="18"/>
          <w:color w:val="auto"/>
        </w:rPr>
        <w:t>June 30, 2022</w:t>
      </w:r>
    </w:p>
    <w:p>
      <w:pPr>
        <w:spacing w:after="0" w:line="23" w:lineRule="exact"/>
        <w:rPr>
          <w:sz w:val="20"/>
          <w:szCs w:val="20"/>
          <w:color w:val="auto"/>
        </w:rPr>
      </w:pPr>
    </w:p>
    <w:p>
      <w:pPr>
        <w:ind w:left="854" w:hanging="854"/>
        <w:spacing w:after="0"/>
        <w:tabs>
          <w:tab w:leader="none" w:pos="854" w:val="left"/>
        </w:tabs>
        <w:numPr>
          <w:ilvl w:val="0"/>
          <w:numId w:val="17"/>
        </w:numPr>
        <w:rPr>
          <w:rFonts w:ascii="Arial" w:cs="Arial" w:eastAsia="Arial" w:hAnsi="Arial"/>
          <w:sz w:val="17"/>
          <w:szCs w:val="17"/>
          <w:color w:val="auto"/>
        </w:rPr>
      </w:pPr>
      <w:r>
        <w:rPr>
          <w:rFonts w:ascii="Arial" w:cs="Arial" w:eastAsia="Arial" w:hAnsi="Arial"/>
          <w:sz w:val="17"/>
          <w:szCs w:val="17"/>
          <w:color w:val="auto"/>
        </w:rPr>
        <w:t>3,459,120</w:t>
      </w:r>
    </w:p>
    <w:p>
      <w:pPr>
        <w:spacing w:after="0" w:line="34" w:lineRule="exact"/>
        <w:rPr>
          <w:rFonts w:ascii="Arial" w:cs="Arial" w:eastAsia="Arial" w:hAnsi="Arial"/>
          <w:sz w:val="17"/>
          <w:szCs w:val="17"/>
          <w:color w:val="auto"/>
        </w:rPr>
      </w:pPr>
    </w:p>
    <w:p>
      <w:pPr>
        <w:ind w:left="854"/>
        <w:spacing w:after="0"/>
        <w:rPr>
          <w:rFonts w:ascii="Arial" w:cs="Arial" w:eastAsia="Arial" w:hAnsi="Arial"/>
          <w:sz w:val="17"/>
          <w:szCs w:val="17"/>
          <w:color w:val="auto"/>
        </w:rPr>
      </w:pPr>
      <w:r>
        <w:rPr>
          <w:rFonts w:ascii="Arial" w:cs="Arial" w:eastAsia="Arial" w:hAnsi="Arial"/>
          <w:sz w:val="17"/>
          <w:szCs w:val="17"/>
          <w:color w:val="auto"/>
        </w:rPr>
        <w:t>1,179,246</w:t>
      </w:r>
    </w:p>
    <w:p>
      <w:pPr>
        <w:spacing w:after="0" w:line="20" w:lineRule="exact"/>
        <w:rPr>
          <w:rFonts w:ascii="Arial" w:cs="Arial" w:eastAsia="Arial" w:hAnsi="Arial"/>
          <w:sz w:val="17"/>
          <w:szCs w:val="17"/>
          <w:color w:val="auto"/>
        </w:rPr>
      </w:pPr>
    </w:p>
    <w:p>
      <w:pPr>
        <w:ind w:left="974"/>
        <w:spacing w:after="0"/>
        <w:rPr>
          <w:rFonts w:ascii="Arial" w:cs="Arial" w:eastAsia="Arial" w:hAnsi="Arial"/>
          <w:sz w:val="17"/>
          <w:szCs w:val="17"/>
          <w:color w:val="auto"/>
        </w:rPr>
      </w:pPr>
      <w:r>
        <w:rPr>
          <w:rFonts w:ascii="Arial" w:cs="Arial" w:eastAsia="Arial" w:hAnsi="Arial"/>
          <w:sz w:val="18"/>
          <w:szCs w:val="18"/>
          <w:color w:val="auto"/>
        </w:rPr>
        <w:t>534,591</w:t>
      </w:r>
    </w:p>
    <w:p>
      <w:pPr>
        <w:spacing w:after="0" w:line="9" w:lineRule="exact"/>
        <w:rPr>
          <w:rFonts w:ascii="Arial" w:cs="Arial" w:eastAsia="Arial" w:hAnsi="Arial"/>
          <w:sz w:val="17"/>
          <w:szCs w:val="17"/>
          <w:color w:val="auto"/>
        </w:rPr>
      </w:pPr>
    </w:p>
    <w:p>
      <w:pPr>
        <w:ind w:left="914"/>
        <w:spacing w:after="0"/>
        <w:rPr>
          <w:rFonts w:ascii="Arial" w:cs="Arial" w:eastAsia="Arial" w:hAnsi="Arial"/>
          <w:sz w:val="17"/>
          <w:szCs w:val="17"/>
          <w:color w:val="auto"/>
        </w:rPr>
      </w:pPr>
      <w:r>
        <w:rPr>
          <w:rFonts w:ascii="Arial" w:cs="Arial" w:eastAsia="Arial" w:hAnsi="Arial"/>
          <w:sz w:val="16"/>
          <w:szCs w:val="16"/>
          <w:color w:val="auto"/>
        </w:rPr>
        <w:t>(243,515)</w:t>
      </w:r>
    </w:p>
    <w:p>
      <w:pPr>
        <w:spacing w:after="0" w:line="58" w:lineRule="exact"/>
        <w:rPr>
          <w:sz w:val="20"/>
          <w:szCs w:val="20"/>
          <w:color w:val="auto"/>
        </w:rPr>
      </w:pPr>
    </w:p>
    <w:p>
      <w:pPr>
        <w:ind w:left="854" w:hanging="854"/>
        <w:spacing w:after="0"/>
        <w:tabs>
          <w:tab w:leader="none" w:pos="854" w:val="left"/>
        </w:tabs>
        <w:numPr>
          <w:ilvl w:val="0"/>
          <w:numId w:val="18"/>
        </w:numPr>
        <w:rPr>
          <w:rFonts w:ascii="Arial" w:cs="Arial" w:eastAsia="Arial" w:hAnsi="Arial"/>
          <w:sz w:val="17"/>
          <w:szCs w:val="17"/>
          <w:color w:val="auto"/>
        </w:rPr>
      </w:pPr>
      <w:r>
        <w:rPr>
          <w:rFonts w:ascii="Arial" w:cs="Arial" w:eastAsia="Arial" w:hAnsi="Arial"/>
          <w:sz w:val="17"/>
          <w:szCs w:val="17"/>
          <w:color w:val="auto"/>
        </w:rPr>
        <w:t>4,929,442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9944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846" w:space="720"/>
            <w:col w:w="1674"/>
          </w:cols>
          <w:pgMar w:left="320" w:top="796" w:right="339" w:bottom="1440" w:gutter="0" w:footer="0" w:header="0"/>
          <w:type w:val="continuous"/>
        </w:sectPr>
      </w:pP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intangible assets were acquired on February 15, 2022 through acquisition of Anivia. The weighted average remaining life for finite-lived intangible assets at June 30, 2022 was approximately 8.32 years, and the amortization expense for the year ended June 30, 2022 was $243,515. At June 30, 2022, finite-lived intangible assets are expected to be amortized over their estimated useful lives, which ranges from a period of five to 10 years, and the estimated remaining amortization expense for each of the five succeeding years thereafter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280" w:type="dxa"/>
            <w:vAlign w:val="bottom"/>
          </w:tcPr>
          <w:p>
            <w:pPr>
              <w:spacing w:after="0"/>
              <w:rPr>
                <w:sz w:val="20"/>
                <w:szCs w:val="20"/>
                <w:color w:val="auto"/>
              </w:rPr>
            </w:pPr>
            <w:r>
              <w:rPr>
                <w:rFonts w:ascii="Arial" w:cs="Arial" w:eastAsia="Arial" w:hAnsi="Arial"/>
                <w:sz w:val="18"/>
                <w:szCs w:val="18"/>
                <w:b w:val="1"/>
                <w:bCs w:val="1"/>
                <w:color w:val="auto"/>
              </w:rPr>
              <w:t>Year Ending June 30,</w:t>
            </w: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09"/>
        </w:trPr>
        <w:tc>
          <w:tcPr>
            <w:tcW w:w="72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2023</w:t>
            </w:r>
          </w:p>
        </w:tc>
        <w:tc>
          <w:tcPr>
            <w:tcW w:w="38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EEEEEE"/>
            </w:tcBorders>
            <w:shd w:val="clear" w:color="auto" w:fill="EEEEEE"/>
          </w:tcPr>
          <w:p>
            <w:pPr>
              <w:spacing w:after="0"/>
              <w:rPr>
                <w:sz w:val="18"/>
                <w:szCs w:val="18"/>
                <w:color w:val="auto"/>
              </w:rPr>
            </w:pPr>
          </w:p>
        </w:tc>
        <w:tc>
          <w:tcPr>
            <w:tcW w:w="130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649,371</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2024</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649,371</w:t>
            </w:r>
          </w:p>
        </w:tc>
        <w:tc>
          <w:tcPr>
            <w:tcW w:w="0" w:type="dxa"/>
            <w:vAlign w:val="bottom"/>
          </w:tcPr>
          <w:p>
            <w:pPr>
              <w:spacing w:after="0"/>
              <w:rPr>
                <w:sz w:val="1"/>
                <w:szCs w:val="1"/>
                <w:color w:val="auto"/>
              </w:rPr>
            </w:pPr>
          </w:p>
        </w:tc>
      </w:tr>
      <w:tr>
        <w:trPr>
          <w:trHeight w:val="216"/>
        </w:trPr>
        <w:tc>
          <w:tcPr>
            <w:tcW w:w="7280" w:type="dxa"/>
            <w:vAlign w:val="bottom"/>
            <w:shd w:val="clear" w:color="auto" w:fill="EEEEEE"/>
          </w:tcPr>
          <w:p>
            <w:pPr>
              <w:spacing w:after="0"/>
              <w:rPr>
                <w:sz w:val="20"/>
                <w:szCs w:val="20"/>
                <w:color w:val="auto"/>
              </w:rPr>
            </w:pPr>
            <w:r>
              <w:rPr>
                <w:rFonts w:ascii="Arial" w:cs="Arial" w:eastAsia="Arial" w:hAnsi="Arial"/>
                <w:sz w:val="18"/>
                <w:szCs w:val="18"/>
                <w:color w:val="auto"/>
              </w:rPr>
              <w:t>2025</w:t>
            </w: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649,371</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2026</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649,371</w:t>
            </w:r>
          </w:p>
        </w:tc>
        <w:tc>
          <w:tcPr>
            <w:tcW w:w="0" w:type="dxa"/>
            <w:vAlign w:val="bottom"/>
          </w:tcPr>
          <w:p>
            <w:pPr>
              <w:spacing w:after="0"/>
              <w:rPr>
                <w:sz w:val="1"/>
                <w:szCs w:val="1"/>
                <w:color w:val="auto"/>
              </w:rPr>
            </w:pPr>
          </w:p>
        </w:tc>
      </w:tr>
      <w:tr>
        <w:trPr>
          <w:trHeight w:val="216"/>
        </w:trPr>
        <w:tc>
          <w:tcPr>
            <w:tcW w:w="7280" w:type="dxa"/>
            <w:vAlign w:val="bottom"/>
            <w:shd w:val="clear" w:color="auto" w:fill="EEEEEE"/>
          </w:tcPr>
          <w:p>
            <w:pPr>
              <w:spacing w:after="0"/>
              <w:rPr>
                <w:sz w:val="20"/>
                <w:szCs w:val="20"/>
                <w:color w:val="auto"/>
              </w:rPr>
            </w:pPr>
            <w:r>
              <w:rPr>
                <w:rFonts w:ascii="Arial" w:cs="Arial" w:eastAsia="Arial" w:hAnsi="Arial"/>
                <w:sz w:val="18"/>
                <w:szCs w:val="18"/>
                <w:color w:val="auto"/>
              </w:rPr>
              <w:t>2027</w:t>
            </w: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649,371</w:t>
            </w:r>
          </w:p>
        </w:tc>
        <w:tc>
          <w:tcPr>
            <w:tcW w:w="0" w:type="dxa"/>
            <w:vAlign w:val="bottom"/>
          </w:tcPr>
          <w:p>
            <w:pPr>
              <w:spacing w:after="0"/>
              <w:rPr>
                <w:sz w:val="1"/>
                <w:szCs w:val="1"/>
                <w:color w:val="auto"/>
              </w:rPr>
            </w:pP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1,682,587</w:t>
            </w:r>
          </w:p>
        </w:tc>
        <w:tc>
          <w:tcPr>
            <w:tcW w:w="0" w:type="dxa"/>
            <w:vAlign w:val="bottom"/>
          </w:tcPr>
          <w:p>
            <w:pPr>
              <w:spacing w:after="0"/>
              <w:rPr>
                <w:sz w:val="1"/>
                <w:szCs w:val="1"/>
                <w:color w:val="auto"/>
              </w:rPr>
            </w:pPr>
          </w:p>
        </w:tc>
      </w:tr>
      <w:tr>
        <w:trPr>
          <w:trHeight w:val="223"/>
        </w:trPr>
        <w:tc>
          <w:tcPr>
            <w:tcW w:w="7280" w:type="dxa"/>
            <w:vAlign w:val="bottom"/>
            <w:tcBorders>
              <w:top w:val="single" w:sz="8" w:color="EEEEEE"/>
              <w:bottom w:val="single" w:sz="8" w:color="EEEEEE"/>
            </w:tcBorders>
            <w:shd w:val="clear" w:color="auto" w:fill="EEEEEE"/>
          </w:tcPr>
          <w:p>
            <w:pPr>
              <w:spacing w:after="0"/>
              <w:rPr>
                <w:sz w:val="19"/>
                <w:szCs w:val="19"/>
                <w:color w:val="auto"/>
              </w:rPr>
            </w:pPr>
          </w:p>
        </w:tc>
        <w:tc>
          <w:tcPr>
            <w:tcW w:w="38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EEEEEE"/>
              <w:bottom w:val="single" w:sz="8" w:color="EEEEEE"/>
            </w:tcBorders>
            <w:shd w:val="clear" w:color="auto" w:fill="EEEEEE"/>
          </w:tcPr>
          <w:p>
            <w:pPr>
              <w:spacing w:after="0"/>
              <w:rPr>
                <w:sz w:val="19"/>
                <w:szCs w:val="19"/>
                <w:color w:val="auto"/>
              </w:rPr>
            </w:pPr>
          </w:p>
        </w:tc>
        <w:tc>
          <w:tcPr>
            <w:tcW w:w="130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4,929,442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8"/>
                <w:szCs w:val="18"/>
                <w:b w:val="1"/>
                <w:bCs w:val="1"/>
                <w:color w:val="auto"/>
              </w:rPr>
              <w:t>Note 11 – Other payables and accrued liabilities</w:t>
            </w: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80" w:type="dxa"/>
            <w:vAlign w:val="bottom"/>
          </w:tcPr>
          <w:p>
            <w:pPr>
              <w:spacing w:after="0"/>
              <w:rPr>
                <w:sz w:val="20"/>
                <w:szCs w:val="20"/>
                <w:color w:val="auto"/>
              </w:rPr>
            </w:pPr>
            <w:r>
              <w:rPr>
                <w:rFonts w:ascii="Arial" w:cs="Arial" w:eastAsia="Arial" w:hAnsi="Arial"/>
                <w:sz w:val="18"/>
                <w:szCs w:val="18"/>
                <w:color w:val="auto"/>
                <w:w w:val="95"/>
              </w:rPr>
              <w:t>As of June 30, 2022 and 2021, other payables and accrued liabilities consisted of the following:</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24"/>
                <w:szCs w:val="24"/>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34"/>
        </w:trPr>
        <w:tc>
          <w:tcPr>
            <w:tcW w:w="7280" w:type="dxa"/>
            <w:vAlign w:val="bottom"/>
            <w:tcBorders>
              <w:bottom w:val="single" w:sz="8" w:color="EEEEEE"/>
            </w:tcBorders>
          </w:tcPr>
          <w:p>
            <w:pPr>
              <w:spacing w:after="0"/>
              <w:rPr>
                <w:sz w:val="20"/>
                <w:szCs w:val="20"/>
                <w:color w:val="auto"/>
              </w:rPr>
            </w:pPr>
          </w:p>
        </w:tc>
        <w:tc>
          <w:tcPr>
            <w:tcW w:w="380" w:type="dxa"/>
            <w:vAlign w:val="bottom"/>
            <w:tcBorders>
              <w:bottom w:val="single" w:sz="8" w:color="EEEEEE"/>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EEEEEE"/>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EEEEEE"/>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280" w:type="dxa"/>
            <w:vAlign w:val="bottom"/>
            <w:shd w:val="clear" w:color="auto" w:fill="EEEEEE"/>
          </w:tcPr>
          <w:p>
            <w:pPr>
              <w:spacing w:after="0"/>
              <w:rPr>
                <w:sz w:val="20"/>
                <w:szCs w:val="20"/>
                <w:color w:val="auto"/>
              </w:rPr>
            </w:pPr>
            <w:r>
              <w:rPr>
                <w:rFonts w:ascii="Arial" w:cs="Arial" w:eastAsia="Arial" w:hAnsi="Arial"/>
                <w:sz w:val="18"/>
                <w:szCs w:val="18"/>
                <w:color w:val="auto"/>
              </w:rPr>
              <w:t>Accrued payables for inventory in transit</w:t>
            </w: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4,217,941</w:t>
            </w: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1,692,502</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Accrued Amazon fees</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640,467</w:t>
            </w:r>
          </w:p>
        </w:tc>
        <w:tc>
          <w:tcPr>
            <w:tcW w:w="2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469,068</w:t>
            </w:r>
          </w:p>
        </w:tc>
        <w:tc>
          <w:tcPr>
            <w:tcW w:w="0" w:type="dxa"/>
            <w:vAlign w:val="bottom"/>
          </w:tcPr>
          <w:p>
            <w:pPr>
              <w:spacing w:after="0"/>
              <w:rPr>
                <w:sz w:val="1"/>
                <w:szCs w:val="1"/>
                <w:color w:val="auto"/>
              </w:rPr>
            </w:pPr>
          </w:p>
        </w:tc>
      </w:tr>
      <w:tr>
        <w:trPr>
          <w:trHeight w:val="216"/>
        </w:trPr>
        <w:tc>
          <w:tcPr>
            <w:tcW w:w="7280" w:type="dxa"/>
            <w:vAlign w:val="bottom"/>
            <w:shd w:val="clear" w:color="auto" w:fill="EEEEEE"/>
          </w:tcPr>
          <w:p>
            <w:pPr>
              <w:spacing w:after="0"/>
              <w:rPr>
                <w:sz w:val="20"/>
                <w:szCs w:val="20"/>
                <w:color w:val="auto"/>
              </w:rPr>
            </w:pPr>
            <w:r>
              <w:rPr>
                <w:rFonts w:ascii="Arial" w:cs="Arial" w:eastAsia="Arial" w:hAnsi="Arial"/>
                <w:sz w:val="18"/>
                <w:szCs w:val="18"/>
                <w:color w:val="auto"/>
              </w:rPr>
              <w:t>Sales taxes payable</w:t>
            </w: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307,152</w:t>
            </w: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9,665</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Payroll liabilities</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239,248</w:t>
            </w:r>
          </w:p>
        </w:tc>
        <w:tc>
          <w:tcPr>
            <w:tcW w:w="2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304,743</w:t>
            </w:r>
          </w:p>
        </w:tc>
        <w:tc>
          <w:tcPr>
            <w:tcW w:w="0" w:type="dxa"/>
            <w:vAlign w:val="bottom"/>
          </w:tcPr>
          <w:p>
            <w:pPr>
              <w:spacing w:after="0"/>
              <w:rPr>
                <w:sz w:val="1"/>
                <w:szCs w:val="1"/>
                <w:color w:val="auto"/>
              </w:rPr>
            </w:pPr>
          </w:p>
        </w:tc>
      </w:tr>
      <w:tr>
        <w:trPr>
          <w:trHeight w:val="229"/>
        </w:trPr>
        <w:tc>
          <w:tcPr>
            <w:tcW w:w="7280" w:type="dxa"/>
            <w:vAlign w:val="bottom"/>
            <w:shd w:val="clear" w:color="auto" w:fill="EEEEEE"/>
          </w:tcPr>
          <w:p>
            <w:pPr>
              <w:spacing w:after="0"/>
              <w:rPr>
                <w:sz w:val="20"/>
                <w:szCs w:val="20"/>
                <w:color w:val="auto"/>
              </w:rPr>
            </w:pPr>
            <w:r>
              <w:rPr>
                <w:rFonts w:ascii="Arial" w:cs="Arial" w:eastAsia="Arial" w:hAnsi="Arial"/>
                <w:sz w:val="18"/>
                <w:szCs w:val="18"/>
                <w:color w:val="auto"/>
              </w:rPr>
              <w:t>Other accrued liabilities and payables</w:t>
            </w:r>
          </w:p>
        </w:tc>
        <w:tc>
          <w:tcPr>
            <w:tcW w:w="3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510,412</w:t>
            </w:r>
          </w:p>
        </w:tc>
        <w:tc>
          <w:tcPr>
            <w:tcW w:w="28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11,463</w:t>
            </w:r>
          </w:p>
        </w:tc>
        <w:tc>
          <w:tcPr>
            <w:tcW w:w="0" w:type="dxa"/>
            <w:vAlign w:val="bottom"/>
          </w:tcPr>
          <w:p>
            <w:pPr>
              <w:spacing w:after="0"/>
              <w:rPr>
                <w:sz w:val="1"/>
                <w:szCs w:val="1"/>
                <w:color w:val="auto"/>
              </w:rPr>
            </w:pPr>
          </w:p>
        </w:tc>
      </w:tr>
      <w:tr>
        <w:trPr>
          <w:trHeight w:val="210"/>
        </w:trPr>
        <w:tc>
          <w:tcPr>
            <w:tcW w:w="7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280" w:type="dxa"/>
            <w:vAlign w:val="bottom"/>
            <w:shd w:val="clear" w:color="auto" w:fill="EEEEEE"/>
          </w:tcPr>
          <w:p>
            <w:pPr>
              <w:spacing w:after="0"/>
              <w:rPr>
                <w:sz w:val="20"/>
                <w:szCs w:val="20"/>
                <w:color w:val="auto"/>
              </w:rPr>
            </w:pPr>
            <w:r>
              <w:rPr>
                <w:rFonts w:ascii="Arial" w:cs="Arial" w:eastAsia="Arial" w:hAnsi="Arial"/>
                <w:sz w:val="18"/>
                <w:szCs w:val="18"/>
                <w:color w:val="auto"/>
              </w:rPr>
              <w:t>Total</w:t>
            </w:r>
          </w:p>
        </w:tc>
        <w:tc>
          <w:tcPr>
            <w:tcW w:w="660" w:type="dxa"/>
            <w:vAlign w:val="bottom"/>
            <w:gridSpan w:val="2"/>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5,915,220</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2,487,441</w:t>
            </w:r>
          </w:p>
        </w:tc>
        <w:tc>
          <w:tcPr>
            <w:tcW w:w="0" w:type="dxa"/>
            <w:vAlign w:val="bottom"/>
          </w:tcPr>
          <w:p>
            <w:pPr>
              <w:spacing w:after="0"/>
              <w:rPr>
                <w:sz w:val="1"/>
                <w:szCs w:val="1"/>
                <w:color w:val="auto"/>
              </w:rPr>
            </w:pPr>
          </w:p>
        </w:tc>
      </w:tr>
      <w:tr>
        <w:trPr>
          <w:trHeight w:val="20"/>
        </w:trPr>
        <w:tc>
          <w:tcPr>
            <w:tcW w:w="728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controlled VIE, DHS, facilitated in the process of inventory procurement. The Company purchased a total of $378,385 inventories from a supplier which had a payment term of 90 days with a 2% premium on the purchase price. This supplier has purchased the inventory from DHS with payments made upon delivery. As of June 30, 2022, the Company included an outstanding amount of $378,385 in other payables and presented as financing cash inflow in proceeds from short term loans on the statement of cash flows. As of the date of this report, the amount had been paid off.</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Note 12 – Loans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May 3, 2019, the Company entered into an agreement with WFC Fund LLC (“WFC”) for a revolving loan of up to $2,000,000. The revolving loan bore interest equal to the prime rate plus 4.25% per annum on the outstanding amount. On May 26, 2020, the Loan and Security Agreement was amended and restated as a Receivable Purchase Agreement (the “Original RPA”). On November 16, 2020, the Original RPA was further amended and restated (the “Restated RPA”) to increase the credit limit of the revolving credit facility from $2,000,000 to $3,000,000. The Restated RPA bore a discount rate of 3.055555%, subject to a rebate of 0.0277% per day. This revolving credit facility was secured by all of the Company’s assets and guaranteed by Chenlong Tan, the CEO and one of the Company’s major shareholders and founders. Pursuant to the terms of the agreement, all purchases of accounts receivable were without recourse to the Company, and WFC assumed the risk of nonpayment of the accounts receivable due to a customer’s financial inability to pay the accounts receivable or the customer’s insolvency but not the risk of non-payment of the accounts receivable for any other reason. The Company was obligated to collect the accounts receivables and to repurchase or pay back the amount drawn down if the accounts receivable were not collected.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September 30, 2021, the Company terminated the Restated RPA and paid off the balance due to WFC.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 and 2021, the outstanding balance due under the RPA was $0 and $162,769,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loan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SBA loan payable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18, 2020, the Company entered into an agreement with the U.S. Small Business Administration (“SBA”) for a loan of $500,000 under Section 7(b) of the Small Business Act pursuant to which we issued a promissory note (the “SBA Note”) to the SBA. The SBA Note bears interest at the rate of 3.75% per annum and matures 30 years from the date of the SBA Note. Monthly installment payments, including principal and interest, will begin twelve months from the date of the SBA Note. During the quarter ended June 30, 2022, the Company paid off the SBA Note, including accrued interest expense of $39,237. As of June 30, 2022 and 2021, the outstanding balance of the SBA Note was $0 and $487,815, respectively, with the latter amount including a current portion of $29,244 and a non-current portion of $458,571.</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auto"/>
        </w:rPr>
        <w:t>Asset-based revolving loan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November 12, 2021, the Company entered to a Credit Agreement with JPMorgan Chase Bank, N.A., as administrative agent, issuing bank and swingline lender, for an asset-based revolving loan (“ABL”) of up to $25 million with key terms listed as follows:</w:t>
      </w:r>
    </w:p>
    <w:p>
      <w:pPr>
        <w:spacing w:after="0" w:line="170" w:lineRule="exact"/>
        <w:rPr>
          <w:sz w:val="20"/>
          <w:szCs w:val="20"/>
          <w:color w:val="auto"/>
        </w:rPr>
      </w:pPr>
    </w:p>
    <w:p>
      <w:pPr>
        <w:ind w:left="1360" w:hanging="218"/>
        <w:spacing w:after="0"/>
        <w:tabs>
          <w:tab w:leader="none" w:pos="1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Borrowing base equal to the sum of</w:t>
      </w:r>
    </w:p>
    <w:p>
      <w:pPr>
        <w:spacing w:after="0" w:line="23" w:lineRule="exact"/>
        <w:rPr>
          <w:rFonts w:ascii="Arial" w:cs="Arial" w:eastAsia="Arial" w:hAnsi="Arial"/>
          <w:sz w:val="18"/>
          <w:szCs w:val="18"/>
          <w:color w:val="auto"/>
        </w:rPr>
      </w:pPr>
    </w:p>
    <w:p>
      <w:pPr>
        <w:ind w:left="1700" w:hanging="221"/>
        <w:spacing w:after="0"/>
        <w:tabs>
          <w:tab w:leader="none" w:pos="17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Up to 90% of eligible credit card receivables</w:t>
      </w:r>
    </w:p>
    <w:p>
      <w:pPr>
        <w:spacing w:after="0" w:line="9" w:lineRule="exact"/>
        <w:rPr>
          <w:rFonts w:ascii="Arial" w:cs="Arial" w:eastAsia="Arial" w:hAnsi="Arial"/>
          <w:sz w:val="18"/>
          <w:szCs w:val="18"/>
          <w:color w:val="auto"/>
        </w:rPr>
      </w:pPr>
    </w:p>
    <w:p>
      <w:pPr>
        <w:ind w:left="1700" w:hanging="221"/>
        <w:spacing w:after="0"/>
        <w:tabs>
          <w:tab w:leader="none" w:pos="17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Up to 85% of eligible trade accounts receivable</w:t>
      </w:r>
    </w:p>
    <w:p>
      <w:pPr>
        <w:spacing w:after="0" w:line="9" w:lineRule="exact"/>
        <w:rPr>
          <w:rFonts w:ascii="Arial" w:cs="Arial" w:eastAsia="Arial" w:hAnsi="Arial"/>
          <w:sz w:val="18"/>
          <w:szCs w:val="18"/>
          <w:color w:val="auto"/>
        </w:rPr>
      </w:pPr>
    </w:p>
    <w:p>
      <w:pPr>
        <w:ind w:left="1700" w:hanging="221"/>
        <w:spacing w:after="0"/>
        <w:tabs>
          <w:tab w:leader="none" w:pos="17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Up to the lesser of (i) 65% of cost of eligible inventory or (ii) 85% of net orderly liquidation value of eligible inventory</w:t>
      </w:r>
    </w:p>
    <w:p>
      <w:pPr>
        <w:spacing w:after="0" w:line="9" w:lineRule="exact"/>
        <w:rPr>
          <w:rFonts w:ascii="Arial" w:cs="Arial" w:eastAsia="Arial" w:hAnsi="Arial"/>
          <w:sz w:val="18"/>
          <w:szCs w:val="18"/>
          <w:color w:val="auto"/>
        </w:rPr>
      </w:pPr>
    </w:p>
    <w:p>
      <w:pPr>
        <w:ind w:left="1360" w:hanging="218"/>
        <w:spacing w:after="0"/>
        <w:tabs>
          <w:tab w:leader="none" w:pos="1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Interest rates of between LIBOR plus 2% and LIBOR plus 2.25% depending on utilization</w:t>
      </w:r>
    </w:p>
    <w:p>
      <w:pPr>
        <w:spacing w:after="0" w:line="9" w:lineRule="exact"/>
        <w:rPr>
          <w:rFonts w:ascii="Arial" w:cs="Arial" w:eastAsia="Arial" w:hAnsi="Arial"/>
          <w:sz w:val="18"/>
          <w:szCs w:val="18"/>
          <w:color w:val="auto"/>
        </w:rPr>
      </w:pPr>
    </w:p>
    <w:p>
      <w:pPr>
        <w:ind w:left="1360" w:hanging="218"/>
        <w:spacing w:after="0"/>
        <w:tabs>
          <w:tab w:leader="none" w:pos="1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Undrawn fee of between 0.25% and 0.375% depending on utilization</w:t>
      </w:r>
    </w:p>
    <w:p>
      <w:pPr>
        <w:spacing w:after="0" w:line="9" w:lineRule="exact"/>
        <w:rPr>
          <w:rFonts w:ascii="Arial" w:cs="Arial" w:eastAsia="Arial" w:hAnsi="Arial"/>
          <w:sz w:val="18"/>
          <w:szCs w:val="18"/>
          <w:color w:val="auto"/>
        </w:rPr>
      </w:pPr>
    </w:p>
    <w:p>
      <w:pPr>
        <w:ind w:left="1360" w:hanging="218"/>
        <w:spacing w:after="0"/>
        <w:tabs>
          <w:tab w:leader="none" w:pos="1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Maturity Date of November 12, 2024</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the ABL includes an accordion feature that allows the Company to borrow up to an additional $25.0 million. To secure complete payment and performance of the secured obligations, the Company granted a security interest in all of its right, title and interest in, to and under all of the Company’s assets as collateral to the ABL. Upon closing of the ABL, the Company paid $796,035 financing fees including 2% of $25.0 million or $500,000 paid to its financial advisor. The financing fees are recorded as debt discount and to be amortized over three years as financing expenses, the term of the ABL. For the year ended June 30, 2022, the Company recorded in interest expense – $176,812 of amortization of debt discount and $182,543 of interest expense and credit utilization fees.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interest expense recorded for the years ended June 30, 2022 and 2021: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tcBorders>
              <w:bottom w:val="single" w:sz="8" w:color="EEEEEE"/>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2022</w:t>
            </w:r>
          </w:p>
        </w:tc>
        <w:tc>
          <w:tcPr>
            <w:tcW w:w="300" w:type="dxa"/>
            <w:vAlign w:val="bottom"/>
            <w:tcBorders>
              <w:bottom w:val="single" w:sz="8" w:color="EEEEEE"/>
            </w:tcBorders>
          </w:tcPr>
          <w:p>
            <w:pPr>
              <w:spacing w:after="0"/>
              <w:rPr>
                <w:sz w:val="20"/>
                <w:szCs w:val="20"/>
                <w:color w:val="auto"/>
              </w:rPr>
            </w:pPr>
          </w:p>
        </w:tc>
        <w:tc>
          <w:tcPr>
            <w:tcW w:w="20" w:type="dxa"/>
            <w:vAlign w:val="bottom"/>
            <w:tcBorders>
              <w:bottom w:val="single" w:sz="8" w:color="EEEEEE"/>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2021</w:t>
            </w:r>
          </w:p>
        </w:tc>
        <w:tc>
          <w:tcPr>
            <w:tcW w:w="20" w:type="dxa"/>
            <w:vAlign w:val="bottom"/>
            <w:tcBorders>
              <w:bottom w:val="single" w:sz="8" w:color="EEEEEE"/>
            </w:tcBorders>
          </w:tcPr>
          <w:p>
            <w:pPr>
              <w:spacing w:after="0"/>
              <w:rPr>
                <w:sz w:val="20"/>
                <w:szCs w:val="20"/>
                <w:color w:val="auto"/>
              </w:rPr>
            </w:pPr>
          </w:p>
        </w:tc>
        <w:tc>
          <w:tcPr>
            <w:tcW w:w="80" w:type="dxa"/>
            <w:vAlign w:val="bottom"/>
            <w:tcBorders>
              <w:bottom w:val="single" w:sz="8" w:color="EEEEEE"/>
            </w:tcBorders>
          </w:tcPr>
          <w:p>
            <w:pPr>
              <w:spacing w:after="0"/>
              <w:rPr>
                <w:sz w:val="20"/>
                <w:szCs w:val="20"/>
                <w:color w:val="auto"/>
              </w:rPr>
            </w:pPr>
          </w:p>
        </w:tc>
      </w:tr>
      <w:tr>
        <w:trPr>
          <w:trHeight w:val="209"/>
        </w:trPr>
        <w:tc>
          <w:tcPr>
            <w:tcW w:w="3120" w:type="dxa"/>
            <w:vAlign w:val="bottom"/>
            <w:shd w:val="clear" w:color="auto" w:fill="EEEEEE"/>
          </w:tcPr>
          <w:p>
            <w:pPr>
              <w:spacing w:after="0"/>
              <w:rPr>
                <w:sz w:val="20"/>
                <w:szCs w:val="20"/>
                <w:color w:val="auto"/>
              </w:rPr>
            </w:pPr>
            <w:r>
              <w:rPr>
                <w:rFonts w:ascii="Arial" w:cs="Arial" w:eastAsia="Arial" w:hAnsi="Arial"/>
                <w:sz w:val="18"/>
                <w:szCs w:val="18"/>
                <w:color w:val="auto"/>
              </w:rPr>
              <w:t>Accrued interest</w:t>
            </w:r>
          </w:p>
        </w:tc>
        <w:tc>
          <w:tcPr>
            <w:tcW w:w="36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159,256</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40" w:type="dxa"/>
            <w:vAlign w:val="bottom"/>
            <w:shd w:val="clear" w:color="auto" w:fill="EEEEEE"/>
          </w:tcPr>
          <w:p>
            <w:pPr>
              <w:jc w:val="right"/>
              <w:ind w:right="229"/>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EEEEEE"/>
          </w:tcPr>
          <w:p>
            <w:pPr>
              <w:ind w:left="1160"/>
              <w:spacing w:after="0"/>
              <w:rPr>
                <w:sz w:val="20"/>
                <w:szCs w:val="20"/>
                <w:color w:val="auto"/>
              </w:rPr>
            </w:pPr>
            <w:r>
              <w:rPr>
                <w:rFonts w:ascii="Arial" w:cs="Arial" w:eastAsia="Arial" w:hAnsi="Arial"/>
                <w:sz w:val="18"/>
                <w:szCs w:val="18"/>
                <w:color w:val="auto"/>
                <w:w w:val="79"/>
              </w:rPr>
              <w:t>–</w:t>
            </w:r>
          </w:p>
        </w:tc>
        <w:tc>
          <w:tcPr>
            <w:tcW w:w="100" w:type="dxa"/>
            <w:vAlign w:val="bottom"/>
            <w:gridSpan w:val="2"/>
            <w:shd w:val="clear" w:color="auto" w:fill="EEEEEE"/>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Credit utilization fees</w:t>
            </w:r>
          </w:p>
        </w:tc>
        <w:tc>
          <w:tcPr>
            <w:tcW w:w="36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23,287</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3"/>
          </w:tcPr>
          <w:p>
            <w:pPr>
              <w:ind w:left="1160"/>
              <w:spacing w:after="0"/>
              <w:rPr>
                <w:sz w:val="20"/>
                <w:szCs w:val="20"/>
                <w:color w:val="auto"/>
              </w:rPr>
            </w:pPr>
            <w:r>
              <w:rPr>
                <w:rFonts w:ascii="Arial" w:cs="Arial" w:eastAsia="Arial" w:hAnsi="Arial"/>
                <w:sz w:val="18"/>
                <w:szCs w:val="18"/>
                <w:color w:val="auto"/>
              </w:rPr>
              <w:t>–</w:t>
            </w:r>
          </w:p>
        </w:tc>
      </w:tr>
      <w:tr>
        <w:trPr>
          <w:trHeight w:val="229"/>
        </w:trPr>
        <w:tc>
          <w:tcPr>
            <w:tcW w:w="312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debt discount</w:t>
            </w:r>
          </w:p>
        </w:tc>
        <w:tc>
          <w:tcPr>
            <w:tcW w:w="3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176,812</w:t>
            </w:r>
          </w:p>
        </w:tc>
        <w:tc>
          <w:tcPr>
            <w:tcW w:w="2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360" w:type="dxa"/>
            <w:vAlign w:val="bottom"/>
            <w:gridSpan w:val="3"/>
            <w:shd w:val="clear" w:color="auto" w:fill="EEEEEE"/>
          </w:tcPr>
          <w:p>
            <w:pPr>
              <w:ind w:left="1160"/>
              <w:spacing w:after="0"/>
              <w:rPr>
                <w:sz w:val="20"/>
                <w:szCs w:val="20"/>
                <w:color w:val="auto"/>
              </w:rPr>
            </w:pPr>
            <w:r>
              <w:rPr>
                <w:rFonts w:ascii="Arial" w:cs="Arial" w:eastAsia="Arial" w:hAnsi="Arial"/>
                <w:sz w:val="18"/>
                <w:szCs w:val="18"/>
                <w:color w:val="auto"/>
              </w:rPr>
              <w:t>–</w:t>
            </w:r>
          </w:p>
        </w:tc>
      </w:tr>
      <w:tr>
        <w:trPr>
          <w:trHeight w:val="223"/>
        </w:trPr>
        <w:tc>
          <w:tcPr>
            <w:tcW w:w="3120" w:type="dxa"/>
            <w:vAlign w:val="bottom"/>
          </w:tcPr>
          <w:p>
            <w:pPr>
              <w:ind w:left="242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359,355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tcBorders>
          </w:tcPr>
          <w:p>
            <w:pPr>
              <w:ind w:left="1160"/>
              <w:spacing w:after="0"/>
              <w:rPr>
                <w:sz w:val="20"/>
                <w:szCs w:val="20"/>
                <w:color w:val="auto"/>
              </w:rPr>
            </w:pPr>
            <w:r>
              <w:rPr>
                <w:rFonts w:ascii="Arial" w:cs="Arial" w:eastAsia="Arial" w:hAnsi="Arial"/>
                <w:sz w:val="18"/>
                <w:szCs w:val="18"/>
                <w:color w:val="auto"/>
                <w:w w:val="79"/>
              </w:rPr>
              <w:t>–</w:t>
            </w:r>
          </w:p>
        </w:tc>
        <w:tc>
          <w:tcPr>
            <w:tcW w:w="100" w:type="dxa"/>
            <w:vAlign w:val="bottom"/>
            <w:gridSpan w:val="2"/>
          </w:tcPr>
          <w:p>
            <w:pPr>
              <w:spacing w:after="0"/>
              <w:rPr>
                <w:sz w:val="19"/>
                <w:szCs w:val="19"/>
                <w:color w:val="auto"/>
              </w:rPr>
            </w:pPr>
          </w:p>
        </w:tc>
      </w:tr>
      <w:tr>
        <w:trPr>
          <w:trHeight w:val="20"/>
        </w:trPr>
        <w:tc>
          <w:tcPr>
            <w:tcW w:w="3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2022, the outstanding amount of the long-term revolving loan payable, net of debt discount, was $12,314,627, including interest payable of $182,543.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Promissory note payable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15, 2022, as part of the consideration for acquisition of Anivia Limited, the Company issued a two-year unsecured 6% subordinated promissory note, payable in equal semi-annual installments commencing August 15, 2022 (the “Purchase Note”). The principal amount of the Purchase Note was $3.5 million with a fair value of $3.6 million as of February 15, 2022. For the year ended June 30, 2022, the Company recorded accrued interest of $78,750 and amortization of note premium of $18,609. As of June 30, 2022, including $78,750 of accrued interest and $82,020 of unamortized premium, the total outstanding balance of the Purchase Note was $3,660,770, which was presented on the consolidated balance sheet as a current portion of $1,879,065 and a non-current portion of $1,781,705.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Related party transactions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December 1, 2018, the Company acquired certain assets and assumed liabilities from BizRight, LLC, an entity owned and managed by the founders and officers of the Company. The net assets received were recorded at their historical carrying amounts and the purchase price of $2,611,594 was recorded as payable due to related parties. The purchase price shall be paid based on the Company’s cash flow availability and bears an interest rate of 8% per annum on the outstanding amount. During the years ended June 30, 2021, the Company recorded proceeds of $571,824 and payments of $705,617, respectively. As of June 30, 2022 and 2021, the outstanding amount due to BizRight was $0 and $0, respectively.</w:t>
      </w:r>
    </w:p>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Starting March 1, 2022, the Company subleases 50,000 square feet of its warehouse space to Box Harmony, LLC, which is a 40% owned joint venture of the Company as disclosed on Note 1 and Note 2 above. For the year ended June 30, 2022, the Company received and recorded sublease fee of $330,000 as other non-operating income. As of June 30, 2022, other receivables due from Box Harmony was 51,762.</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15, 2022, the Company assumed $92,246 of advance from shareholders of DHS through acquisition of Anivia. This amount was for capital injection pending capital inspection by the local government in accordance with the PRC rules. As of June 30, 2022, the balance of advance from shareholders was $92,246.</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Note 14 – Income taxes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22, 2017, the President of the United States signed into law H.R.1, formerly known as the Tax Cuts and Jobs Act (the “Tax Legislation”). The Tax Legislation significantly revised the U.S. tax code by (i) lowering the U.S. federal statutory income tax rate from 35% to 21%, (ii) implementing a territorial tax system, (iii) imposing a one-time transition tax on deemed repatriated earnings of foreign subsidiaries, (iv) requiring a current inclusion of global intangible low taxed income of certain earnings of controlled foreign corporations in U.S. federal taxable income, (v) creating the base erosion anti-abuse tax regime, (vi) implementing bonus depreciation that will allow for full expensing of qualified property, and (vii) limiting deductibility of interest and executive compensation expense, among other changes. The Company has computed its tax expenses using the new statutory rate effective on January 1, 2018 of 21%.</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upon completion of the acquisition of Anivia, the Company is subject to corporate income taxes in People’s Republic of China (“PRC”). Anivia and its subsidiaries were subject to BVI or Hong Kong income taxes but did not have any operations for the year ended June 30, 2022. DHS, the operating VIE of Anivia, is considered a Controlled Foreign Corporation (CFC) defined under IRC Sec. 957(a) since the Company indirectly owns more than 50% voting control of DHS as a result of the Transfer Agreement. Therefore, DHS is subject to the GILTI Tax. DHS is subject to 25% tax rate in PRC. The Company made an election to apply the GILTI high-tax exclusion for DHS under the Final Regulations (T.D. 9902). As the result of the election, no GILTI tax was recorded as of June 30, 2022. In addition, as a result of the acquisition the Company booked a $6,094,144 of goodwill. Since the acquisition was a stock acquisition, the Goodwill is not deductible for tax purposes.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provisions of the new legislation include, but are not limited to, limiting deductibility of interest and executive compensation expense. These additional items have been considered in the income tax provision for the years ended June 30, 2022 and 2021. For the year ended June 30, 2022, the Company recorded net deferred tax liabilities of $939,115 resulting from intangible assets acquired, and other temporary differences, including stock compensation expense, depreciation expenses, lease expenses, etc.</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June 30, 2021, the Company incurred non-deductible expense related to issuance of convertible notes and preferred stock of $2.87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provision for the years ended June 30, 2022 and 2021 consisted of the following:</w:t>
      </w:r>
    </w:p>
    <w:p>
      <w:pPr>
        <w:sectPr>
          <w:pgSz w:w="11900" w:h="16838" w:orient="portrait"/>
          <w:cols w:equalWidth="0" w:num="1">
            <w:col w:w="11240"/>
          </w:cols>
          <w:pgMar w:left="320" w:top="796"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Current:</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Federal</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State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Foreign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current income tax provision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Deferred:</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Federal</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State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Foreign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deferred taxes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Total provision for income taxes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June 30, 2022</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June 30, 2021</w:t>
            </w:r>
          </w:p>
        </w:tc>
      </w:tr>
      <w:tr>
        <w:trPr>
          <w:trHeight w:val="411"/>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241"/>
              <w:spacing w:after="0"/>
              <w:rPr>
                <w:sz w:val="20"/>
                <w:szCs w:val="20"/>
                <w:color w:val="auto"/>
              </w:rPr>
            </w:pPr>
            <w:r>
              <w:rPr>
                <w:rFonts w:ascii="Arial" w:cs="Arial" w:eastAsia="Arial" w:hAnsi="Arial"/>
                <w:sz w:val="18"/>
                <w:szCs w:val="18"/>
                <w:color w:val="auto"/>
              </w:rPr>
              <w:t>472,936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513,036</w:t>
            </w:r>
          </w:p>
        </w:tc>
      </w:tr>
      <w:tr>
        <w:trPr>
          <w:trHeight w:val="229"/>
        </w:trPr>
        <w:tc>
          <w:tcPr>
            <w:tcW w:w="180" w:type="dxa"/>
            <w:vAlign w:val="bottom"/>
          </w:tcPr>
          <w:p>
            <w:pPr>
              <w:spacing w:after="0"/>
              <w:rPr>
                <w:sz w:val="19"/>
                <w:szCs w:val="19"/>
                <w:color w:val="auto"/>
              </w:rPr>
            </w:pPr>
          </w:p>
        </w:tc>
        <w:tc>
          <w:tcPr>
            <w:tcW w:w="1720" w:type="dxa"/>
            <w:vAlign w:val="bottom"/>
            <w:gridSpan w:val="2"/>
          </w:tcPr>
          <w:p>
            <w:pPr>
              <w:jc w:val="right"/>
              <w:ind w:right="241"/>
              <w:spacing w:after="0"/>
              <w:rPr>
                <w:sz w:val="20"/>
                <w:szCs w:val="20"/>
                <w:color w:val="auto"/>
              </w:rPr>
            </w:pPr>
            <w:r>
              <w:rPr>
                <w:rFonts w:ascii="Arial" w:cs="Arial" w:eastAsia="Arial" w:hAnsi="Arial"/>
                <w:sz w:val="18"/>
                <w:szCs w:val="18"/>
                <w:color w:val="auto"/>
              </w:rPr>
              <w:t>222,441</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253,726</w:t>
            </w:r>
          </w:p>
        </w:tc>
      </w:tr>
      <w:tr>
        <w:trPr>
          <w:trHeight w:val="230"/>
        </w:trPr>
        <w:tc>
          <w:tcPr>
            <w:tcW w:w="180" w:type="dxa"/>
            <w:vAlign w:val="bottom"/>
          </w:tcPr>
          <w:p>
            <w:pPr>
              <w:spacing w:after="0"/>
              <w:rPr>
                <w:sz w:val="20"/>
                <w:szCs w:val="20"/>
                <w:color w:val="auto"/>
              </w:rPr>
            </w:pPr>
          </w:p>
        </w:tc>
        <w:tc>
          <w:tcPr>
            <w:tcW w:w="1720" w:type="dxa"/>
            <w:vAlign w:val="bottom"/>
            <w:gridSpan w:val="2"/>
          </w:tcPr>
          <w:p>
            <w:pPr>
              <w:jc w:val="right"/>
              <w:ind w:right="241"/>
              <w:spacing w:after="0"/>
              <w:rPr>
                <w:sz w:val="20"/>
                <w:szCs w:val="20"/>
                <w:color w:val="auto"/>
              </w:rPr>
            </w:pPr>
            <w:r>
              <w:rPr>
                <w:rFonts w:ascii="Arial" w:cs="Arial" w:eastAsia="Arial" w:hAnsi="Arial"/>
                <w:sz w:val="18"/>
                <w:szCs w:val="18"/>
                <w:color w:val="auto"/>
              </w:rPr>
              <w:t>313,596</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1,008,973</w:t>
            </w:r>
          </w:p>
        </w:tc>
        <w:tc>
          <w:tcPr>
            <w:tcW w:w="3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766,762</w:t>
            </w:r>
          </w:p>
        </w:tc>
      </w:tr>
      <w:tr>
        <w:trPr>
          <w:trHeight w:val="411"/>
        </w:trPr>
        <w:tc>
          <w:tcPr>
            <w:tcW w:w="180" w:type="dxa"/>
            <w:vAlign w:val="bottom"/>
          </w:tcPr>
          <w:p>
            <w:pPr>
              <w:spacing w:after="0"/>
              <w:rPr>
                <w:sz w:val="24"/>
                <w:szCs w:val="24"/>
                <w:color w:val="auto"/>
              </w:rPr>
            </w:pPr>
          </w:p>
        </w:tc>
        <w:tc>
          <w:tcPr>
            <w:tcW w:w="1720" w:type="dxa"/>
            <w:vAlign w:val="bottom"/>
            <w:gridSpan w:val="2"/>
          </w:tcPr>
          <w:p>
            <w:pPr>
              <w:jc w:val="right"/>
              <w:ind w:right="181"/>
              <w:spacing w:after="0"/>
              <w:rPr>
                <w:sz w:val="20"/>
                <w:szCs w:val="20"/>
                <w:color w:val="auto"/>
              </w:rPr>
            </w:pPr>
            <w:r>
              <w:rPr>
                <w:rFonts w:ascii="Arial" w:cs="Arial" w:eastAsia="Arial" w:hAnsi="Arial"/>
                <w:sz w:val="18"/>
                <w:szCs w:val="18"/>
                <w:color w:val="auto"/>
              </w:rPr>
              <w:t>(342,768)</w:t>
            </w:r>
          </w:p>
        </w:tc>
        <w:tc>
          <w:tcPr>
            <w:tcW w:w="1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80" w:type="dxa"/>
            <w:vAlign w:val="bottom"/>
          </w:tcPr>
          <w:p>
            <w:pPr>
              <w:spacing w:after="0"/>
              <w:rPr>
                <w:sz w:val="19"/>
                <w:szCs w:val="19"/>
                <w:color w:val="auto"/>
              </w:rPr>
            </w:pPr>
          </w:p>
        </w:tc>
        <w:tc>
          <w:tcPr>
            <w:tcW w:w="1720" w:type="dxa"/>
            <w:vAlign w:val="bottom"/>
            <w:gridSpan w:val="2"/>
          </w:tcPr>
          <w:p>
            <w:pPr>
              <w:jc w:val="right"/>
              <w:ind w:right="181"/>
              <w:spacing w:after="0"/>
              <w:rPr>
                <w:sz w:val="20"/>
                <w:szCs w:val="20"/>
                <w:color w:val="auto"/>
              </w:rPr>
            </w:pPr>
            <w:r>
              <w:rPr>
                <w:rFonts w:ascii="Arial" w:cs="Arial" w:eastAsia="Arial" w:hAnsi="Arial"/>
                <w:sz w:val="18"/>
                <w:szCs w:val="18"/>
                <w:color w:val="auto"/>
              </w:rPr>
              <w:t>(107,230)</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80" w:type="dxa"/>
            <w:vAlign w:val="bottom"/>
          </w:tcPr>
          <w:p>
            <w:pPr>
              <w:spacing w:after="0"/>
              <w:rPr>
                <w:sz w:val="20"/>
                <w:szCs w:val="20"/>
                <w:color w:val="auto"/>
              </w:rPr>
            </w:pPr>
          </w:p>
        </w:tc>
        <w:tc>
          <w:tcPr>
            <w:tcW w:w="17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(449,998</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453"/>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241"/>
              <w:spacing w:after="0"/>
              <w:rPr>
                <w:sz w:val="20"/>
                <w:szCs w:val="20"/>
                <w:color w:val="auto"/>
              </w:rPr>
            </w:pPr>
            <w:r>
              <w:rPr>
                <w:rFonts w:ascii="Arial" w:cs="Arial" w:eastAsia="Arial" w:hAnsi="Arial"/>
                <w:sz w:val="18"/>
                <w:szCs w:val="18"/>
                <w:color w:val="auto"/>
              </w:rPr>
              <w:t>558,975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766,762</w:t>
            </w: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-1748155</wp:posOffset>
            </wp:positionV>
            <wp:extent cx="7132320" cy="145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-1464945</wp:posOffset>
            </wp:positionV>
            <wp:extent cx="71323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-1182370</wp:posOffset>
            </wp:positionV>
            <wp:extent cx="7132320"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-890905</wp:posOffset>
            </wp:positionV>
            <wp:extent cx="71323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-616585</wp:posOffset>
            </wp:positionV>
            <wp:extent cx="7132320"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-325120</wp:posOffset>
            </wp:positionV>
            <wp:extent cx="7132320"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40" w:space="720"/>
            <w:col w:w="3580"/>
          </w:cols>
          <w:pgMar w:left="320" w:top="79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77" w:name="page78"/>
    <w:bookmarkEnd w:id="77"/>
    <w:p>
      <w:pPr>
        <w:jc w:val="both"/>
        <w:spacing w:after="0" w:line="263" w:lineRule="auto"/>
        <w:rPr>
          <w:sz w:val="20"/>
          <w:szCs w:val="20"/>
          <w:color w:val="auto"/>
        </w:rPr>
      </w:pPr>
      <w:r>
        <w:rPr>
          <w:rFonts w:ascii="Arial" w:cs="Arial" w:eastAsia="Arial" w:hAnsi="Arial"/>
          <w:sz w:val="18"/>
          <w:szCs w:val="18"/>
          <w:color w:val="auto"/>
        </w:rPr>
        <w:t>The Company is subject to U.S. federal income tax as well as state income tax in certain jurisdictions. The tax years 2018 to 2020 remain open to examination by the major taxing jurisdictions to which the Company is subject. The following is a reconciliation of income tax expenses at the effective rate to income tax at the calculated statutory rates: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19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June 30, 2022</w:t>
            </w:r>
          </w:p>
        </w:tc>
        <w:tc>
          <w:tcPr>
            <w:tcW w:w="1680" w:type="dxa"/>
            <w:vAlign w:val="bottom"/>
            <w:gridSpan w:val="2"/>
          </w:tcPr>
          <w:p>
            <w:pPr>
              <w:jc w:val="right"/>
              <w:ind w:right="281"/>
              <w:spacing w:after="0"/>
              <w:rPr>
                <w:sz w:val="20"/>
                <w:szCs w:val="20"/>
                <w:color w:val="auto"/>
              </w:rPr>
            </w:pPr>
            <w:r>
              <w:rPr>
                <w:rFonts w:ascii="Arial" w:cs="Arial" w:eastAsia="Arial" w:hAnsi="Arial"/>
                <w:sz w:val="18"/>
                <w:szCs w:val="18"/>
                <w:b w:val="1"/>
                <w:bCs w:val="1"/>
                <w:color w:val="auto"/>
              </w:rPr>
              <w:t>June 30, 2021</w:t>
            </w:r>
          </w:p>
        </w:tc>
      </w:tr>
      <w:tr>
        <w:trPr>
          <w:trHeight w:val="210"/>
        </w:trPr>
        <w:tc>
          <w:tcPr>
            <w:tcW w:w="76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Statutory tax rate</w:t>
            </w:r>
          </w:p>
        </w:tc>
        <w:tc>
          <w:tcPr>
            <w:tcW w:w="158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Federal</w:t>
            </w:r>
          </w:p>
        </w:tc>
        <w:tc>
          <w:tcPr>
            <w:tcW w:w="1900" w:type="dxa"/>
            <w:vAlign w:val="bottom"/>
            <w:gridSpan w:val="2"/>
          </w:tcPr>
          <w:p>
            <w:pPr>
              <w:jc w:val="right"/>
              <w:ind w:right="320"/>
              <w:spacing w:after="0"/>
              <w:rPr>
                <w:sz w:val="20"/>
                <w:szCs w:val="20"/>
                <w:color w:val="auto"/>
              </w:rPr>
            </w:pPr>
            <w:r>
              <w:rPr>
                <w:rFonts w:ascii="Arial" w:cs="Arial" w:eastAsia="Arial" w:hAnsi="Arial"/>
                <w:sz w:val="18"/>
                <w:szCs w:val="18"/>
                <w:color w:val="auto"/>
              </w:rPr>
              <w:t>21.00%</w:t>
            </w:r>
          </w:p>
        </w:tc>
        <w:tc>
          <w:tcPr>
            <w:tcW w:w="1680" w:type="dxa"/>
            <w:vAlign w:val="bottom"/>
            <w:gridSpan w:val="2"/>
          </w:tcPr>
          <w:p>
            <w:pPr>
              <w:jc w:val="right"/>
              <w:ind w:right="21"/>
              <w:spacing w:after="0"/>
              <w:rPr>
                <w:sz w:val="20"/>
                <w:szCs w:val="20"/>
                <w:color w:val="auto"/>
              </w:rPr>
            </w:pPr>
            <w:r>
              <w:rPr>
                <w:rFonts w:ascii="Arial" w:cs="Arial" w:eastAsia="Arial" w:hAnsi="Arial"/>
                <w:sz w:val="18"/>
                <w:szCs w:val="18"/>
                <w:color w:val="auto"/>
              </w:rPr>
              <w:t>21.00%</w:t>
            </w:r>
          </w:p>
        </w:tc>
      </w:tr>
      <w:tr>
        <w:trPr>
          <w:trHeight w:val="216"/>
        </w:trPr>
        <w:tc>
          <w:tcPr>
            <w:tcW w:w="7660" w:type="dxa"/>
            <w:vAlign w:val="bottom"/>
            <w:shd w:val="clear" w:color="auto" w:fill="EEEEEE"/>
          </w:tcPr>
          <w:p>
            <w:pPr>
              <w:spacing w:after="0"/>
              <w:rPr>
                <w:sz w:val="20"/>
                <w:szCs w:val="20"/>
                <w:color w:val="auto"/>
              </w:rPr>
            </w:pPr>
            <w:r>
              <w:rPr>
                <w:rFonts w:ascii="Arial" w:cs="Arial" w:eastAsia="Arial" w:hAnsi="Arial"/>
                <w:sz w:val="18"/>
                <w:szCs w:val="18"/>
                <w:color w:val="auto"/>
              </w:rPr>
              <w:t>State (net of federal benefit)</w:t>
            </w:r>
          </w:p>
        </w:tc>
        <w:tc>
          <w:tcPr>
            <w:tcW w:w="19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6.01%</w:t>
            </w:r>
          </w:p>
        </w:tc>
        <w:tc>
          <w:tcPr>
            <w:tcW w:w="168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8.84%</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Foreign tax rate difference</w:t>
            </w:r>
          </w:p>
        </w:tc>
        <w:tc>
          <w:tcPr>
            <w:tcW w:w="1900" w:type="dxa"/>
            <w:vAlign w:val="bottom"/>
            <w:gridSpan w:val="2"/>
          </w:tcPr>
          <w:p>
            <w:pPr>
              <w:jc w:val="right"/>
              <w:ind w:right="260"/>
              <w:spacing w:after="0"/>
              <w:rPr>
                <w:sz w:val="20"/>
                <w:szCs w:val="20"/>
                <w:color w:val="auto"/>
              </w:rPr>
            </w:pPr>
            <w:r>
              <w:rPr>
                <w:rFonts w:ascii="Arial" w:cs="Arial" w:eastAsia="Arial" w:hAnsi="Arial"/>
                <w:sz w:val="18"/>
                <w:szCs w:val="18"/>
                <w:color w:val="auto"/>
              </w:rPr>
              <w:t>(1.12%)</w:t>
            </w:r>
          </w:p>
        </w:tc>
        <w:tc>
          <w:tcPr>
            <w:tcW w:w="16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660" w:type="dxa"/>
            <w:vAlign w:val="bottom"/>
            <w:shd w:val="clear" w:color="auto" w:fill="EEEEEE"/>
          </w:tcPr>
          <w:p>
            <w:pPr>
              <w:spacing w:after="0"/>
              <w:rPr>
                <w:sz w:val="20"/>
                <w:szCs w:val="20"/>
                <w:color w:val="auto"/>
              </w:rPr>
            </w:pPr>
            <w:r>
              <w:rPr>
                <w:rFonts w:ascii="Arial" w:cs="Arial" w:eastAsia="Arial" w:hAnsi="Arial"/>
                <w:sz w:val="18"/>
                <w:szCs w:val="18"/>
                <w:color w:val="auto"/>
              </w:rPr>
              <w:t>Debt discount and change in fair value of warrants and conversion features</w:t>
            </w:r>
          </w:p>
        </w:tc>
        <w:tc>
          <w:tcPr>
            <w:tcW w:w="19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(8,931.93%)</w:t>
            </w:r>
          </w:p>
        </w:tc>
      </w:tr>
      <w:tr>
        <w:trPr>
          <w:trHeight w:val="229"/>
        </w:trPr>
        <w:tc>
          <w:tcPr>
            <w:tcW w:w="7660" w:type="dxa"/>
            <w:vAlign w:val="bottom"/>
          </w:tcPr>
          <w:p>
            <w:pPr>
              <w:spacing w:after="0"/>
              <w:rPr>
                <w:sz w:val="20"/>
                <w:szCs w:val="20"/>
                <w:color w:val="auto"/>
              </w:rPr>
            </w:pPr>
            <w:r>
              <w:rPr>
                <w:rFonts w:ascii="Arial" w:cs="Arial" w:eastAsia="Arial" w:hAnsi="Arial"/>
                <w:sz w:val="18"/>
                <w:szCs w:val="18"/>
                <w:color w:val="auto"/>
              </w:rPr>
              <w:t>Net effect of state income tax deduction and other permanent differences</w:t>
            </w:r>
          </w:p>
        </w:tc>
        <w:tc>
          <w:tcPr>
            <w:tcW w:w="1900" w:type="dxa"/>
            <w:vAlign w:val="bottom"/>
            <w:gridSpan w:val="2"/>
          </w:tcPr>
          <w:p>
            <w:pPr>
              <w:jc w:val="right"/>
              <w:ind w:right="320"/>
              <w:spacing w:after="0"/>
              <w:rPr>
                <w:sz w:val="20"/>
                <w:szCs w:val="20"/>
                <w:color w:val="auto"/>
              </w:rPr>
            </w:pPr>
            <w:r>
              <w:rPr>
                <w:rFonts w:ascii="Arial" w:cs="Arial" w:eastAsia="Arial" w:hAnsi="Arial"/>
                <w:sz w:val="18"/>
                <w:szCs w:val="18"/>
                <w:color w:val="auto"/>
              </w:rPr>
              <w:t>1.20%</w:t>
            </w:r>
          </w:p>
        </w:tc>
        <w:tc>
          <w:tcPr>
            <w:tcW w:w="1680" w:type="dxa"/>
            <w:vAlign w:val="bottom"/>
            <w:gridSpan w:val="2"/>
          </w:tcPr>
          <w:p>
            <w:pPr>
              <w:jc w:val="right"/>
              <w:ind w:right="21"/>
              <w:spacing w:after="0"/>
              <w:rPr>
                <w:sz w:val="20"/>
                <w:szCs w:val="20"/>
                <w:color w:val="auto"/>
              </w:rPr>
            </w:pPr>
            <w:r>
              <w:rPr>
                <w:rFonts w:ascii="Arial" w:cs="Arial" w:eastAsia="Arial" w:hAnsi="Arial"/>
                <w:sz w:val="18"/>
                <w:szCs w:val="18"/>
                <w:color w:val="auto"/>
              </w:rPr>
              <w:t>370.74%</w:t>
            </w:r>
          </w:p>
        </w:tc>
      </w:tr>
      <w:tr>
        <w:trPr>
          <w:trHeight w:val="223"/>
        </w:trPr>
        <w:tc>
          <w:tcPr>
            <w:tcW w:w="76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Effective tax rate</w:t>
            </w: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27.09%</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(8,531.35%</w:t>
            </w:r>
          </w:p>
        </w:tc>
        <w:tc>
          <w:tcPr>
            <w:tcW w:w="1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6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As of June 30, 2022, prepaid income taxes to US tax authorities and income tax payable to Chinese tax authorities was $375,087 and $299,563, respectively. As of June 30, 2021, income tax payable to tax authorities $790,823.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of temporary differences which give rise to significant portions of the deferred taxes are summarized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color w:val="auto"/>
              </w:rPr>
              <w:t>June 30,</w:t>
            </w:r>
          </w:p>
        </w:tc>
        <w:tc>
          <w:tcPr>
            <w:tcW w:w="12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080" w:type="dxa"/>
            <w:vAlign w:val="bottom"/>
            <w:tcBorders>
              <w:bottom w:val="single" w:sz="8" w:color="EEEEEE"/>
            </w:tcBorders>
          </w:tcPr>
          <w:p>
            <w:pPr>
              <w:spacing w:after="0"/>
              <w:rPr>
                <w:sz w:val="19"/>
                <w:szCs w:val="19"/>
                <w:color w:val="auto"/>
              </w:rPr>
            </w:pPr>
          </w:p>
        </w:tc>
        <w:tc>
          <w:tcPr>
            <w:tcW w:w="258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320" w:type="dxa"/>
            <w:vAlign w:val="bottom"/>
            <w:tcBorders>
              <w:bottom w:val="single" w:sz="8" w:color="EEEEEE"/>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2021</w:t>
            </w:r>
          </w:p>
        </w:tc>
        <w:tc>
          <w:tcPr>
            <w:tcW w:w="2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r>
      <w:tr>
        <w:trPr>
          <w:trHeight w:val="210"/>
        </w:trPr>
        <w:tc>
          <w:tcPr>
            <w:tcW w:w="50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Deferred tax assets</w:t>
            </w:r>
          </w:p>
        </w:tc>
        <w:tc>
          <w:tcPr>
            <w:tcW w:w="2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263A calculation</w:t>
            </w:r>
          </w:p>
        </w:tc>
        <w:tc>
          <w:tcPr>
            <w:tcW w:w="2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123,884</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gridSpan w:val="3"/>
          </w:tcPr>
          <w:p>
            <w:pPr>
              <w:ind w:left="110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Inventory reserve</w:t>
            </w:r>
          </w:p>
        </w:tc>
        <w:tc>
          <w:tcPr>
            <w:tcW w:w="2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71,026</w:t>
            </w:r>
          </w:p>
        </w:tc>
        <w:tc>
          <w:tcPr>
            <w:tcW w:w="380" w:type="dxa"/>
            <w:vAlign w:val="bottom"/>
            <w:shd w:val="clear" w:color="auto" w:fill="EEEEEE"/>
          </w:tcPr>
          <w:p>
            <w:pPr>
              <w:spacing w:after="0"/>
              <w:rPr>
                <w:sz w:val="18"/>
                <w:szCs w:val="18"/>
                <w:color w:val="auto"/>
              </w:rPr>
            </w:pPr>
          </w:p>
        </w:tc>
        <w:tc>
          <w:tcPr>
            <w:tcW w:w="1300" w:type="dxa"/>
            <w:vAlign w:val="bottom"/>
            <w:gridSpan w:val="3"/>
            <w:shd w:val="clear" w:color="auto" w:fill="EEEEEE"/>
          </w:tcPr>
          <w:p>
            <w:pPr>
              <w:ind w:left="110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State taxes</w:t>
            </w:r>
          </w:p>
        </w:tc>
        <w:tc>
          <w:tcPr>
            <w:tcW w:w="2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45,234</w:t>
            </w:r>
          </w:p>
        </w:tc>
        <w:tc>
          <w:tcPr>
            <w:tcW w:w="380" w:type="dxa"/>
            <w:vAlign w:val="bottom"/>
          </w:tcPr>
          <w:p>
            <w:pPr>
              <w:spacing w:after="0"/>
              <w:rPr>
                <w:sz w:val="18"/>
                <w:szCs w:val="18"/>
                <w:color w:val="auto"/>
              </w:rPr>
            </w:pPr>
          </w:p>
        </w:tc>
        <w:tc>
          <w:tcPr>
            <w:tcW w:w="1300" w:type="dxa"/>
            <w:vAlign w:val="bottom"/>
            <w:gridSpan w:val="3"/>
          </w:tcPr>
          <w:p>
            <w:pPr>
              <w:ind w:left="110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Accrued expenses</w:t>
            </w:r>
          </w:p>
        </w:tc>
        <w:tc>
          <w:tcPr>
            <w:tcW w:w="2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69,172</w:t>
            </w:r>
          </w:p>
        </w:tc>
        <w:tc>
          <w:tcPr>
            <w:tcW w:w="380" w:type="dxa"/>
            <w:vAlign w:val="bottom"/>
            <w:shd w:val="clear" w:color="auto" w:fill="EEEEEE"/>
          </w:tcPr>
          <w:p>
            <w:pPr>
              <w:spacing w:after="0"/>
              <w:rPr>
                <w:sz w:val="18"/>
                <w:szCs w:val="18"/>
                <w:color w:val="auto"/>
              </w:rPr>
            </w:pPr>
          </w:p>
        </w:tc>
        <w:tc>
          <w:tcPr>
            <w:tcW w:w="1300" w:type="dxa"/>
            <w:vAlign w:val="bottom"/>
            <w:gridSpan w:val="3"/>
            <w:shd w:val="clear" w:color="auto" w:fill="EEEEEE"/>
          </w:tcPr>
          <w:p>
            <w:pPr>
              <w:ind w:left="110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ROU assets / liabilities</w:t>
            </w:r>
          </w:p>
        </w:tc>
        <w:tc>
          <w:tcPr>
            <w:tcW w:w="2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83,738</w:t>
            </w:r>
          </w:p>
        </w:tc>
        <w:tc>
          <w:tcPr>
            <w:tcW w:w="380" w:type="dxa"/>
            <w:vAlign w:val="bottom"/>
          </w:tcPr>
          <w:p>
            <w:pPr>
              <w:spacing w:after="0"/>
              <w:rPr>
                <w:sz w:val="18"/>
                <w:szCs w:val="18"/>
                <w:color w:val="auto"/>
              </w:rPr>
            </w:pPr>
          </w:p>
        </w:tc>
        <w:tc>
          <w:tcPr>
            <w:tcW w:w="1300" w:type="dxa"/>
            <w:vAlign w:val="bottom"/>
            <w:gridSpan w:val="3"/>
          </w:tcPr>
          <w:p>
            <w:pPr>
              <w:ind w:left="110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Stock-based compensation</w:t>
            </w:r>
          </w:p>
        </w:tc>
        <w:tc>
          <w:tcPr>
            <w:tcW w:w="2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70,266</w:t>
            </w:r>
          </w:p>
        </w:tc>
        <w:tc>
          <w:tcPr>
            <w:tcW w:w="380" w:type="dxa"/>
            <w:vAlign w:val="bottom"/>
            <w:shd w:val="clear" w:color="auto" w:fill="EEEEEE"/>
          </w:tcPr>
          <w:p>
            <w:pPr>
              <w:spacing w:after="0"/>
              <w:rPr>
                <w:sz w:val="18"/>
                <w:szCs w:val="18"/>
                <w:color w:val="auto"/>
              </w:rPr>
            </w:pPr>
          </w:p>
        </w:tc>
        <w:tc>
          <w:tcPr>
            <w:tcW w:w="1300" w:type="dxa"/>
            <w:vAlign w:val="bottom"/>
            <w:gridSpan w:val="3"/>
            <w:shd w:val="clear" w:color="auto" w:fill="EEEEEE"/>
          </w:tcPr>
          <w:p>
            <w:pPr>
              <w:ind w:left="1100"/>
              <w:spacing w:after="0"/>
              <w:rPr>
                <w:sz w:val="20"/>
                <w:szCs w:val="20"/>
                <w:color w:val="auto"/>
              </w:rPr>
            </w:pPr>
            <w:r>
              <w:rPr>
                <w:rFonts w:ascii="Arial" w:cs="Arial" w:eastAsia="Arial" w:hAnsi="Arial"/>
                <w:sz w:val="18"/>
                <w:szCs w:val="18"/>
                <w:color w:val="auto"/>
              </w:rPr>
              <w:t>–</w:t>
            </w:r>
          </w:p>
        </w:tc>
      </w:tr>
      <w:tr>
        <w:trPr>
          <w:trHeight w:val="230"/>
        </w:trPr>
        <w:tc>
          <w:tcPr>
            <w:tcW w:w="5080" w:type="dxa"/>
            <w:vAlign w:val="bottom"/>
          </w:tcPr>
          <w:p>
            <w:pPr>
              <w:ind w:left="180"/>
              <w:spacing w:after="0"/>
              <w:rPr>
                <w:sz w:val="20"/>
                <w:szCs w:val="20"/>
                <w:color w:val="auto"/>
              </w:rPr>
            </w:pPr>
            <w:r>
              <w:rPr>
                <w:rFonts w:ascii="Arial" w:cs="Arial" w:eastAsia="Arial" w:hAnsi="Arial"/>
                <w:sz w:val="18"/>
                <w:szCs w:val="18"/>
                <w:color w:val="auto"/>
              </w:rPr>
              <w:t>Others</w:t>
            </w:r>
          </w:p>
        </w:tc>
        <w:tc>
          <w:tcPr>
            <w:tcW w:w="2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7,539</w:t>
            </w:r>
          </w:p>
        </w:tc>
        <w:tc>
          <w:tcPr>
            <w:tcW w:w="380" w:type="dxa"/>
            <w:vAlign w:val="bottom"/>
          </w:tcPr>
          <w:p>
            <w:pPr>
              <w:spacing w:after="0"/>
              <w:rPr>
                <w:sz w:val="19"/>
                <w:szCs w:val="19"/>
                <w:color w:val="auto"/>
              </w:rPr>
            </w:pPr>
          </w:p>
        </w:tc>
        <w:tc>
          <w:tcPr>
            <w:tcW w:w="1300" w:type="dxa"/>
            <w:vAlign w:val="bottom"/>
            <w:gridSpan w:val="3"/>
          </w:tcPr>
          <w:p>
            <w:pPr>
              <w:ind w:left="1100"/>
              <w:spacing w:after="0"/>
              <w:rPr>
                <w:sz w:val="20"/>
                <w:szCs w:val="20"/>
                <w:color w:val="auto"/>
              </w:rPr>
            </w:pPr>
            <w:r>
              <w:rPr>
                <w:rFonts w:ascii="Arial" w:cs="Arial" w:eastAsia="Arial" w:hAnsi="Arial"/>
                <w:sz w:val="18"/>
                <w:szCs w:val="18"/>
                <w:color w:val="auto"/>
              </w:rPr>
              <w:t>–</w:t>
            </w:r>
          </w:p>
        </w:tc>
      </w:tr>
      <w:tr>
        <w:trPr>
          <w:trHeight w:val="210"/>
        </w:trPr>
        <w:tc>
          <w:tcPr>
            <w:tcW w:w="5080" w:type="dxa"/>
            <w:vAlign w:val="bottom"/>
            <w:tcBorders>
              <w:top w:val="single" w:sz="8" w:color="EEEEEE"/>
            </w:tcBorders>
            <w:shd w:val="clear" w:color="auto" w:fill="EEEEEE"/>
          </w:tcPr>
          <w:p>
            <w:pPr>
              <w:ind w:left="360"/>
              <w:spacing w:after="0"/>
              <w:rPr>
                <w:sz w:val="20"/>
                <w:szCs w:val="20"/>
                <w:color w:val="auto"/>
              </w:rPr>
            </w:pPr>
            <w:r>
              <w:rPr>
                <w:rFonts w:ascii="Arial" w:cs="Arial" w:eastAsia="Arial" w:hAnsi="Arial"/>
                <w:sz w:val="18"/>
                <w:szCs w:val="18"/>
                <w:b w:val="1"/>
                <w:bCs w:val="1"/>
                <w:color w:val="auto"/>
              </w:rPr>
              <w:t>Total deferred tax assets</w:t>
            </w:r>
          </w:p>
        </w:tc>
        <w:tc>
          <w:tcPr>
            <w:tcW w:w="258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470,859</w:t>
            </w:r>
          </w:p>
        </w:tc>
        <w:tc>
          <w:tcPr>
            <w:tcW w:w="32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auto"/>
              <w:bottom w:val="single" w:sz="8" w:color="auto"/>
            </w:tcBorders>
            <w:shd w:val="clear" w:color="auto" w:fill="EEEEEE"/>
          </w:tcPr>
          <w:p>
            <w:pPr>
              <w:spacing w:after="0"/>
              <w:rPr>
                <w:sz w:val="18"/>
                <w:szCs w:val="18"/>
                <w:color w:val="auto"/>
              </w:rPr>
            </w:pPr>
          </w:p>
        </w:tc>
        <w:tc>
          <w:tcPr>
            <w:tcW w:w="1200" w:type="dxa"/>
            <w:vAlign w:val="bottom"/>
            <w:tcBorders>
              <w:top w:val="single" w:sz="8" w:color="auto"/>
              <w:bottom w:val="single" w:sz="8" w:color="auto"/>
            </w:tcBorders>
            <w:shd w:val="clear" w:color="auto" w:fill="EEEEEE"/>
          </w:tcPr>
          <w:p>
            <w:pPr>
              <w:ind w:left="110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EEEEEE"/>
            </w:tcBorders>
            <w:gridSpan w:val="2"/>
            <w:shd w:val="clear" w:color="auto" w:fill="EEEEEE"/>
          </w:tcPr>
          <w:p>
            <w:pPr>
              <w:spacing w:after="0"/>
              <w:rPr>
                <w:sz w:val="18"/>
                <w:szCs w:val="18"/>
                <w:color w:val="auto"/>
              </w:rPr>
            </w:pPr>
          </w:p>
        </w:tc>
      </w:tr>
      <w:tr>
        <w:trPr>
          <w:trHeight w:val="210"/>
        </w:trPr>
        <w:tc>
          <w:tcPr>
            <w:tcW w:w="50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Deferred tax liabilities</w:t>
            </w:r>
          </w:p>
        </w:tc>
        <w:tc>
          <w:tcPr>
            <w:tcW w:w="2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Arial" w:cs="Arial" w:eastAsia="Arial" w:hAnsi="Arial"/>
                <w:sz w:val="18"/>
                <w:szCs w:val="18"/>
                <w:color w:val="auto"/>
              </w:rPr>
              <w:t>(86,254)</w:t>
            </w:r>
          </w:p>
        </w:tc>
        <w:tc>
          <w:tcPr>
            <w:tcW w:w="380" w:type="dxa"/>
            <w:vAlign w:val="bottom"/>
          </w:tcPr>
          <w:p>
            <w:pPr>
              <w:spacing w:after="0"/>
              <w:rPr>
                <w:sz w:val="18"/>
                <w:szCs w:val="18"/>
                <w:color w:val="auto"/>
              </w:rPr>
            </w:pPr>
          </w:p>
        </w:tc>
        <w:tc>
          <w:tcPr>
            <w:tcW w:w="1300" w:type="dxa"/>
            <w:vAlign w:val="bottom"/>
            <w:gridSpan w:val="3"/>
          </w:tcPr>
          <w:p>
            <w:pPr>
              <w:ind w:left="1100"/>
              <w:spacing w:after="0"/>
              <w:rPr>
                <w:sz w:val="20"/>
                <w:szCs w:val="20"/>
                <w:color w:val="auto"/>
              </w:rPr>
            </w:pPr>
            <w:r>
              <w:rPr>
                <w:rFonts w:ascii="Arial" w:cs="Arial" w:eastAsia="Arial" w:hAnsi="Arial"/>
                <w:sz w:val="18"/>
                <w:szCs w:val="18"/>
                <w:color w:val="auto"/>
              </w:rPr>
              <w:t>–</w:t>
            </w:r>
          </w:p>
        </w:tc>
      </w:tr>
      <w:tr>
        <w:trPr>
          <w:trHeight w:val="230"/>
        </w:trPr>
        <w:tc>
          <w:tcPr>
            <w:tcW w:w="50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Intangible assets acquired</w:t>
            </w:r>
          </w:p>
        </w:tc>
        <w:tc>
          <w:tcPr>
            <w:tcW w:w="258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181"/>
              <w:spacing w:after="0"/>
              <w:rPr>
                <w:sz w:val="20"/>
                <w:szCs w:val="20"/>
                <w:color w:val="auto"/>
              </w:rPr>
            </w:pPr>
            <w:r>
              <w:rPr>
                <w:rFonts w:ascii="Arial" w:cs="Arial" w:eastAsia="Arial" w:hAnsi="Arial"/>
                <w:sz w:val="18"/>
                <w:szCs w:val="18"/>
                <w:color w:val="auto"/>
              </w:rPr>
              <w:t>(1,323,720)</w:t>
            </w:r>
          </w:p>
        </w:tc>
        <w:tc>
          <w:tcPr>
            <w:tcW w:w="380" w:type="dxa"/>
            <w:vAlign w:val="bottom"/>
            <w:shd w:val="clear" w:color="auto" w:fill="EEEEEE"/>
          </w:tcPr>
          <w:p>
            <w:pPr>
              <w:spacing w:after="0"/>
              <w:rPr>
                <w:sz w:val="19"/>
                <w:szCs w:val="19"/>
                <w:color w:val="auto"/>
              </w:rPr>
            </w:pPr>
          </w:p>
        </w:tc>
        <w:tc>
          <w:tcPr>
            <w:tcW w:w="1300" w:type="dxa"/>
            <w:vAlign w:val="bottom"/>
            <w:gridSpan w:val="3"/>
            <w:shd w:val="clear" w:color="auto" w:fill="EEEEEE"/>
          </w:tcPr>
          <w:p>
            <w:pPr>
              <w:ind w:left="1100"/>
              <w:spacing w:after="0"/>
              <w:rPr>
                <w:sz w:val="20"/>
                <w:szCs w:val="20"/>
                <w:color w:val="auto"/>
              </w:rPr>
            </w:pPr>
            <w:r>
              <w:rPr>
                <w:rFonts w:ascii="Arial" w:cs="Arial" w:eastAsia="Arial" w:hAnsi="Arial"/>
                <w:sz w:val="18"/>
                <w:szCs w:val="18"/>
                <w:color w:val="auto"/>
              </w:rPr>
              <w:t>–</w:t>
            </w:r>
          </w:p>
        </w:tc>
      </w:tr>
      <w:tr>
        <w:trPr>
          <w:trHeight w:val="210"/>
        </w:trPr>
        <w:tc>
          <w:tcPr>
            <w:tcW w:w="5080" w:type="dxa"/>
            <w:vAlign w:val="bottom"/>
            <w:tcBorders>
              <w:bottom w:val="single" w:sz="8" w:color="EEEEEE"/>
            </w:tcBorders>
          </w:tcPr>
          <w:p>
            <w:pPr>
              <w:ind w:left="360"/>
              <w:spacing w:after="0"/>
              <w:rPr>
                <w:sz w:val="20"/>
                <w:szCs w:val="20"/>
                <w:color w:val="auto"/>
              </w:rPr>
            </w:pPr>
            <w:r>
              <w:rPr>
                <w:rFonts w:ascii="Arial" w:cs="Arial" w:eastAsia="Arial" w:hAnsi="Arial"/>
                <w:sz w:val="18"/>
                <w:szCs w:val="18"/>
                <w:b w:val="1"/>
                <w:bCs w:val="1"/>
                <w:color w:val="auto"/>
              </w:rPr>
              <w:t>Total deferred tax liabilities</w:t>
            </w:r>
          </w:p>
        </w:tc>
        <w:tc>
          <w:tcPr>
            <w:tcW w:w="258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(1,409,974</w:t>
            </w:r>
          </w:p>
        </w:tc>
        <w:tc>
          <w:tcPr>
            <w:tcW w:w="320" w:type="dxa"/>
            <w:vAlign w:val="bottom"/>
            <w:tcBorders>
              <w:bottom w:val="single" w:sz="8" w:color="EEEEEE"/>
            </w:tcBorders>
          </w:tcPr>
          <w:p>
            <w:pPr>
              <w:jc w:val="right"/>
              <w:ind w:right="18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EEEEEE"/>
            </w:tcBorders>
            <w:gridSpan w:val="2"/>
          </w:tcPr>
          <w:p>
            <w:pPr>
              <w:spacing w:after="0"/>
              <w:rPr>
                <w:sz w:val="18"/>
                <w:szCs w:val="18"/>
                <w:color w:val="auto"/>
              </w:rPr>
            </w:pPr>
          </w:p>
        </w:tc>
      </w:tr>
      <w:tr>
        <w:trPr>
          <w:trHeight w:val="209"/>
        </w:trPr>
        <w:tc>
          <w:tcPr>
            <w:tcW w:w="5080" w:type="dxa"/>
            <w:vAlign w:val="bottom"/>
            <w:shd w:val="clear" w:color="auto" w:fill="EEEEEE"/>
          </w:tcPr>
          <w:p>
            <w:pPr>
              <w:spacing w:after="0"/>
              <w:rPr>
                <w:sz w:val="18"/>
                <w:szCs w:val="18"/>
                <w:color w:val="auto"/>
              </w:rPr>
            </w:pPr>
          </w:p>
        </w:tc>
        <w:tc>
          <w:tcPr>
            <w:tcW w:w="2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b w:val="1"/>
                <w:bCs w:val="1"/>
                <w:color w:val="auto"/>
              </w:rPr>
              <w:t>Net deferred tax liabilities</w:t>
            </w:r>
          </w:p>
        </w:tc>
        <w:tc>
          <w:tcPr>
            <w:tcW w:w="2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1"/>
              <w:spacing w:after="0"/>
              <w:rPr>
                <w:sz w:val="20"/>
                <w:szCs w:val="20"/>
                <w:color w:val="auto"/>
              </w:rPr>
            </w:pPr>
            <w:r>
              <w:rPr>
                <w:rFonts w:ascii="Arial" w:cs="Arial" w:eastAsia="Arial" w:hAnsi="Arial"/>
                <w:sz w:val="18"/>
                <w:szCs w:val="18"/>
                <w:color w:val="auto"/>
              </w:rPr>
              <w:t>(939,115)</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gridSpan w:val="3"/>
          </w:tcPr>
          <w:p>
            <w:pPr>
              <w:ind w:left="1100"/>
              <w:spacing w:after="0"/>
              <w:rPr>
                <w:sz w:val="20"/>
                <w:szCs w:val="20"/>
                <w:color w:val="auto"/>
              </w:rPr>
            </w:pPr>
            <w:r>
              <w:rPr>
                <w:rFonts w:ascii="Arial" w:cs="Arial" w:eastAsia="Arial" w:hAnsi="Arial"/>
                <w:sz w:val="18"/>
                <w:szCs w:val="18"/>
                <w:color w:val="auto"/>
              </w:rPr>
              <w:t>–</w:t>
            </w:r>
          </w:p>
        </w:tc>
      </w:tr>
      <w:tr>
        <w:trPr>
          <w:trHeight w:val="20"/>
        </w:trPr>
        <w:tc>
          <w:tcPr>
            <w:tcW w:w="50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r>
              <w:rPr>
                <w:rFonts w:ascii="Arial" w:cs="Arial" w:eastAsia="Arial" w:hAnsi="Arial"/>
                <w:sz w:val="18"/>
                <w:szCs w:val="18"/>
                <w:b w:val="1"/>
                <w:bCs w:val="1"/>
                <w:color w:val="auto"/>
              </w:rPr>
              <w:t>Note 15 – Earnings per share</w:t>
            </w: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80" w:type="dxa"/>
            <w:vAlign w:val="bottom"/>
            <w:gridSpan w:val="3"/>
          </w:tcPr>
          <w:p>
            <w:pPr>
              <w:spacing w:after="0"/>
              <w:rPr>
                <w:sz w:val="20"/>
                <w:szCs w:val="20"/>
                <w:color w:val="auto"/>
              </w:rPr>
            </w:pPr>
            <w:r>
              <w:rPr>
                <w:rFonts w:ascii="Arial" w:cs="Arial" w:eastAsia="Arial" w:hAnsi="Arial"/>
                <w:sz w:val="18"/>
                <w:szCs w:val="18"/>
                <w:color w:val="auto"/>
                <w:w w:val="92"/>
              </w:rPr>
              <w:t>The following table sets forth the computation of basic and diluted earnings per share for the years presented:</w:t>
            </w: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60" w:type="dxa"/>
            <w:vAlign w:val="bottom"/>
            <w:gridSpan w:val="3"/>
          </w:tcPr>
          <w:p>
            <w:pPr>
              <w:jc w:val="right"/>
              <w:spacing w:after="0"/>
              <w:rPr>
                <w:sz w:val="20"/>
                <w:szCs w:val="20"/>
                <w:color w:val="auto"/>
              </w:rPr>
            </w:pPr>
            <w:r>
              <w:rPr>
                <w:rFonts w:ascii="Arial" w:cs="Arial" w:eastAsia="Arial" w:hAnsi="Arial"/>
                <w:sz w:val="18"/>
                <w:szCs w:val="18"/>
                <w:b w:val="1"/>
                <w:bCs w:val="1"/>
                <w:color w:val="auto"/>
              </w:rPr>
              <w:t>For the year ended</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80" w:type="dxa"/>
            <w:vAlign w:val="bottom"/>
            <w:vMerge w:val="restart"/>
          </w:tcPr>
          <w:p>
            <w:pPr>
              <w:spacing w:after="0"/>
              <w:rPr>
                <w:sz w:val="20"/>
                <w:szCs w:val="20"/>
                <w:color w:val="auto"/>
              </w:rPr>
            </w:pPr>
            <w:r>
              <w:rPr>
                <w:rFonts w:ascii="Arial" w:cs="Arial" w:eastAsia="Arial" w:hAnsi="Arial"/>
                <w:sz w:val="18"/>
                <w:szCs w:val="18"/>
                <w:b w:val="1"/>
                <w:bCs w:val="1"/>
                <w:color w:val="auto"/>
              </w:rPr>
              <w:t>Numerator:</w:t>
            </w:r>
          </w:p>
        </w:tc>
        <w:tc>
          <w:tcPr>
            <w:tcW w:w="8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3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78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780" w:type="dxa"/>
            <w:vAlign w:val="bottom"/>
            <w:shd w:val="clear" w:color="auto" w:fill="EEEEEE"/>
          </w:tcPr>
          <w:p>
            <w:pPr>
              <w:spacing w:after="0"/>
              <w:rPr>
                <w:sz w:val="20"/>
                <w:szCs w:val="20"/>
                <w:color w:val="auto"/>
              </w:rPr>
            </w:pPr>
            <w:r>
              <w:rPr>
                <w:rFonts w:ascii="Arial" w:cs="Arial" w:eastAsia="Arial" w:hAnsi="Arial"/>
                <w:sz w:val="18"/>
                <w:szCs w:val="18"/>
                <w:color w:val="auto"/>
              </w:rPr>
              <w:t>Net income (loss) attributable to iPower Inc.</w:t>
            </w:r>
          </w:p>
        </w:tc>
        <w:tc>
          <w:tcPr>
            <w:tcW w:w="1300" w:type="dxa"/>
            <w:vAlign w:val="bottom"/>
            <w:gridSpan w:val="2"/>
            <w:shd w:val="clear" w:color="auto" w:fill="EEEEEE"/>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1,517,875</w:t>
            </w:r>
          </w:p>
        </w:tc>
        <w:tc>
          <w:tcPr>
            <w:tcW w:w="580" w:type="dxa"/>
            <w:vAlign w:val="bottom"/>
            <w:shd w:val="clear" w:color="auto" w:fill="EEEEEE"/>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(775,749)</w:t>
            </w:r>
          </w:p>
        </w:tc>
        <w:tc>
          <w:tcPr>
            <w:tcW w:w="0" w:type="dxa"/>
            <w:vAlign w:val="bottom"/>
          </w:tcPr>
          <w:p>
            <w:pPr>
              <w:spacing w:after="0"/>
              <w:rPr>
                <w:sz w:val="1"/>
                <w:szCs w:val="1"/>
                <w:color w:val="auto"/>
              </w:rPr>
            </w:pPr>
          </w:p>
        </w:tc>
      </w:tr>
      <w:tr>
        <w:trPr>
          <w:trHeight w:val="20"/>
        </w:trPr>
        <w:tc>
          <w:tcPr>
            <w:tcW w:w="678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8"/>
                <w:szCs w:val="18"/>
                <w:b w:val="1"/>
                <w:bCs w:val="1"/>
                <w:color w:val="auto"/>
              </w:rPr>
              <w:t>Denominator:</w:t>
            </w:r>
          </w:p>
        </w:tc>
        <w:tc>
          <w:tcPr>
            <w:tcW w:w="88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8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780" w:type="dxa"/>
            <w:vAlign w:val="bottom"/>
            <w:shd w:val="clear" w:color="auto" w:fill="EEEEEE"/>
          </w:tcPr>
          <w:p>
            <w:pPr>
              <w:spacing w:after="0"/>
              <w:rPr>
                <w:sz w:val="20"/>
                <w:szCs w:val="20"/>
                <w:color w:val="auto"/>
              </w:rPr>
            </w:pPr>
            <w:r>
              <w:rPr>
                <w:rFonts w:ascii="Arial" w:cs="Arial" w:eastAsia="Arial" w:hAnsi="Arial"/>
                <w:sz w:val="18"/>
                <w:szCs w:val="18"/>
                <w:color w:val="auto"/>
              </w:rPr>
              <w:t>Weighted-average shares used in computing basic and diluted earnings per share*</w:t>
            </w:r>
          </w:p>
        </w:tc>
        <w:tc>
          <w:tcPr>
            <w:tcW w:w="1300" w:type="dxa"/>
            <w:vAlign w:val="bottom"/>
            <w:gridSpan w:val="2"/>
            <w:shd w:val="clear" w:color="auto" w:fill="EEEEEE"/>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27,781,493</w:t>
            </w:r>
          </w:p>
        </w:tc>
        <w:tc>
          <w:tcPr>
            <w:tcW w:w="580" w:type="dxa"/>
            <w:vAlign w:val="bottom"/>
            <w:shd w:val="clear" w:color="auto" w:fill="EEEEEE"/>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21,116,750</w:t>
            </w:r>
          </w:p>
        </w:tc>
        <w:tc>
          <w:tcPr>
            <w:tcW w:w="80" w:type="dxa"/>
            <w:vAlign w:val="bottom"/>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8"/>
                <w:szCs w:val="18"/>
                <w:color w:val="auto"/>
              </w:rPr>
              <w:t>Earnings per share of ordinary shares: -basic and diluted</w:t>
            </w:r>
          </w:p>
        </w:tc>
        <w:tc>
          <w:tcPr>
            <w:tcW w:w="880" w:type="dxa"/>
            <w:vAlign w:val="bottom"/>
            <w:tcBorders>
              <w:top w:val="single" w:sz="8" w:color="EEEEEE"/>
              <w:bottom w:val="single" w:sz="8" w:color="EEEEEE"/>
            </w:tcBorders>
            <w:vMerge w:val="restart"/>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bottom w:val="single" w:sz="8" w:color="EEEEEE"/>
            </w:tcBorders>
            <w:vMerge w:val="restart"/>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bottom w:val="single" w:sz="8" w:color="EEEEEE"/>
            </w:tcBorders>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197"/>
        </w:trPr>
        <w:tc>
          <w:tcPr>
            <w:tcW w:w="678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420" w:type="dxa"/>
            <w:vAlign w:val="bottom"/>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0.05</w:t>
            </w:r>
          </w:p>
        </w:tc>
        <w:tc>
          <w:tcPr>
            <w:tcW w:w="320" w:type="dxa"/>
            <w:vAlign w:val="bottom"/>
            <w:vMerge w:val="continue"/>
          </w:tcPr>
          <w:p>
            <w:pPr>
              <w:spacing w:after="0"/>
              <w:rPr>
                <w:sz w:val="17"/>
                <w:szCs w:val="17"/>
                <w:color w:val="auto"/>
              </w:rPr>
            </w:pPr>
          </w:p>
        </w:tc>
        <w:tc>
          <w:tcPr>
            <w:tcW w:w="580" w:type="dxa"/>
            <w:vAlign w:val="bottom"/>
          </w:tcPr>
          <w:p>
            <w:pPr>
              <w:jc w:val="right"/>
              <w:ind w:right="3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(0.04</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November 16, 2020, the Company implemented a 2-for-1 forward split of the issued and outstanding shares of Class A Common Stock of the Company. The computation of basic and diluted EPS was retroactively adjusted for all periods presented.</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20, 2020, the Company issued to its founders 14,000,000 shares of Class B Common Stock, which shall be eligible to convert into Class A Common Stock, on a one-for-ten basis, at any time following twelve (12) months after the Company’s completion of its initial public offering of its Class A Common Stock. The computation of basic and diluted EPS did not include the Class B Common Stock as the holders of Class B Common Stock have no dividend or liquidation right until such time as their shares of Class B Common Stock have been converted into Class A Common Stock. See Note 16 for the status of Class B Common Stock.</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*Due to the ani-dilutive effect, the computation of basic and diluted EPS did not include the shares underlying the exercise of warrants and RSUs as the Company had a net loss for the year ended June 30, 2021. For the year ended June 30, 2022, the computation of basic and diluted EPS included the vested RSUs.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computation of diluted EPS did not include the shares underlying the exercise of warrants, which would have been calculated using treasury method for the year ended June 30, 2022, as the exercise price was greater than the market price of the shares.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computation of diluted EPS did not include the shares underlying the exercise of options granted as none of the market and performance conditions had been met so no shares were considered issuable.</w:t>
      </w:r>
    </w:p>
    <w:p>
      <w:pPr>
        <w:spacing w:after="0" w:line="170" w:lineRule="exact"/>
        <w:rPr>
          <w:sz w:val="20"/>
          <w:szCs w:val="20"/>
          <w:color w:val="auto"/>
        </w:rPr>
      </w:pPr>
    </w:p>
    <w:p>
      <w:pPr>
        <w:jc w:val="both"/>
        <w:ind w:firstLine="8"/>
        <w:spacing w:after="0" w:line="263" w:lineRule="auto"/>
        <w:tabs>
          <w:tab w:leader="none" w:pos="162"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the years ended June 30, 2022 and 2021, 133,066 and 22,137 vested shares of restricted stock units under the 2020 Equity Incentive Plan (as discussed in Note 16) are considered issued shares and therefore are included in the computation of basic earnings (loss) per share as of grant date when the shares are fully vested.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was incorporated in Nevada on April 11, 2018. As of June 30, 2021, the total authorized shares of capital stock were 200,000,000 shares consisting of 180,000,000 shares of Common Stock (“Common Stock”) and 20,000,000 shares of preferred stock (the “Preferred Stock”), each with a par value of $0.001 per share.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16, 2020, the Company filed an amended and restated articles of incorporation in Nevada to consummate a 2-for-1 forward split of our outstanding shares of Class A Common Stock. All share numbers of Class A Common Stock are stated at a post-split basis.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9" w:name="page80"/>
    <w:bookmarkEnd w:id="79"/>
    <w:p>
      <w:pPr>
        <w:jc w:val="both"/>
        <w:spacing w:after="0" w:line="277" w:lineRule="auto"/>
        <w:rPr>
          <w:sz w:val="20"/>
          <w:szCs w:val="20"/>
          <w:color w:val="auto"/>
        </w:rPr>
      </w:pPr>
      <w:r>
        <w:rPr>
          <w:rFonts w:ascii="Arial" w:cs="Arial" w:eastAsia="Arial" w:hAnsi="Arial"/>
          <w:sz w:val="18"/>
          <w:szCs w:val="18"/>
          <w:color w:val="auto"/>
        </w:rPr>
        <w:t>The holders of Class A Common Stock shall be entitled to one vote per share in voting or consenting to the election of directors and for all other corporate purposes. The Company issued 20,000,000 shares to its founders at inception.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15, 2020, pursuant to a rescission and mutual release agreement with an unrelated company, the Company issued 204,496 shares of its Class A Common Stock as settlement for a payment of $427,010 received by the Company.</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October 20, 2020, the Company entered into stock purchase agreements with Chenlong Tan and Allan Huang (the “Founders”) pursuant to which each of the Founders received 7,000,000 shares of the Company’s Class B Common Stock, for a purchase price of $0.001 per share in cash. Based on the fact that other than the total consideration of $14,000 (total par value of the Class B Common Stock issued), the Founders did not provide additional services or other means of considerations for the issuance of these shares of Class B Common Stock, the issuance of the Class B Common Stock to the Founders was considered as a nominal issuance, in substance a recapitalization transaction. As such, in accordance with FASB ASC 260-10-55-12 and SAB Topic 4D, the Company recorded and presented the issuance retroactively as outstanding for all reporting periods.</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Class B Common Stock was entitled to ten (10) votes per share in voting or consenting to the election of directors and for all other corporate purposes. In accordance with the Company’s amended and restated articles of incorporation, the Class B Common Stock was eligible to convert into shares of Class A Common Stock, on a ten-for-one basis, at any time following twelve (12) months after the Company’s completion of the initial public offering of its Class A Common Stock. Holders of Class B Common Stock had no dividend or liquidation rights until such time as their shares of Class B Common Stock were converted into shares of Class A Common Stock. As of June 30, 2020, the outstanding shares of Class B Common Stock were retroactively stated as 14,000,000 and 14,000,000, respectively.</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Effective April 14, 2021, the Company amended its articles of incorporation to allow conversion of its Class B Common Stock at any time after issuance. On that same date, the Class B Common stockholders, Chenlong Tan and Allan Huang, elected to convert all of their 14,000,000 outstanding shares of the Company’s Class B Common Stock into 1,400,000 shares of Class A Common Stock. On April 23, 2021, the Company further amended and restated its articles of incorporation to eliminate the Class A and Class B Common Stock designations and authorize for issuance a total of 180,000,000 shares which are solely designated as Common Stock.</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May 14, 2020, the Company closed its initial public offering (“IPO”) under a registration statement effective May 11, 2021, in which it issued and sold 3,360,000 shares of its Common Stock at a purchase price of $5.00 per share. On May 21, 2021, the Company closed on the IPO’s overallotment option, selling an additional 504,000 shares of Common Stock to the IPO’s underwriters at the public offering price of $5.00 per share. The Company received net proceeds of approximately $16.6 million from the IPO after deducting underwriting discounts and offering expenses.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14, 2021, upon closing on the Company’s IPO, the Series A convertible preferred stock and Convertible Notes were converted into an aggregate of 955,716 shares of the Company’s Common Stock.</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14, 2021, the Company issued 24,451 shares of Common Stock upon cashless exercise of warrants held by Boustead Securities LLC, the placement agent for the Company’s private placement offerings completed in December 2020 and January 2021.</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June 30, 2022, the Company issued 40,019 shares of restricted common stock for RSUs vested in the quarter ended September 30, 2021.</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February 15, 2022, as part of the consideration for the acquisition of Anivia and subsidiaries, the Company issued 3,083,700 restricted shares of the Company’s common stock, valued at $2.27 per share, which was the closing price of the Company’s Common Stock as traded on Nasdaq on February 15, 2022. These shares have a lock-up period of 180 days and are subject to insider trading restrictions. The fair value of the shares was $5,528,373, calculated with a discount of lack of marketability of 21%, which is determined using the Black Scholes Model.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 and 2021, there were 29,572,382 and 26,448,663 shares of Common Stock issued and outstanding, respectively.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auto"/>
        </w:rPr>
        <w:t>Preferred Stock</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Preferred Stock was authorized as “blank check” series of Preferred Stock, providing that the Board of Directors is expressly authorized, subject to limitations prescribed by law, by resolution or resolutions and by filing a certificate pursuant to the applicable law of the State of Nevada, to provide, out of the authorized but unissued shares of Preferred Stock, for series of Preferred Stock, and to establish from time to time the number of shares to be included in each such series, and to fix the designation, powers, preferences and rights of the shares of each such series and the qualifications, limitations or restrictions thereof. As of June 30, 2022 and 2021, respectively, there were no shares of Preferred Stock was issued and outstanding.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Incentive Plan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5, 2021, the Company’s Board of Directors adopted, and its stockholders approved and ratified, the iPower Inc. Amended and Restated 2020 Equity Incentive Plan (the “Plan”). The Plan allows for the issuance of up to 5,000,000 shares of Common Stock, whether in the form of options, restricted stock, restricted stock units, stock appreciation rights, performance units, performance shares and other stock or cash awards. The general purpose of the Plan is to provide an incentive to the Company’s directors, officers, employees, consultants and advisors by enabling them to share in the future growth of the Company’s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Unit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Following completion of the IPO on May 11, 2021, pursuant to their letter agreements, the Company awarded 46,546 restricted stock units (“RSUs”) under the Plan to its independent directors, Chief Financial Officer, and certain other employees and consultants, all of which are subject to certain vesting conditions in the next 12 months and restrictions until filing of a Form S-8 for registration of the shares. The fair value of the RSUs was determined to be based on $5.00 per share, the initial listing price of the Company’s common stock on the grant date. During the year ended June 30, 2022, the Company granted additional 97,128 shares of RSUs. For the year ended June 30, 2022 and 2021, the Company recorded $314,287 and $110,683 of stock-based compensation expense. There was forfeiture of 4,000 and 0 RSUs occurred during the year ended June 30, 2022 and 2021. As of June 30, 2022 and 2021, the unvested number of RSUs was 6,608 and 24,409 and the unamortized expense was $15,000 and $122,045,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Information relating to RSU grants is summarized as follows:</w:t>
            </w: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Total Fair Market</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Value of RSUs</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Issued as</w:t>
            </w:r>
          </w:p>
        </w:tc>
        <w:tc>
          <w:tcPr>
            <w:tcW w:w="0" w:type="dxa"/>
            <w:vAlign w:val="bottom"/>
          </w:tcPr>
          <w:p>
            <w:pPr>
              <w:spacing w:after="0"/>
              <w:rPr>
                <w:sz w:val="1"/>
                <w:szCs w:val="1"/>
                <w:color w:val="auto"/>
              </w:rPr>
            </w:pPr>
          </w:p>
        </w:tc>
      </w:tr>
      <w:tr>
        <w:trPr>
          <w:trHeight w:val="230"/>
        </w:trPr>
        <w:tc>
          <w:tcPr>
            <w:tcW w:w="7660" w:type="dxa"/>
            <w:vAlign w:val="bottom"/>
          </w:tcPr>
          <w:p>
            <w:pPr>
              <w:spacing w:after="0"/>
              <w:rPr>
                <w:sz w:val="20"/>
                <w:szCs w:val="20"/>
                <w:color w:val="auto"/>
              </w:rPr>
            </w:pPr>
          </w:p>
        </w:tc>
        <w:tc>
          <w:tcPr>
            <w:tcW w:w="190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Total RSUs Issued</w:t>
            </w:r>
          </w:p>
        </w:tc>
        <w:tc>
          <w:tcPr>
            <w:tcW w:w="120" w:type="dxa"/>
            <w:vAlign w:val="bottom"/>
          </w:tcPr>
          <w:p>
            <w:pPr>
              <w:spacing w:after="0"/>
              <w:rPr>
                <w:sz w:val="20"/>
                <w:szCs w:val="20"/>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Compensation (1)</w:t>
            </w:r>
          </w:p>
        </w:tc>
        <w:tc>
          <w:tcPr>
            <w:tcW w:w="0" w:type="dxa"/>
            <w:vAlign w:val="bottom"/>
          </w:tcPr>
          <w:p>
            <w:pPr>
              <w:spacing w:after="0"/>
              <w:rPr>
                <w:sz w:val="1"/>
                <w:szCs w:val="1"/>
                <w:color w:val="auto"/>
              </w:rPr>
            </w:pPr>
          </w:p>
        </w:tc>
      </w:tr>
      <w:tr>
        <w:trPr>
          <w:trHeight w:val="210"/>
        </w:trPr>
        <w:tc>
          <w:tcPr>
            <w:tcW w:w="76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RSUs granted, but not vested, at June 30, 2020</w:t>
            </w:r>
          </w:p>
        </w:tc>
        <w:tc>
          <w:tcPr>
            <w:tcW w:w="15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46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RSUs granted</w:t>
            </w:r>
          </w:p>
        </w:tc>
        <w:tc>
          <w:tcPr>
            <w:tcW w:w="1900" w:type="dxa"/>
            <w:vAlign w:val="bottom"/>
            <w:gridSpan w:val="2"/>
          </w:tcPr>
          <w:p>
            <w:pPr>
              <w:jc w:val="right"/>
              <w:ind w:right="320"/>
              <w:spacing w:after="0"/>
              <w:rPr>
                <w:sz w:val="20"/>
                <w:szCs w:val="20"/>
                <w:color w:val="auto"/>
              </w:rPr>
            </w:pPr>
            <w:r>
              <w:rPr>
                <w:rFonts w:ascii="Arial" w:cs="Arial" w:eastAsia="Arial" w:hAnsi="Arial"/>
                <w:sz w:val="18"/>
                <w:szCs w:val="18"/>
                <w:color w:val="auto"/>
              </w:rPr>
              <w:t>46,546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232,730</w:t>
            </w:r>
          </w:p>
        </w:tc>
        <w:tc>
          <w:tcPr>
            <w:tcW w:w="0" w:type="dxa"/>
            <w:vAlign w:val="bottom"/>
          </w:tcPr>
          <w:p>
            <w:pPr>
              <w:spacing w:after="0"/>
              <w:rPr>
                <w:sz w:val="1"/>
                <w:szCs w:val="1"/>
                <w:color w:val="auto"/>
              </w:rPr>
            </w:pPr>
          </w:p>
        </w:tc>
      </w:tr>
      <w:tr>
        <w:trPr>
          <w:trHeight w:val="216"/>
        </w:trPr>
        <w:tc>
          <w:tcPr>
            <w:tcW w:w="7660" w:type="dxa"/>
            <w:vAlign w:val="bottom"/>
            <w:shd w:val="clear" w:color="auto" w:fill="EEEEEE"/>
          </w:tcPr>
          <w:p>
            <w:pPr>
              <w:spacing w:after="0"/>
              <w:rPr>
                <w:sz w:val="20"/>
                <w:szCs w:val="20"/>
                <w:color w:val="auto"/>
              </w:rPr>
            </w:pPr>
            <w:r>
              <w:rPr>
                <w:rFonts w:ascii="Arial" w:cs="Arial" w:eastAsia="Arial" w:hAnsi="Arial"/>
                <w:sz w:val="18"/>
                <w:szCs w:val="18"/>
                <w:color w:val="auto"/>
              </w:rPr>
              <w:t>RSUs forfeited</w:t>
            </w:r>
          </w:p>
        </w:tc>
        <w:tc>
          <w:tcPr>
            <w:tcW w:w="19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RSUs vested</w:t>
            </w:r>
          </w:p>
        </w:tc>
        <w:tc>
          <w:tcPr>
            <w:tcW w:w="1900" w:type="dxa"/>
            <w:vAlign w:val="bottom"/>
            <w:gridSpan w:val="2"/>
          </w:tcPr>
          <w:p>
            <w:pPr>
              <w:jc w:val="right"/>
              <w:ind w:right="260"/>
              <w:spacing w:after="0"/>
              <w:rPr>
                <w:sz w:val="20"/>
                <w:szCs w:val="20"/>
                <w:color w:val="auto"/>
              </w:rPr>
            </w:pPr>
            <w:r>
              <w:rPr>
                <w:rFonts w:ascii="Arial" w:cs="Arial" w:eastAsia="Arial" w:hAnsi="Arial"/>
                <w:sz w:val="18"/>
                <w:szCs w:val="18"/>
                <w:color w:val="auto"/>
              </w:rPr>
              <w:t>(22,137)</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EEEEEE"/>
          </w:tcPr>
          <w:p>
            <w:pPr>
              <w:spacing w:after="0"/>
              <w:rPr>
                <w:sz w:val="20"/>
                <w:szCs w:val="20"/>
                <w:color w:val="auto"/>
              </w:rPr>
            </w:pPr>
            <w:r>
              <w:rPr>
                <w:rFonts w:ascii="Arial" w:cs="Arial" w:eastAsia="Arial" w:hAnsi="Arial"/>
                <w:sz w:val="18"/>
                <w:szCs w:val="18"/>
                <w:color w:val="auto"/>
              </w:rPr>
              <w:t>RSUs granted, but not vested, at June 30, 2021</w:t>
            </w:r>
          </w:p>
        </w:tc>
        <w:tc>
          <w:tcPr>
            <w:tcW w:w="19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24,409</w:t>
            </w:r>
          </w:p>
        </w:tc>
        <w:tc>
          <w:tcPr>
            <w:tcW w:w="12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RSUs granted</w:t>
            </w:r>
          </w:p>
        </w:tc>
        <w:tc>
          <w:tcPr>
            <w:tcW w:w="1900" w:type="dxa"/>
            <w:vAlign w:val="bottom"/>
            <w:gridSpan w:val="2"/>
          </w:tcPr>
          <w:p>
            <w:pPr>
              <w:jc w:val="right"/>
              <w:ind w:right="320"/>
              <w:spacing w:after="0"/>
              <w:rPr>
                <w:sz w:val="20"/>
                <w:szCs w:val="20"/>
                <w:color w:val="auto"/>
              </w:rPr>
            </w:pPr>
            <w:r>
              <w:rPr>
                <w:rFonts w:ascii="Arial" w:cs="Arial" w:eastAsia="Arial" w:hAnsi="Arial"/>
                <w:sz w:val="18"/>
                <w:szCs w:val="18"/>
                <w:color w:val="auto"/>
              </w:rPr>
              <w:t>97,128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227,237</w:t>
            </w:r>
          </w:p>
        </w:tc>
        <w:tc>
          <w:tcPr>
            <w:tcW w:w="0" w:type="dxa"/>
            <w:vAlign w:val="bottom"/>
          </w:tcPr>
          <w:p>
            <w:pPr>
              <w:spacing w:after="0"/>
              <w:rPr>
                <w:sz w:val="1"/>
                <w:szCs w:val="1"/>
                <w:color w:val="auto"/>
              </w:rPr>
            </w:pPr>
          </w:p>
        </w:tc>
      </w:tr>
      <w:tr>
        <w:trPr>
          <w:trHeight w:val="216"/>
        </w:trPr>
        <w:tc>
          <w:tcPr>
            <w:tcW w:w="7660" w:type="dxa"/>
            <w:vAlign w:val="bottom"/>
            <w:shd w:val="clear" w:color="auto" w:fill="EEEEEE"/>
          </w:tcPr>
          <w:p>
            <w:pPr>
              <w:spacing w:after="0"/>
              <w:rPr>
                <w:sz w:val="20"/>
                <w:szCs w:val="20"/>
                <w:color w:val="auto"/>
              </w:rPr>
            </w:pPr>
            <w:r>
              <w:rPr>
                <w:rFonts w:ascii="Arial" w:cs="Arial" w:eastAsia="Arial" w:hAnsi="Arial"/>
                <w:sz w:val="18"/>
                <w:szCs w:val="18"/>
                <w:color w:val="auto"/>
              </w:rPr>
              <w:t>RSUs forfeited</w:t>
            </w:r>
          </w:p>
        </w:tc>
        <w:tc>
          <w:tcPr>
            <w:tcW w:w="19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(4,000)</w:t>
            </w:r>
          </w:p>
        </w:tc>
        <w:tc>
          <w:tcPr>
            <w:tcW w:w="12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RSUs vested</w:t>
            </w:r>
          </w:p>
        </w:tc>
        <w:tc>
          <w:tcPr>
            <w:tcW w:w="1900" w:type="dxa"/>
            <w:vAlign w:val="bottom"/>
            <w:gridSpan w:val="2"/>
          </w:tcPr>
          <w:p>
            <w:pPr>
              <w:jc w:val="right"/>
              <w:ind w:right="260"/>
              <w:spacing w:after="0"/>
              <w:rPr>
                <w:sz w:val="20"/>
                <w:szCs w:val="20"/>
                <w:color w:val="auto"/>
              </w:rPr>
            </w:pPr>
            <w:r>
              <w:rPr>
                <w:rFonts w:ascii="Arial" w:cs="Arial" w:eastAsia="Arial" w:hAnsi="Arial"/>
                <w:sz w:val="18"/>
                <w:szCs w:val="18"/>
                <w:color w:val="auto"/>
              </w:rPr>
              <w:t>(110,929)</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RSUs granted, but not vested, at June 30, 2022</w:t>
            </w: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6,608</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46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vMerge w:val="restart"/>
          </w:tcPr>
          <w:p>
            <w:pPr>
              <w:ind w:left="60"/>
              <w:spacing w:after="0"/>
              <w:rPr>
                <w:sz w:val="20"/>
                <w:szCs w:val="20"/>
                <w:color w:val="auto"/>
              </w:rPr>
            </w:pPr>
            <w:r>
              <w:rPr>
                <w:rFonts w:ascii="Arial" w:cs="Arial" w:eastAsia="Arial" w:hAnsi="Arial"/>
                <w:sz w:val="18"/>
                <w:szCs w:val="18"/>
                <w:color w:val="auto"/>
              </w:rPr>
              <w:t>_____________________</w:t>
            </w: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40" w:hanging="432"/>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total fair value was based on the current stock price on the grant date.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50" w:lineRule="exact"/>
        <w:rPr>
          <w:rFonts w:ascii="Arial" w:cs="Arial" w:eastAsia="Arial" w:hAnsi="Arial"/>
          <w:sz w:val="18"/>
          <w:szCs w:val="18"/>
          <w:color w:val="auto"/>
        </w:rPr>
      </w:pPr>
    </w:p>
    <w:p>
      <w:pPr>
        <w:ind w:left="5460"/>
        <w:spacing w:after="0"/>
        <w:rPr>
          <w:rFonts w:ascii="Arial" w:cs="Arial" w:eastAsia="Arial" w:hAnsi="Arial"/>
          <w:sz w:val="18"/>
          <w:szCs w:val="18"/>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1" w:name="page82"/>
    <w:bookmarkEnd w:id="81"/>
    <w:p>
      <w:pPr>
        <w:jc w:val="both"/>
        <w:spacing w:after="0" w:line="277" w:lineRule="auto"/>
        <w:rPr>
          <w:sz w:val="20"/>
          <w:szCs w:val="20"/>
          <w:color w:val="auto"/>
        </w:rPr>
      </w:pPr>
      <w:r>
        <w:rPr>
          <w:rFonts w:ascii="Arial" w:cs="Arial" w:eastAsia="Arial" w:hAnsi="Arial"/>
          <w:sz w:val="18"/>
          <w:szCs w:val="18"/>
          <w:color w:val="auto"/>
        </w:rPr>
        <w:t>As of June 30, 2022, of the 133,066 vested RSUs, 40,019 shares of Common Stock were issued, and 93,047 shares were to be issued in the next fiscal year upon setup of the plan administration account.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May 12, 2022, the Compensation Committee of the Board of Directors approved an incentive plan for the Company’s executive officers consisting of a cash performance bonus of $60,000 to be awarded to Kevin Vassily, CFO of the Company, and grants of stock option (the “Option Grants”) in the amount of (i) 3,000,000 shares to Chenlong Tan, CEO and (ii) 330,000 shares to Mr. Vassily. The Option Grants, which were issued on May 13, 2022, have an exercise price of $1.12, a contractual term of 10 years and consist of six vesting tranches with a vesting schedule based entirely on the attainment of both operational milestones (performance conditions) and market conditions, assuming continued employment of the recipients through each vesting date. Each of the 6 vesting tranches of the Option Grants will vest when both (i) the market capitalization milestone for such tranche, which begins at $150 million for the first tranche and increases by increments of $50 million through the fourth tranche and $100 million thereafter (based on achieving such market capitalization for five consecutive trading days), has been achieved, and (ii) any one of the following six operational milestones focused on revenue or any one of the six operational milestones focused on operating income have been achieved during a given fiscal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achievement status of the operational milestones as of June 30, 2022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 w:type="dxa"/>
            <w:vAlign w:val="bottom"/>
          </w:tcPr>
          <w:p>
            <w:pPr>
              <w:spacing w:after="0"/>
              <w:rPr>
                <w:sz w:val="20"/>
                <w:szCs w:val="20"/>
                <w:color w:val="auto"/>
              </w:rPr>
            </w:pPr>
          </w:p>
        </w:tc>
        <w:tc>
          <w:tcPr>
            <w:tcW w:w="3820" w:type="dxa"/>
            <w:vAlign w:val="bottom"/>
            <w:gridSpan w:val="4"/>
          </w:tcPr>
          <w:p>
            <w:pPr>
              <w:ind w:left="1080"/>
              <w:spacing w:after="0"/>
              <w:rPr>
                <w:sz w:val="20"/>
                <w:szCs w:val="20"/>
                <w:color w:val="auto"/>
              </w:rPr>
            </w:pPr>
            <w:r>
              <w:rPr>
                <w:rFonts w:ascii="Arial" w:cs="Arial" w:eastAsia="Arial" w:hAnsi="Arial"/>
                <w:sz w:val="18"/>
                <w:szCs w:val="18"/>
                <w:color w:val="auto"/>
              </w:rPr>
              <w:t>Revenue in Fiscal Year</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60" w:type="dxa"/>
            <w:vAlign w:val="bottom"/>
            <w:gridSpan w:val="4"/>
          </w:tcPr>
          <w:p>
            <w:pPr>
              <w:ind w:left="800"/>
              <w:spacing w:after="0"/>
              <w:rPr>
                <w:sz w:val="20"/>
                <w:szCs w:val="20"/>
                <w:color w:val="auto"/>
              </w:rPr>
            </w:pPr>
            <w:r>
              <w:rPr>
                <w:rFonts w:ascii="Arial" w:cs="Arial" w:eastAsia="Arial" w:hAnsi="Arial"/>
                <w:sz w:val="18"/>
                <w:szCs w:val="18"/>
                <w:color w:val="auto"/>
              </w:rPr>
              <w:t>Operating Income in Fiscal Year</w:t>
            </w:r>
          </w:p>
        </w:tc>
      </w:tr>
      <w:tr>
        <w:trPr>
          <w:trHeight w:val="209"/>
        </w:trPr>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center"/>
              <w:ind w:left="270"/>
              <w:spacing w:after="0"/>
              <w:rPr>
                <w:sz w:val="20"/>
                <w:szCs w:val="20"/>
                <w:color w:val="auto"/>
              </w:rPr>
            </w:pPr>
            <w:r>
              <w:rPr>
                <w:rFonts w:ascii="Arial" w:cs="Arial" w:eastAsia="Arial" w:hAnsi="Arial"/>
                <w:sz w:val="18"/>
                <w:szCs w:val="18"/>
                <w:color w:val="auto"/>
                <w:w w:val="93"/>
              </w:rPr>
              <w:t>Milestone</w:t>
            </w:r>
          </w:p>
        </w:tc>
        <w:tc>
          <w:tcPr>
            <w:tcW w:w="3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gridSpan w:val="2"/>
          </w:tcPr>
          <w:p>
            <w:pPr>
              <w:jc w:val="right"/>
              <w:ind w:right="920"/>
              <w:spacing w:after="0"/>
              <w:rPr>
                <w:sz w:val="20"/>
                <w:szCs w:val="20"/>
                <w:color w:val="auto"/>
              </w:rPr>
            </w:pPr>
            <w:r>
              <w:rPr>
                <w:rFonts w:ascii="Arial" w:cs="Arial" w:eastAsia="Arial" w:hAnsi="Arial"/>
                <w:sz w:val="18"/>
                <w:szCs w:val="18"/>
                <w:color w:val="auto"/>
              </w:rPr>
              <w:t>Milestone</w:t>
            </w:r>
          </w:p>
        </w:tc>
        <w:tc>
          <w:tcPr>
            <w:tcW w:w="1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1360" w:type="dxa"/>
            <w:vAlign w:val="bottom"/>
          </w:tcPr>
          <w:p>
            <w:pPr>
              <w:jc w:val="center"/>
              <w:ind w:left="270"/>
              <w:spacing w:after="0"/>
              <w:rPr>
                <w:sz w:val="20"/>
                <w:szCs w:val="20"/>
                <w:color w:val="auto"/>
              </w:rPr>
            </w:pPr>
            <w:r>
              <w:rPr>
                <w:rFonts w:ascii="Arial" w:cs="Arial" w:eastAsia="Arial" w:hAnsi="Arial"/>
                <w:sz w:val="18"/>
                <w:szCs w:val="18"/>
                <w:color w:val="auto"/>
              </w:rPr>
              <w:t>(in Millions)</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Achievement Status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2"/>
          </w:tcPr>
          <w:p>
            <w:pPr>
              <w:jc w:val="right"/>
              <w:ind w:right="820"/>
              <w:spacing w:after="0"/>
              <w:rPr>
                <w:sz w:val="20"/>
                <w:szCs w:val="20"/>
                <w:color w:val="auto"/>
              </w:rPr>
            </w:pPr>
            <w:r>
              <w:rPr>
                <w:rFonts w:ascii="Arial" w:cs="Arial" w:eastAsia="Arial" w:hAnsi="Arial"/>
                <w:sz w:val="18"/>
                <w:szCs w:val="18"/>
                <w:color w:val="auto"/>
              </w:rPr>
              <w:t>(in Millions)</w:t>
            </w:r>
          </w:p>
        </w:tc>
        <w:tc>
          <w:tcPr>
            <w:tcW w:w="19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Achievement Status</w:t>
            </w:r>
          </w:p>
        </w:tc>
      </w:tr>
      <w:tr>
        <w:trPr>
          <w:trHeight w:val="209"/>
        </w:trPr>
        <w:tc>
          <w:tcPr>
            <w:tcW w:w="1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90</w:t>
            </w:r>
          </w:p>
        </w:tc>
        <w:tc>
          <w:tcPr>
            <w:tcW w:w="17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Probable</w:t>
            </w:r>
          </w:p>
        </w:tc>
        <w:tc>
          <w:tcPr>
            <w:tcW w:w="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6</w:t>
            </w:r>
          </w:p>
        </w:tc>
        <w:tc>
          <w:tcPr>
            <w:tcW w:w="194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88"/>
              </w:rPr>
              <w:t>Probable</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100</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Probable</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440"/>
              <w:spacing w:after="0"/>
              <w:rPr>
                <w:sz w:val="20"/>
                <w:szCs w:val="20"/>
                <w:color w:val="auto"/>
              </w:rPr>
            </w:pPr>
            <w:r>
              <w:rPr>
                <w:rFonts w:ascii="Arial" w:cs="Arial" w:eastAsia="Arial" w:hAnsi="Arial"/>
                <w:sz w:val="18"/>
                <w:szCs w:val="18"/>
                <w:color w:val="auto"/>
              </w:rPr>
              <w:t>8</w:t>
            </w:r>
          </w:p>
        </w:tc>
        <w:tc>
          <w:tcPr>
            <w:tcW w:w="194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Probable</w:t>
            </w:r>
          </w:p>
        </w:tc>
      </w:tr>
      <w:tr>
        <w:trPr>
          <w:trHeight w:val="216"/>
        </w:trPr>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125</w:t>
            </w:r>
          </w:p>
        </w:tc>
        <w:tc>
          <w:tcPr>
            <w:tcW w:w="17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Probable</w:t>
            </w:r>
          </w:p>
        </w:tc>
        <w:tc>
          <w:tcPr>
            <w:tcW w:w="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10</w:t>
            </w:r>
          </w:p>
        </w:tc>
        <w:tc>
          <w:tcPr>
            <w:tcW w:w="194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88"/>
              </w:rPr>
              <w:t>Probable</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150</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Probable</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440"/>
              <w:spacing w:after="0"/>
              <w:rPr>
                <w:sz w:val="20"/>
                <w:szCs w:val="20"/>
                <w:color w:val="auto"/>
              </w:rPr>
            </w:pPr>
            <w:r>
              <w:rPr>
                <w:rFonts w:ascii="Arial" w:cs="Arial" w:eastAsia="Arial" w:hAnsi="Arial"/>
                <w:sz w:val="18"/>
                <w:szCs w:val="18"/>
                <w:color w:val="auto"/>
              </w:rPr>
              <w:t>12</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r>
      <w:tr>
        <w:trPr>
          <w:trHeight w:val="216"/>
        </w:trPr>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200</w:t>
            </w:r>
          </w:p>
        </w:tc>
        <w:tc>
          <w:tcPr>
            <w:tcW w:w="17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Probable</w:t>
            </w:r>
          </w:p>
        </w:tc>
        <w:tc>
          <w:tcPr>
            <w:tcW w:w="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16</w:t>
            </w:r>
          </w:p>
        </w:tc>
        <w:tc>
          <w:tcPr>
            <w:tcW w:w="1940" w:type="dxa"/>
            <w:vAlign w:val="bottom"/>
            <w:gridSpan w:val="2"/>
            <w:shd w:val="clear" w:color="auto" w:fill="EEEEEE"/>
          </w:tcPr>
          <w:p>
            <w:pPr>
              <w:jc w:val="center"/>
              <w:ind w:right="120"/>
              <w:spacing w:after="0"/>
              <w:rPr>
                <w:sz w:val="20"/>
                <w:szCs w:val="20"/>
                <w:color w:val="auto"/>
              </w:rPr>
            </w:pPr>
            <w:r>
              <w:rPr>
                <w:rFonts w:ascii="Arial" w:cs="Arial" w:eastAsia="Arial" w:hAnsi="Arial"/>
                <w:sz w:val="18"/>
                <w:szCs w:val="18"/>
                <w:color w:val="auto"/>
                <w:w w:val="99"/>
              </w:rPr>
              <w:t>–</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spacing w:after="0"/>
              <w:rPr>
                <w:sz w:val="20"/>
                <w:szCs w:val="20"/>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250</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440"/>
              <w:spacing w:after="0"/>
              <w:rPr>
                <w:sz w:val="20"/>
                <w:szCs w:val="20"/>
                <w:color w:val="auto"/>
              </w:rPr>
            </w:pPr>
            <w:r>
              <w:rPr>
                <w:rFonts w:ascii="Arial" w:cs="Arial" w:eastAsia="Arial" w:hAnsi="Arial"/>
                <w:sz w:val="18"/>
                <w:szCs w:val="18"/>
                <w:color w:val="auto"/>
              </w:rPr>
              <w:t>20</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r>
    </w:tbl>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evaluated the performance condition and market condition under ASC 718-10-20. The Option Grants are considered an award containing a performance and a market condition and both conditions (in this case at least one of the performance conditions) must be satisfied for the award to vest. The market condition is incorporated into the fair value of the award, and that fair value is recognized over the longer of the implied service period or requisite service period if it is probable that one of the performance conditions will be met. In relation to the five awards deemed probable to vest, the recognition period ranges from 2.93 years to 9.64 years. If the performance condition is ultimately not met, compensation cost related to the award should not be recognized (or should be reversed to the extent any expense has been recognized related to such tranche) because the vesting condition in the award would not have been satisfied.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2" w:name="page83"/>
    <w:bookmarkEnd w:id="82"/>
    <w:p>
      <w:pPr>
        <w:jc w:val="both"/>
        <w:spacing w:after="0" w:line="257" w:lineRule="auto"/>
        <w:rPr>
          <w:sz w:val="20"/>
          <w:szCs w:val="20"/>
          <w:color w:val="auto"/>
        </w:rPr>
      </w:pPr>
      <w:r>
        <w:rPr>
          <w:rFonts w:ascii="Arial" w:cs="Arial" w:eastAsia="Arial" w:hAnsi="Arial"/>
          <w:sz w:val="18"/>
          <w:szCs w:val="18"/>
          <w:color w:val="auto"/>
        </w:rPr>
        <w:t>On the grant date, a Monte Carlo simulation was used to determine for each tranche (i) a fixed amount of expense for such tranche and (ii) the future time when the market capitalization milestone for such tranche was expected to be achieved. Separately, based on a subjective assessment of our future financial performance, each quarter we determine whether it is probable that we will achieve each operational milestone that has not previously been achieved or deemed probable of achievement and if so, the future time when we expect to achieve that operational milestone. The Monte Carlo simulation utilized the following inputs:</w:t>
      </w:r>
    </w:p>
    <w:p>
      <w:pPr>
        <w:spacing w:after="0" w:line="188"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Stock Price - $1.12</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Volatility – 95.65%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Term –10 years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 Free Rate of Return – 2.93%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Dividend Yield – 0%</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total fair value of the Option Grants was $3.2 million of which, at June 30, 2022, $2.3 million is deemed probable of vesting. As of June 30, 2022, none of the options had vested. For the year ended June 30, 2022 and 2021, the Company recorded $58,064 and $0 of stock-based compensation expense related to the Option Grants. Unrecognized compensation cost related to tranches probable of vesting is approximately $2.2 million and will be recognized over 2.8 years to 9.5 years, depending on the tranche.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Warrant liabilities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Company’s warrant liabilities contained unobservable inputs that reflected the Company’s own assumptions in which there was little, if any, market activity as of the measurement date. Accordingly, the Company’s warrant liabilities were measured at fair value on a recurring basis using unobservable inputs and were classified as Level 3 measurements.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30, 2020, the Company issued warrants to purchase 2,415 shares of Series A Convertible Preferred Stock to Boustead Securities, LLC (the “Placement Agent”) as compensation, which was recorded as financing expense. The exercise price of the warrants is $10 per share and expires in five years from the issuance date. This Series A Preferred Stock warrant were valued using Black Scholes Option Pricing Model at issuance date and recorded $8,047 as financing expense and warrant liability.</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January 27, 2021, the Company completed a private placement offering pursuant to which the Company sold to two accredited investors an aggregate of $3,000,000 in Convertible Notes and warrants to purchase shares of Class A Common Stock equaling 80% of the number of shares of Class A Common Stock issuable upon conversion of the Convertible Notes. The convertible note warrants shall be exercisable for a period of three years from the IPO completion date at a per share exercise price equal to the IPO. In accordance with the terms of the warrants, in the event the Convertible Notes are repaid in cash by the Company, the warrants issued in conjunction with the Convertible Notes will expire and have no further value.</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Convertible Note offering, the Company also issued placement agent warrants to purchase 7.0% of the shares of Common Stock underlying the Convertible Notes exercisable at the conversion price of the Convertible Note (the “Conversion Price”). The placement agent warrants had an exercise period of five years from the issuance date.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3" w:name="page84"/>
    <w:bookmarkEnd w:id="83"/>
    <w:p>
      <w:pPr>
        <w:jc w:val="both"/>
        <w:spacing w:after="0" w:line="277" w:lineRule="auto"/>
        <w:rPr>
          <w:sz w:val="20"/>
          <w:szCs w:val="20"/>
          <w:color w:val="auto"/>
        </w:rPr>
      </w:pPr>
      <w:r>
        <w:rPr>
          <w:rFonts w:ascii="Arial" w:cs="Arial" w:eastAsia="Arial" w:hAnsi="Arial"/>
          <w:sz w:val="18"/>
          <w:szCs w:val="18"/>
          <w:color w:val="auto"/>
        </w:rPr>
        <w:t>On May 14, 2021, upon closing of its IPO, the Company remeasured the warrants to fair value using the Modified Black Scholes Option Pricing Model, based on the expected fair value of the underlying stock with the following assumptions: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20" w:type="dxa"/>
            <w:vAlign w:val="bottom"/>
            <w:tcBorders>
              <w:bottom w:val="single" w:sz="8" w:color="EEEEEE"/>
            </w:tcBorders>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As of May 14, 2021</w:t>
            </w:r>
          </w:p>
        </w:tc>
      </w:tr>
      <w:tr>
        <w:trPr>
          <w:trHeight w:val="210"/>
        </w:trPr>
        <w:tc>
          <w:tcPr>
            <w:tcW w:w="2820" w:type="dxa"/>
            <w:vAlign w:val="bottom"/>
            <w:shd w:val="clear" w:color="auto" w:fill="EEEEEE"/>
          </w:tcPr>
          <w:p>
            <w:pPr>
              <w:spacing w:after="0"/>
              <w:rPr>
                <w:sz w:val="20"/>
                <w:szCs w:val="20"/>
                <w:color w:val="auto"/>
              </w:rPr>
            </w:pPr>
            <w:r>
              <w:rPr>
                <w:rFonts w:ascii="Arial" w:cs="Arial" w:eastAsia="Arial" w:hAnsi="Arial"/>
                <w:sz w:val="18"/>
                <w:szCs w:val="18"/>
                <w:color w:val="auto"/>
              </w:rPr>
              <w:t>Expected term</w:t>
            </w:r>
          </w:p>
        </w:tc>
        <w:tc>
          <w:tcPr>
            <w:tcW w:w="28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1 day to 3 years</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Expected volatility</w:t>
            </w:r>
          </w:p>
        </w:tc>
        <w:tc>
          <w:tcPr>
            <w:tcW w:w="2800" w:type="dxa"/>
            <w:vAlign w:val="bottom"/>
          </w:tcPr>
          <w:p>
            <w:pPr>
              <w:jc w:val="center"/>
              <w:spacing w:after="0"/>
              <w:rPr>
                <w:sz w:val="20"/>
                <w:szCs w:val="20"/>
                <w:color w:val="auto"/>
              </w:rPr>
            </w:pPr>
            <w:r>
              <w:rPr>
                <w:rFonts w:ascii="Arial" w:cs="Arial" w:eastAsia="Arial" w:hAnsi="Arial"/>
                <w:sz w:val="18"/>
                <w:szCs w:val="18"/>
                <w:color w:val="auto"/>
                <w:w w:val="90"/>
              </w:rPr>
              <w:t>3.3% to 58%</w:t>
            </w:r>
          </w:p>
        </w:tc>
      </w:tr>
      <w:tr>
        <w:trPr>
          <w:trHeight w:val="216"/>
        </w:trPr>
        <w:tc>
          <w:tcPr>
            <w:tcW w:w="2820" w:type="dxa"/>
            <w:vAlign w:val="bottom"/>
            <w:shd w:val="clear" w:color="auto" w:fill="EEEEEE"/>
          </w:tcPr>
          <w:p>
            <w:pPr>
              <w:spacing w:after="0"/>
              <w:rPr>
                <w:sz w:val="20"/>
                <w:szCs w:val="20"/>
                <w:color w:val="auto"/>
              </w:rPr>
            </w:pPr>
            <w:r>
              <w:rPr>
                <w:rFonts w:ascii="Arial" w:cs="Arial" w:eastAsia="Arial" w:hAnsi="Arial"/>
                <w:sz w:val="18"/>
                <w:szCs w:val="18"/>
                <w:color w:val="auto"/>
              </w:rPr>
              <w:t>Risk-free interest rate</w:t>
            </w:r>
          </w:p>
        </w:tc>
        <w:tc>
          <w:tcPr>
            <w:tcW w:w="28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0.35% to 0.92%</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Expected dividend rate</w:t>
            </w:r>
          </w:p>
        </w:tc>
        <w:tc>
          <w:tcPr>
            <w:tcW w:w="2800" w:type="dxa"/>
            <w:vAlign w:val="bottom"/>
          </w:tcPr>
          <w:p>
            <w:pPr>
              <w:jc w:val="right"/>
              <w:ind w:right="1190"/>
              <w:spacing w:after="0"/>
              <w:rPr>
                <w:sz w:val="20"/>
                <w:szCs w:val="20"/>
                <w:color w:val="auto"/>
              </w:rPr>
            </w:pPr>
            <w:r>
              <w:rPr>
                <w:rFonts w:ascii="Arial" w:cs="Arial" w:eastAsia="Arial" w:hAnsi="Arial"/>
                <w:sz w:val="18"/>
                <w:szCs w:val="18"/>
                <w:color w:val="auto"/>
              </w:rPr>
              <w:t>0%</w:t>
            </w:r>
          </w:p>
        </w:tc>
      </w:tr>
      <w:tr>
        <w:trPr>
          <w:trHeight w:val="216"/>
        </w:trPr>
        <w:tc>
          <w:tcPr>
            <w:tcW w:w="2820" w:type="dxa"/>
            <w:vAlign w:val="bottom"/>
            <w:shd w:val="clear" w:color="auto" w:fill="EEEEEE"/>
          </w:tcPr>
          <w:p>
            <w:pPr>
              <w:spacing w:after="0"/>
              <w:rPr>
                <w:sz w:val="20"/>
                <w:szCs w:val="20"/>
                <w:color w:val="auto"/>
              </w:rPr>
            </w:pPr>
            <w:r>
              <w:rPr>
                <w:rFonts w:ascii="Arial" w:cs="Arial" w:eastAsia="Arial" w:hAnsi="Arial"/>
                <w:sz w:val="18"/>
                <w:szCs w:val="18"/>
                <w:color w:val="auto"/>
              </w:rPr>
              <w:t>Probability</w:t>
            </w:r>
          </w:p>
        </w:tc>
        <w:tc>
          <w:tcPr>
            <w:tcW w:w="2800" w:type="dxa"/>
            <w:vAlign w:val="bottom"/>
            <w:shd w:val="clear" w:color="auto" w:fill="EEEEEE"/>
          </w:tcPr>
          <w:p>
            <w:pPr>
              <w:jc w:val="right"/>
              <w:ind w:right="1090"/>
              <w:spacing w:after="0"/>
              <w:rPr>
                <w:sz w:val="20"/>
                <w:szCs w:val="20"/>
                <w:color w:val="auto"/>
              </w:rPr>
            </w:pPr>
            <w:r>
              <w:rPr>
                <w:rFonts w:ascii="Arial" w:cs="Arial" w:eastAsia="Arial" w:hAnsi="Arial"/>
                <w:sz w:val="18"/>
                <w:szCs w:val="18"/>
                <w:color w:val="auto"/>
              </w:rPr>
              <w:t>100%</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May 14, 2021, the fair value of the warrant liabilities was $1,361,347, which includes $4,610 preferred stock warrant, $1,324,668 warrants issued to the Convertible Note investors and $32,069 warrants issued to the placement agent. The increase in fair value immediately before the IPO was $617,593, which was reported in other non-operating expenses for the year ended June 30, 2021.</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Upon closing the IPO on May 14, 2021, the Placement Agent exercised its warrants in full to purchase a total of 24,451 shares of the Company’s Common Stock and, as such, there were no placement agent warrants outstanding as of June 30, 2021. At the same time, the outstanding warrants held by the Convertible Note investors were reclassed to additional paid in capital as the terms became fixed upon closing of the IPO. Through June 30, 2022, none of the private placement investors exercised any of their warrants. As such, as of June 30, 2022 and 2021, the number of shares issuable under the outstanding warrants was 685,715, with an average exercise price of $5.00 per share.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Note 18 - Concentration of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risk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and cash equivalents and accounts receivable.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June 30, 2022 and 2020, $1,821,947 and $6,651,705, respectively, were deposited with various major financial institutions in the United States and PRC. Accounts at each institution in the United States are insured by the Federal Deposit Insurance Corporation (FDIC) for up to $250,000. The Company had approximately $0.5 million and $5.4 million, respectively, in excess of the FDIC insurance limit, as of June 30, 2022 and 2021.</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Accounts receivable are typically unsecured and derived from revenue earned from customers, thereby exposing the Company to credit risk. The risk is mitigated by the Company’s assessment of its customers’ creditworthiness and its ongoing monitoring of outstanding balances. The Company maintains reserves for estimated credit losses, and such losses have generally been within expectations.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business of DHS, the Company’s VIE, may be impacted by Chinese economic conditions, changes in regulations and laws, and other uncertainties.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Customer and vendor concentration risk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years ended June 30, 2022 and 2021, Amazon Vendor and Amazon Seller customers accounted for 88% and 80% of the Company's total revenues, respectively. As of June 30, 2022 and 2021, accounts receivable from Amazon Vendor and Amazon Seller accounted for 94% and 98% of the Company’s total accounts receivable.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years ended June 30, 2022 and 2021, one supplier accounted for 18% and three suppliers accounted for 38% (18%, 10% and 10%) of the Company's total purchases, respectively. As of June 30, 2022, accounts payable to two suppliers accounted for 34% and 10% of the Company’s total accounts payable. As of June 30, 2021, accounts payable to two suppliers accounted for 11% and 10%, respectively, of the Company’s total accounts payable.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 commitments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adopted ASC842 since its inception date, April 11, 2018. The Company has entered into a lease agreement for office and warehouse space with a lease period from December 1, 2018 until December 31, 2020. On August 24, 2020, the Company negotiated for new terms to extend the lease through December 21, 2023 at the rate of approximately $42,000 per month.</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1, 2020, in addition to the primary fulfillment center, the Company leased a second fulfillment center in City of Industry, California. The base rental fee is $27,921 to $29,910 per month through October 31, 2023.</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15, 2022, upon completion of the acquisition of Anivia Limited, the Company assumed an operating lease for offices located in the People’s Republic of China.</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July 28, 2021, the Company entered into a Lease agreement (the “Lease Agreement”) with 9th &amp; Vineyard, LLC, a Delaware limited liability company (the “Landlord”), to lease from the Landlord approximately 99,347 square feet of space located at 8798 9th Street, Rancho Cucamonga, California (the “Premises”). The term of the Lease Agreement was for 62 months, commencing on the date on which the Landlord completes certain prescribed improvements on the property (the “Rent Commencement Date”). The Lease Agreement does not provide for an option to renew.</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5" w:name="page86"/>
    <w:bookmarkEnd w:id="85"/>
    <w:p>
      <w:pPr>
        <w:jc w:val="both"/>
        <w:ind w:right="20"/>
        <w:spacing w:after="0" w:line="277" w:lineRule="auto"/>
        <w:rPr>
          <w:sz w:val="20"/>
          <w:szCs w:val="20"/>
          <w:color w:val="auto"/>
        </w:rPr>
      </w:pPr>
      <w:r>
        <w:rPr>
          <w:rFonts w:ascii="Arial" w:cs="Arial" w:eastAsia="Arial" w:hAnsi="Arial"/>
          <w:sz w:val="18"/>
          <w:szCs w:val="18"/>
          <w:color w:val="auto"/>
        </w:rPr>
        <w:t>In addition, the Company will be responsible for its pro rata share of certain costs, including utility costs, insurance and common area costs, as further detailed in the Lease Agreement. Following the Rent Commencement Date, the first two months of the Base Rent will be abated.</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lease was not started under the original agreement as the construction was not completed. On February 23, 2022, the Company entered into an amended agreement to extend the lease term to 74 months. The lease commencement date is February 10, 2022, with rent payments commencing May 11, 2022 and the lease expiring on May 31, 2028. The base rental fee is $114,249 to $140,079 per month through the expiration date of May 31, 2028.</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 2022, the Company leased another fulfillment center in Duarte, California. The base rental fee is $56,000 to $59,410 per month through April 30, 2025.</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commitment for the full term of these leases is $12,440,869, $10,453,282 and $1,819,421 of operating lease right-of-use assets and $10,848,544 and $1,901,496 of operating lease liabilities were reflected on the June 30, 2022 and 2021 financial statements,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40" w:type="dxa"/>
            <w:vAlign w:val="bottom"/>
            <w:gridSpan w:val="4"/>
          </w:tcPr>
          <w:p>
            <w:pPr>
              <w:spacing w:after="0"/>
              <w:rPr>
                <w:sz w:val="20"/>
                <w:szCs w:val="20"/>
                <w:color w:val="auto"/>
              </w:rPr>
            </w:pPr>
            <w:r>
              <w:rPr>
                <w:rFonts w:ascii="Arial" w:cs="Arial" w:eastAsia="Arial" w:hAnsi="Arial"/>
                <w:sz w:val="18"/>
                <w:szCs w:val="18"/>
                <w:color w:val="auto"/>
              </w:rPr>
              <w:t>Years Ended June 30, 2022 and 2021:</w:t>
            </w: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7040" w:type="dxa"/>
            <w:vAlign w:val="bottom"/>
            <w:gridSpan w:val="4"/>
          </w:tcPr>
          <w:p>
            <w:pPr>
              <w:spacing w:after="0"/>
              <w:rPr>
                <w:sz w:val="20"/>
                <w:szCs w:val="20"/>
                <w:color w:val="auto"/>
              </w:rPr>
            </w:pPr>
            <w:r>
              <w:rPr>
                <w:rFonts w:ascii="Arial" w:cs="Arial" w:eastAsia="Arial" w:hAnsi="Arial"/>
                <w:sz w:val="18"/>
                <w:szCs w:val="18"/>
                <w:color w:val="auto"/>
              </w:rPr>
              <w:t>Lease cost</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6/30/2022</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6/30/2021</w:t>
            </w:r>
          </w:p>
        </w:tc>
        <w:tc>
          <w:tcPr>
            <w:tcW w:w="100" w:type="dxa"/>
            <w:vAlign w:val="bottom"/>
          </w:tcPr>
          <w:p>
            <w:pPr>
              <w:spacing w:after="0"/>
              <w:rPr>
                <w:sz w:val="24"/>
                <w:szCs w:val="24"/>
                <w:color w:val="auto"/>
              </w:rPr>
            </w:pPr>
          </w:p>
        </w:tc>
      </w:tr>
      <w:tr>
        <w:trPr>
          <w:trHeight w:val="34"/>
        </w:trPr>
        <w:tc>
          <w:tcPr>
            <w:tcW w:w="760" w:type="dxa"/>
            <w:vAlign w:val="bottom"/>
            <w:tcBorders>
              <w:top w:val="single" w:sz="8" w:color="auto"/>
              <w:bottom w:val="single" w:sz="8" w:color="EEEEEE"/>
            </w:tcBorders>
          </w:tcPr>
          <w:p>
            <w:pPr>
              <w:spacing w:after="0"/>
              <w:rPr>
                <w:sz w:val="2"/>
                <w:szCs w:val="2"/>
                <w:color w:val="auto"/>
              </w:rPr>
            </w:pPr>
          </w:p>
        </w:tc>
        <w:tc>
          <w:tcPr>
            <w:tcW w:w="440" w:type="dxa"/>
            <w:vAlign w:val="bottom"/>
            <w:tcBorders>
              <w:bottom w:val="single" w:sz="8" w:color="EEEEEE"/>
            </w:tcBorders>
          </w:tcPr>
          <w:p>
            <w:pPr>
              <w:spacing w:after="0"/>
              <w:rPr>
                <w:sz w:val="2"/>
                <w:szCs w:val="2"/>
                <w:color w:val="auto"/>
              </w:rPr>
            </w:pPr>
          </w:p>
        </w:tc>
        <w:tc>
          <w:tcPr>
            <w:tcW w:w="120" w:type="dxa"/>
            <w:vAlign w:val="bottom"/>
            <w:tcBorders>
              <w:bottom w:val="single" w:sz="8" w:color="EEEEEE"/>
            </w:tcBorders>
          </w:tcPr>
          <w:p>
            <w:pPr>
              <w:spacing w:after="0"/>
              <w:rPr>
                <w:sz w:val="2"/>
                <w:szCs w:val="2"/>
                <w:color w:val="auto"/>
              </w:rPr>
            </w:pPr>
          </w:p>
        </w:tc>
        <w:tc>
          <w:tcPr>
            <w:tcW w:w="5720" w:type="dxa"/>
            <w:vAlign w:val="bottom"/>
            <w:tcBorders>
              <w:bottom w:val="single" w:sz="8" w:color="EEEEEE"/>
            </w:tcBorders>
          </w:tcPr>
          <w:p>
            <w:pPr>
              <w:spacing w:after="0"/>
              <w:rPr>
                <w:sz w:val="2"/>
                <w:szCs w:val="2"/>
                <w:color w:val="auto"/>
              </w:rPr>
            </w:pPr>
          </w:p>
        </w:tc>
        <w:tc>
          <w:tcPr>
            <w:tcW w:w="620" w:type="dxa"/>
            <w:vAlign w:val="bottom"/>
            <w:tcBorders>
              <w:bottom w:val="single" w:sz="8" w:color="EEEEEE"/>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EEEEEE"/>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EEEEE"/>
            </w:tcBorders>
          </w:tcPr>
          <w:p>
            <w:pPr>
              <w:spacing w:after="0"/>
              <w:rPr>
                <w:sz w:val="2"/>
                <w:szCs w:val="2"/>
                <w:color w:val="auto"/>
              </w:rPr>
            </w:pPr>
          </w:p>
        </w:tc>
      </w:tr>
      <w:tr>
        <w:trPr>
          <w:trHeight w:val="209"/>
        </w:trPr>
        <w:tc>
          <w:tcPr>
            <w:tcW w:w="704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Operating lease cost (included in G&amp;A in the Company's statement of operations)</w:t>
            </w:r>
          </w:p>
        </w:tc>
        <w:tc>
          <w:tcPr>
            <w:tcW w:w="620" w:type="dxa"/>
            <w:vAlign w:val="bottom"/>
            <w:shd w:val="clear" w:color="auto" w:fill="EEEEEE"/>
          </w:tcPr>
          <w:p>
            <w:pPr>
              <w:spacing w:after="0"/>
              <w:rPr>
                <w:sz w:val="18"/>
                <w:szCs w:val="18"/>
                <w:color w:val="auto"/>
              </w:rPr>
            </w:pPr>
          </w:p>
        </w:tc>
        <w:tc>
          <w:tcPr>
            <w:tcW w:w="2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1,568,907</w:t>
            </w: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744,149</w:t>
            </w:r>
          </w:p>
        </w:tc>
        <w:tc>
          <w:tcPr>
            <w:tcW w:w="100" w:type="dxa"/>
            <w:vAlign w:val="bottom"/>
            <w:shd w:val="clear" w:color="auto" w:fill="EEEEEE"/>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1320" w:type="dxa"/>
            <w:vAlign w:val="bottom"/>
            <w:tcBorders>
              <w:bottom w:val="single" w:sz="8" w:color="auto"/>
            </w:tcBorders>
            <w:gridSpan w:val="3"/>
            <w:shd w:val="clear" w:color="auto" w:fill="EEEEEE"/>
          </w:tcPr>
          <w:p>
            <w:pPr>
              <w:spacing w:after="0" w:line="176" w:lineRule="exact"/>
              <w:rPr>
                <w:sz w:val="20"/>
                <w:szCs w:val="20"/>
                <w:color w:val="auto"/>
              </w:rPr>
            </w:pPr>
            <w:r>
              <w:rPr>
                <w:rFonts w:ascii="Arial" w:cs="Arial" w:eastAsia="Arial" w:hAnsi="Arial"/>
                <w:sz w:val="18"/>
                <w:szCs w:val="18"/>
                <w:color w:val="auto"/>
                <w:w w:val="93"/>
              </w:rPr>
              <w:t>Other information</w:t>
            </w:r>
          </w:p>
        </w:tc>
        <w:tc>
          <w:tcPr>
            <w:tcW w:w="5720" w:type="dxa"/>
            <w:vAlign w:val="bottom"/>
            <w:tcBorders>
              <w:bottom w:val="single" w:sz="8" w:color="EEEEEE"/>
            </w:tcBorders>
            <w:shd w:val="clear" w:color="auto" w:fill="EEEEEE"/>
          </w:tcPr>
          <w:p>
            <w:pPr>
              <w:spacing w:after="0"/>
              <w:rPr>
                <w:sz w:val="17"/>
                <w:szCs w:val="17"/>
                <w:color w:val="auto"/>
              </w:rPr>
            </w:pPr>
          </w:p>
        </w:tc>
        <w:tc>
          <w:tcPr>
            <w:tcW w:w="620" w:type="dxa"/>
            <w:vAlign w:val="bottom"/>
            <w:tcBorders>
              <w:bottom w:val="single" w:sz="8" w:color="EEEEEE"/>
            </w:tcBorders>
            <w:shd w:val="clear" w:color="auto" w:fill="EEEEEE"/>
          </w:tcPr>
          <w:p>
            <w:pPr>
              <w:spacing w:after="0"/>
              <w:rPr>
                <w:sz w:val="17"/>
                <w:szCs w:val="17"/>
                <w:color w:val="auto"/>
              </w:rPr>
            </w:pPr>
          </w:p>
        </w:tc>
        <w:tc>
          <w:tcPr>
            <w:tcW w:w="260" w:type="dxa"/>
            <w:vAlign w:val="bottom"/>
            <w:tcBorders>
              <w:bottom w:val="single" w:sz="8" w:color="EEEEEE"/>
            </w:tcBorders>
            <w:shd w:val="clear" w:color="auto" w:fill="EEEEEE"/>
          </w:tcPr>
          <w:p>
            <w:pPr>
              <w:spacing w:after="0"/>
              <w:rPr>
                <w:sz w:val="17"/>
                <w:szCs w:val="17"/>
                <w:color w:val="auto"/>
              </w:rPr>
            </w:pPr>
          </w:p>
        </w:tc>
        <w:tc>
          <w:tcPr>
            <w:tcW w:w="1320" w:type="dxa"/>
            <w:vAlign w:val="bottom"/>
            <w:tcBorders>
              <w:bottom w:val="single" w:sz="8" w:color="EEEEEE"/>
            </w:tcBorders>
            <w:shd w:val="clear" w:color="auto" w:fill="EEEEEE"/>
          </w:tcPr>
          <w:p>
            <w:pPr>
              <w:spacing w:after="0"/>
              <w:rPr>
                <w:sz w:val="17"/>
                <w:szCs w:val="17"/>
                <w:color w:val="auto"/>
              </w:rPr>
            </w:pPr>
          </w:p>
        </w:tc>
        <w:tc>
          <w:tcPr>
            <w:tcW w:w="320" w:type="dxa"/>
            <w:vAlign w:val="bottom"/>
            <w:tcBorders>
              <w:bottom w:val="single" w:sz="8" w:color="EEEEEE"/>
            </w:tcBorders>
            <w:shd w:val="clear" w:color="auto" w:fill="EEEEEE"/>
          </w:tcPr>
          <w:p>
            <w:pPr>
              <w:spacing w:after="0"/>
              <w:rPr>
                <w:sz w:val="17"/>
                <w:szCs w:val="17"/>
                <w:color w:val="auto"/>
              </w:rPr>
            </w:pPr>
          </w:p>
        </w:tc>
        <w:tc>
          <w:tcPr>
            <w:tcW w:w="260" w:type="dxa"/>
            <w:vAlign w:val="bottom"/>
            <w:tcBorders>
              <w:bottom w:val="single" w:sz="8" w:color="EEEEEE"/>
            </w:tcBorders>
            <w:shd w:val="clear" w:color="auto" w:fill="EEEEEE"/>
          </w:tcPr>
          <w:p>
            <w:pPr>
              <w:spacing w:after="0"/>
              <w:rPr>
                <w:sz w:val="17"/>
                <w:szCs w:val="17"/>
                <w:color w:val="auto"/>
              </w:rPr>
            </w:pPr>
          </w:p>
        </w:tc>
        <w:tc>
          <w:tcPr>
            <w:tcW w:w="132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r>
      <w:tr>
        <w:trPr>
          <w:trHeight w:val="216"/>
        </w:trPr>
        <w:tc>
          <w:tcPr>
            <w:tcW w:w="7040" w:type="dxa"/>
            <w:vAlign w:val="bottom"/>
            <w:gridSpan w:val="4"/>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1,247,305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663,214</w:t>
            </w:r>
          </w:p>
        </w:tc>
      </w:tr>
      <w:tr>
        <w:trPr>
          <w:trHeight w:val="216"/>
        </w:trPr>
        <w:tc>
          <w:tcPr>
            <w:tcW w:w="704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Remaining term in years</w:t>
            </w:r>
          </w:p>
        </w:tc>
        <w:tc>
          <w:tcPr>
            <w:tcW w:w="6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0.08 – 5.92</w:t>
            </w:r>
          </w:p>
        </w:tc>
        <w:tc>
          <w:tcPr>
            <w:tcW w:w="2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2.25</w:t>
            </w:r>
          </w:p>
        </w:tc>
      </w:tr>
      <w:tr>
        <w:trPr>
          <w:trHeight w:val="230"/>
        </w:trPr>
        <w:tc>
          <w:tcPr>
            <w:tcW w:w="7040" w:type="dxa"/>
            <w:vAlign w:val="bottom"/>
            <w:gridSpan w:val="4"/>
          </w:tcPr>
          <w:p>
            <w:pPr>
              <w:spacing w:after="0"/>
              <w:rPr>
                <w:sz w:val="20"/>
                <w:szCs w:val="20"/>
                <w:color w:val="auto"/>
              </w:rPr>
            </w:pPr>
            <w:r>
              <w:rPr>
                <w:rFonts w:ascii="Arial" w:cs="Arial" w:eastAsia="Arial" w:hAnsi="Arial"/>
                <w:sz w:val="18"/>
                <w:szCs w:val="18"/>
                <w:color w:val="auto"/>
              </w:rPr>
              <w:t>Average discount rate - operating leases</w:t>
            </w: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5 - 8%</w:t>
            </w:r>
          </w:p>
        </w:tc>
        <w:tc>
          <w:tcPr>
            <w:tcW w:w="2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418"/>
        </w:trPr>
        <w:tc>
          <w:tcPr>
            <w:tcW w:w="7040" w:type="dxa"/>
            <w:vAlign w:val="bottom"/>
            <w:gridSpan w:val="4"/>
          </w:tcPr>
          <w:p>
            <w:pPr>
              <w:spacing w:after="0"/>
              <w:rPr>
                <w:sz w:val="20"/>
                <w:szCs w:val="20"/>
                <w:color w:val="auto"/>
              </w:rPr>
            </w:pPr>
            <w:r>
              <w:rPr>
                <w:rFonts w:ascii="Arial" w:cs="Arial" w:eastAsia="Arial" w:hAnsi="Arial"/>
                <w:sz w:val="18"/>
                <w:szCs w:val="18"/>
                <w:color w:val="auto"/>
                <w:w w:val="98"/>
              </w:rPr>
              <w:t>The supplemental balance sheet information related to leases for the period is as follows:</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7040" w:type="dxa"/>
            <w:vAlign w:val="bottom"/>
            <w:gridSpan w:val="4"/>
          </w:tcPr>
          <w:p>
            <w:pPr>
              <w:spacing w:after="0"/>
              <w:rPr>
                <w:sz w:val="20"/>
                <w:szCs w:val="20"/>
                <w:color w:val="auto"/>
              </w:rPr>
            </w:pPr>
            <w:r>
              <w:rPr>
                <w:rFonts w:ascii="Arial" w:cs="Arial" w:eastAsia="Arial" w:hAnsi="Arial"/>
                <w:sz w:val="18"/>
                <w:szCs w:val="18"/>
                <w:color w:val="auto"/>
              </w:rPr>
              <w:t>Operating leases</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6/30/2022</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6/30/2021</w:t>
            </w:r>
          </w:p>
        </w:tc>
        <w:tc>
          <w:tcPr>
            <w:tcW w:w="100" w:type="dxa"/>
            <w:vAlign w:val="bottom"/>
          </w:tcPr>
          <w:p>
            <w:pPr>
              <w:spacing w:after="0"/>
              <w:rPr>
                <w:sz w:val="24"/>
                <w:szCs w:val="24"/>
                <w:color w:val="auto"/>
              </w:rPr>
            </w:pPr>
          </w:p>
        </w:tc>
      </w:tr>
      <w:tr>
        <w:trPr>
          <w:trHeight w:val="34"/>
        </w:trPr>
        <w:tc>
          <w:tcPr>
            <w:tcW w:w="760" w:type="dxa"/>
            <w:vAlign w:val="bottom"/>
            <w:tcBorders>
              <w:top w:val="single" w:sz="8" w:color="auto"/>
              <w:bottom w:val="single" w:sz="8" w:color="EEEEEE"/>
            </w:tcBorders>
          </w:tcPr>
          <w:p>
            <w:pPr>
              <w:spacing w:after="0"/>
              <w:rPr>
                <w:sz w:val="2"/>
                <w:szCs w:val="2"/>
                <w:color w:val="auto"/>
              </w:rPr>
            </w:pPr>
          </w:p>
        </w:tc>
        <w:tc>
          <w:tcPr>
            <w:tcW w:w="440" w:type="dxa"/>
            <w:vAlign w:val="bottom"/>
            <w:tcBorders>
              <w:top w:val="single" w:sz="8" w:color="auto"/>
              <w:bottom w:val="single" w:sz="8" w:color="EEEEEE"/>
            </w:tcBorders>
          </w:tcPr>
          <w:p>
            <w:pPr>
              <w:spacing w:after="0"/>
              <w:rPr>
                <w:sz w:val="2"/>
                <w:szCs w:val="2"/>
                <w:color w:val="auto"/>
              </w:rPr>
            </w:pPr>
          </w:p>
        </w:tc>
        <w:tc>
          <w:tcPr>
            <w:tcW w:w="120" w:type="dxa"/>
            <w:vAlign w:val="bottom"/>
            <w:tcBorders>
              <w:bottom w:val="single" w:sz="8" w:color="EEEEEE"/>
            </w:tcBorders>
          </w:tcPr>
          <w:p>
            <w:pPr>
              <w:spacing w:after="0"/>
              <w:rPr>
                <w:sz w:val="2"/>
                <w:szCs w:val="2"/>
                <w:color w:val="auto"/>
              </w:rPr>
            </w:pPr>
          </w:p>
        </w:tc>
        <w:tc>
          <w:tcPr>
            <w:tcW w:w="5720" w:type="dxa"/>
            <w:vAlign w:val="bottom"/>
            <w:tcBorders>
              <w:bottom w:val="single" w:sz="8" w:color="EEEEEE"/>
            </w:tcBorders>
          </w:tcPr>
          <w:p>
            <w:pPr>
              <w:spacing w:after="0"/>
              <w:rPr>
                <w:sz w:val="2"/>
                <w:szCs w:val="2"/>
                <w:color w:val="auto"/>
              </w:rPr>
            </w:pPr>
          </w:p>
        </w:tc>
        <w:tc>
          <w:tcPr>
            <w:tcW w:w="620" w:type="dxa"/>
            <w:vAlign w:val="bottom"/>
            <w:tcBorders>
              <w:bottom w:val="single" w:sz="8" w:color="EEEEEE"/>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EEEEEE"/>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EEEEE"/>
            </w:tcBorders>
          </w:tcPr>
          <w:p>
            <w:pPr>
              <w:spacing w:after="0"/>
              <w:rPr>
                <w:sz w:val="2"/>
                <w:szCs w:val="2"/>
                <w:color w:val="auto"/>
              </w:rPr>
            </w:pPr>
          </w:p>
        </w:tc>
      </w:tr>
      <w:tr>
        <w:trPr>
          <w:trHeight w:val="210"/>
        </w:trPr>
        <w:tc>
          <w:tcPr>
            <w:tcW w:w="704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Right of use asset - non-current</w:t>
            </w:r>
          </w:p>
        </w:tc>
        <w:tc>
          <w:tcPr>
            <w:tcW w:w="620" w:type="dxa"/>
            <w:vAlign w:val="bottom"/>
            <w:shd w:val="clear" w:color="auto" w:fill="EEEEEE"/>
          </w:tcPr>
          <w:p>
            <w:pPr>
              <w:spacing w:after="0"/>
              <w:rPr>
                <w:sz w:val="18"/>
                <w:szCs w:val="18"/>
                <w:color w:val="auto"/>
              </w:rPr>
            </w:pPr>
          </w:p>
        </w:tc>
        <w:tc>
          <w:tcPr>
            <w:tcW w:w="2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10,453,282</w:t>
            </w: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1,819,421</w:t>
            </w:r>
          </w:p>
        </w:tc>
        <w:tc>
          <w:tcPr>
            <w:tcW w:w="100" w:type="dxa"/>
            <w:vAlign w:val="bottom"/>
            <w:shd w:val="clear" w:color="auto" w:fill="EEEEEE"/>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40"/>
          </w:cols>
          <w:pgMar w:left="320" w:top="800"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Lease Liability - current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Lease Liability - non-current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Total operating lease liabilities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2,582,933</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731,944</w:t>
            </w: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8,265,611</w:t>
            </w: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1,169,552</w:t>
            </w:r>
          </w:p>
        </w:tc>
      </w:tr>
      <w:tr>
        <w:trPr>
          <w:trHeight w:val="223"/>
        </w:trPr>
        <w:tc>
          <w:tcPr>
            <w:tcW w:w="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10,848,544</w:t>
            </w:r>
          </w:p>
        </w:tc>
        <w:tc>
          <w:tcPr>
            <w:tcW w:w="3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1,901,496</w:t>
            </w: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-462280</wp:posOffset>
            </wp:positionV>
            <wp:extent cx="713232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-179070</wp:posOffset>
            </wp:positionV>
            <wp:extent cx="7132320" cy="1631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40" w:space="720"/>
            <w:col w:w="3580"/>
          </w:cols>
          <w:pgMar w:left="320" w:top="800" w:right="339" w:bottom="1440"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type w:val="continuous"/>
        </w:sectPr>
      </w:pPr>
    </w:p>
    <w:bookmarkStart w:id="86" w:name="page87"/>
    <w:bookmarkEnd w:id="86"/>
    <w:tbl>
      <w:tblPr>
        <w:tblLayout w:type="fixed"/>
        <w:tblInd w:w="0" w:type="dxa"/>
        <w:tblCellMar>
          <w:top w:w="0" w:type="dxa"/>
          <w:left w:w="0" w:type="dxa"/>
          <w:bottom w:w="0" w:type="dxa"/>
          <w:right w:w="0" w:type="dxa"/>
        </w:tblCellMar>
      </w:tblPr>
      <w:tr>
        <w:trPr>
          <w:trHeight w:val="230"/>
        </w:trPr>
        <w:tc>
          <w:tcPr>
            <w:tcW w:w="9560" w:type="dxa"/>
            <w:vAlign w:val="bottom"/>
          </w:tcPr>
          <w:p>
            <w:pPr>
              <w:spacing w:after="0"/>
              <w:rPr>
                <w:sz w:val="20"/>
                <w:szCs w:val="20"/>
                <w:color w:val="auto"/>
              </w:rPr>
            </w:pPr>
            <w:r>
              <w:rPr>
                <w:rFonts w:ascii="Arial" w:cs="Arial" w:eastAsia="Arial" w:hAnsi="Arial"/>
                <w:sz w:val="18"/>
                <w:szCs w:val="18"/>
                <w:color w:val="auto"/>
              </w:rPr>
              <w:t>Maturities of the Company’s lease liabilities are as follows:</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1"/>
        </w:trPr>
        <w:tc>
          <w:tcPr>
            <w:tcW w:w="9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Operating</w:t>
            </w:r>
          </w:p>
        </w:tc>
      </w:tr>
      <w:tr>
        <w:trPr>
          <w:trHeight w:val="230"/>
        </w:trPr>
        <w:tc>
          <w:tcPr>
            <w:tcW w:w="9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Lease</w:t>
            </w:r>
          </w:p>
        </w:tc>
      </w:tr>
      <w:tr>
        <w:trPr>
          <w:trHeight w:val="209"/>
        </w:trPr>
        <w:tc>
          <w:tcPr>
            <w:tcW w:w="95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For Year ending June 30:</w:t>
            </w:r>
          </w:p>
        </w:tc>
        <w:tc>
          <w:tcPr>
            <w:tcW w:w="260" w:type="dxa"/>
            <w:vAlign w:val="bottom"/>
            <w:tcBorders>
              <w:top w:val="single" w:sz="8" w:color="auto"/>
            </w:tcBorders>
            <w:shd w:val="clear" w:color="auto" w:fill="EEEEEE"/>
          </w:tcPr>
          <w:p>
            <w:pPr>
              <w:spacing w:after="0"/>
              <w:rPr>
                <w:sz w:val="18"/>
                <w:szCs w:val="18"/>
                <w:color w:val="auto"/>
              </w:rPr>
            </w:pPr>
          </w:p>
        </w:tc>
        <w:tc>
          <w:tcPr>
            <w:tcW w:w="132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2023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3,080,553</w:t>
            </w:r>
          </w:p>
        </w:tc>
      </w:tr>
      <w:tr>
        <w:trPr>
          <w:trHeight w:val="216"/>
        </w:trPr>
        <w:tc>
          <w:tcPr>
            <w:tcW w:w="9560" w:type="dxa"/>
            <w:vAlign w:val="bottom"/>
            <w:shd w:val="clear" w:color="auto" w:fill="EEEEEE"/>
          </w:tcPr>
          <w:p>
            <w:pPr>
              <w:spacing w:after="0"/>
              <w:rPr>
                <w:sz w:val="20"/>
                <w:szCs w:val="20"/>
                <w:color w:val="auto"/>
              </w:rPr>
            </w:pPr>
            <w:r>
              <w:rPr>
                <w:rFonts w:ascii="Arial" w:cs="Arial" w:eastAsia="Arial" w:hAnsi="Arial"/>
                <w:sz w:val="18"/>
                <w:szCs w:val="18"/>
                <w:color w:val="auto"/>
              </w:rPr>
              <w:t>2024</w:t>
            </w:r>
          </w:p>
        </w:tc>
        <w:tc>
          <w:tcPr>
            <w:tcW w:w="2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2,510,963</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2025</w:t>
            </w:r>
          </w:p>
        </w:tc>
        <w:tc>
          <w:tcPr>
            <w:tcW w:w="2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2,080,331</w:t>
            </w:r>
          </w:p>
        </w:tc>
      </w:tr>
      <w:tr>
        <w:trPr>
          <w:trHeight w:val="216"/>
        </w:trPr>
        <w:tc>
          <w:tcPr>
            <w:tcW w:w="9560" w:type="dxa"/>
            <w:vAlign w:val="bottom"/>
            <w:shd w:val="clear" w:color="auto" w:fill="EEEEEE"/>
          </w:tcPr>
          <w:p>
            <w:pPr>
              <w:spacing w:after="0"/>
              <w:rPr>
                <w:sz w:val="20"/>
                <w:szCs w:val="20"/>
                <w:color w:val="auto"/>
              </w:rPr>
            </w:pPr>
            <w:r>
              <w:rPr>
                <w:rFonts w:ascii="Arial" w:cs="Arial" w:eastAsia="Arial" w:hAnsi="Arial"/>
                <w:sz w:val="18"/>
                <w:szCs w:val="18"/>
                <w:color w:val="auto"/>
              </w:rPr>
              <w:t>2026</w:t>
            </w:r>
          </w:p>
        </w:tc>
        <w:tc>
          <w:tcPr>
            <w:tcW w:w="2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1,533,918</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2027</w:t>
            </w:r>
          </w:p>
        </w:tc>
        <w:tc>
          <w:tcPr>
            <w:tcW w:w="2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1,586,572</w:t>
            </w:r>
          </w:p>
        </w:tc>
      </w:tr>
      <w:tr>
        <w:trPr>
          <w:trHeight w:val="216"/>
        </w:trPr>
        <w:tc>
          <w:tcPr>
            <w:tcW w:w="9560" w:type="dxa"/>
            <w:vAlign w:val="bottom"/>
            <w:shd w:val="clear" w:color="auto" w:fill="EEEEEE"/>
          </w:tcPr>
          <w:p>
            <w:pPr>
              <w:spacing w:after="0"/>
              <w:rPr>
                <w:sz w:val="20"/>
                <w:szCs w:val="20"/>
                <w:color w:val="auto"/>
              </w:rPr>
            </w:pPr>
            <w:r>
              <w:rPr>
                <w:rFonts w:ascii="Arial" w:cs="Arial" w:eastAsia="Arial" w:hAnsi="Arial"/>
                <w:sz w:val="18"/>
                <w:szCs w:val="18"/>
                <w:color w:val="auto"/>
              </w:rPr>
              <w:t>2028 and after</w:t>
            </w:r>
          </w:p>
        </w:tc>
        <w:tc>
          <w:tcPr>
            <w:tcW w:w="2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1,459,407</w:t>
            </w:r>
          </w:p>
        </w:tc>
      </w:tr>
      <w:tr>
        <w:trPr>
          <w:trHeight w:val="229"/>
        </w:trPr>
        <w:tc>
          <w:tcPr>
            <w:tcW w:w="9560" w:type="dxa"/>
            <w:vAlign w:val="bottom"/>
          </w:tcPr>
          <w:p>
            <w:pPr>
              <w:spacing w:after="0"/>
              <w:rPr>
                <w:sz w:val="20"/>
                <w:szCs w:val="20"/>
                <w:color w:val="auto"/>
              </w:rPr>
            </w:pPr>
            <w:r>
              <w:rPr>
                <w:rFonts w:ascii="Arial" w:cs="Arial" w:eastAsia="Arial" w:hAnsi="Arial"/>
                <w:sz w:val="18"/>
                <w:szCs w:val="18"/>
                <w:color w:val="auto"/>
              </w:rPr>
              <w:t>Less: Imputed interest/present value discount</w:t>
            </w:r>
          </w:p>
        </w:tc>
        <w:tc>
          <w:tcPr>
            <w:tcW w:w="26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(1,403,200)</w:t>
            </w:r>
          </w:p>
        </w:tc>
      </w:tr>
      <w:tr>
        <w:trPr>
          <w:trHeight w:val="223"/>
        </w:trPr>
        <w:tc>
          <w:tcPr>
            <w:tcW w:w="95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Present value of lease liabilities</w:t>
            </w:r>
          </w:p>
        </w:tc>
        <w:tc>
          <w:tcPr>
            <w:tcW w:w="260" w:type="dxa"/>
            <w:vAlign w:val="bottom"/>
            <w:tcBorders>
              <w:top w:val="single" w:sz="8" w:color="auto"/>
              <w:bottom w:val="single" w:sz="8" w:color="auto"/>
            </w:tcBorders>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10,848,544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9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Contingencies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Except as disclosed below, the Company is not currently a party to any material legal proceedings, investigation or claims. As the Company may, from time to time, be involved in legal matters arising in the ordinary course of its business, there can be no assurance that such matters will not arise in the future or that any such matters in which the Company is involved, or which may arise in the ordinary course of the Company’s business, will not at some point proceed to litigation or that such litigation will not have a material adverse effect on the business, financial condition or results of operations of the Company.</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Pursuant to an engagement agreement, dated and effective August 31, 2020 (the “Engagement Agreement”), with Boustead Securities LLC (“Boustead”), the Company engaged Boustead to act as its exclusive placement agent for private placements of its securities and as a potential underwriter for its initial public offering. On February 28, 2021, the Company informed Boustead that it was terminating the Engagement Agreement and any continuing obligations the Company may have had under its terms. On April 15, 2021, the Company provided formal written notice to Boustead of its termination of the Engagement Agreement and all obligations thereunder, effective immediately. On April 30, 2021, Boustead filed a statement of claim with the Financial Institute Regulatory Authority, or FINRA, demanding to arbitrate the dispute, and is seeking, among other things, monetary damages against the Company and D.A. Davidson &amp; Co. (who acted as underwriter in the Company’s IPO). We are presently waiting for the FINRA panel to schedule a hearing date for the matter. The Company has agreed to indemnify D.A. Davidson &amp; Co. and the other underwriters against any liability or expense they may incur or be subject to arising out of the Boustead dispute. Additionally, Chenlong Tan, the Company’s Chairman, President and Chief Executive Officer and a beneficial owner more than 5% of the Company’s Common Stock, has agreed to reimburse the Company for any judgments, fines and amounts paid or actually incurred by the Company or an indemnitee in connection with such legal action or in connection with any settlement agreement entered into by the Company or an indemnitee up to a maximum of $3.5 million in the aggregate, with the sole source of funding of such reimbursement to come from sales of shares then owned by Mr. Tan. The Company cannot reasonably estimate the amount of potential exposure as of the date of this report.</w:t>
      </w:r>
    </w:p>
    <w:p>
      <w:pPr>
        <w:spacing w:after="0" w:line="17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an effort to contain or slow the COVID-19 outbreak, authorities across the world have implemented various measures, some of which have been subsequently rescinded or modified, including travel bans, stay-at-home orders and shutdowns of certain businesses. The Company anticipates that these actions and the global health crisis caused by the COVID-19 outbreak, including any resurgences, will continue to negatively impact global economic activity. While the COVID-19 outbreak has not had a material adverse impact on the Company’s operations to date, it is difficult to predict all of the positive or negative impacts the COVID-19 outbreak may have on the Company’s business in the future.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7" w:name="page88"/>
    <w:bookmarkEnd w:id="87"/>
    <w:p>
      <w:pPr>
        <w:jc w:val="both"/>
        <w:spacing w:after="0" w:line="273" w:lineRule="auto"/>
        <w:rPr>
          <w:sz w:val="20"/>
          <w:szCs w:val="20"/>
          <w:color w:val="auto"/>
        </w:rPr>
      </w:pPr>
      <w:r>
        <w:rPr>
          <w:rFonts w:ascii="Arial" w:cs="Arial" w:eastAsia="Arial" w:hAnsi="Arial"/>
          <w:sz w:val="17"/>
          <w:szCs w:val="17"/>
          <w:color w:val="auto"/>
        </w:rPr>
        <w:t>In February 2022, the Russian Federation began conducting military operations against Ukraine, resulting in global economic uncertainty and increased cost of various commodities. In response to these types of events, should they directly impact our supply chain or other operations, we may experience or be exposed to supply chain disruption which could cause us to seek alternate sources for product supply, or suffer consequences that are unexpected and difficult to mitigate. Any of these risks might have a materially adverse impact on our business operations and our financial position or results of operations. Although, it is difficult to predict the impact that these factors may have on our business in the future, they did not have a material effect on our results of operations, financial condition, or liquidity for the year ended June 30, 2022.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Subsequent events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through the date that the consolidated financial statements are available to be issued. No material subsequent events that required recognition or additional disclosure in the consolidated financial statements are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required by Rule 13a-15 of the Securities Exchange Act of 1934, as amended (“Exchange Act”), under the supervision and with the participation of our management, including our principal executive officer and principal financial officer, we evaluated the effectiveness of the design and operation of the Company’s disclosure controls and procedures and internal control over financial reporting as of the end of the period covered by this Annual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maintain disclosure controls and procedures as defined in Rules 13a-15(e) and 15d-15(e) of the Exchange Act that are designed to ensure that information required to be disclosed in our reports filed or submitted to the SEC under the Exchange Act is recorded, processed, summarized and reported within the time periods specified by the SEC’s rules and forms, and that information is accumulated and communicated to management, including the principal executive and financial officer as appropriate, to allow timely decisions regarding required disclosures. Our principal executive officer and principal financial officer evaluated the effectiveness of disclosure controls and procedures as of the end of the period covered by this Annual Report (“Evaluation Date”), pursuant to Rule 13a-15(b) under the Exchange Act. Based on that evaluation, our principal executive officer and principal financial officer concluded that, as of the Evaluation Date, our disclosure controls and procedures were not effective due to material weaknesses described in our report on internal control over financial reporting below.</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Notwithstanding the existence of the material weaknesses, we believe that the consolidated financial statements included in this report fairly present in accordance with U.S. GAAP, in all material respects, our financial condition, results of operations and cash flows for the periods presented in this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Limitations on the Effectiveness of Controls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control system, no matter how well conceived and operated, can provide only reasonable, not absolute, assurance that the objectives of the control system are met. Because of the inherent limitations in all controls systems, no evaluation of controls can provide absolute assurance that all control issues and instances of fraud, if any, within a company have been detected. Our disclosure controls and procedures are designed to provide reasonable assurance of achieving its objectives.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Management’s Report on Internal Control Over Financial Reporting</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principal executive officer and our principal accounting and financial officer are responsible for establishing and maintaining adequate internal control over financial reporting, as such term is defined in Exchange Act Rules 13a-15(f). Management conducted an assessment of the effectiveness of our internal control over financial reporting as of June 30, 2022. In making this assessment, management used the criteria described in Internal Control-Integrated Framework (2013) issued by the Committee of Sponsoring Organizations of the Treadway Commission (COSO). Based upon such assessment and due to the existence of the material weaknesses in our internal control over financial reporting described below, our principal executive officer and our principal accounting and financial officer have concluded that, as of June 30, 2022, our internal control over financial reporting was not effective because, among other things, (i) we did not maintain a sufficient complement of personnel with an appropriate degree of technical knowledge commensurate with the Company’s accounting and reporting requirements and complex transactions, (ii) we lack effective communication procedures in our controlled subsidiaries, and (iii) our controls related to the financial statements closing process were not adequately designed or appropriately implemented to identify material misstatements in our financial reporting on a timely basis. Management has evaluated remediation plans to address these deficiencies and is implementing changes to address the material weakness identified, including hiring additional accountants and consultants and implementing controls and procedures over the financial reporting process.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9" w:name="page90"/>
    <w:bookmarkEnd w:id="89"/>
    <w:p>
      <w:pPr>
        <w:jc w:val="both"/>
        <w:ind w:firstLine="648"/>
        <w:spacing w:after="0" w:line="259"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certain events. Because of these and other inherent limitations of control systems, there can be no assurance that any design will succeed in achieving its stated goals under all potential future conditions, regardless of how remote.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light of the material weaknesses described above, we performed additional analysis and other post-closing procedures to ensure our financial statements were prepared in accordance with generally accepted accounting principles. Accordingly, we believe that the consolidated financial statements included in this Annual Report on Form 10-K fairly present in accordance with U.S. GAAP, in all material respects, our financial condition, results of operations and cash flows for the periods presented in this Annual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been no changes in our internal controls over financial reporting that occurred during the fourth quarter ended June 30, 2022 that have materially affected, or are reasonably likely to materially affect, our internal controls over financial reporting.</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UHY LLP, our independent registered public accounting firm, is not required to and has not provided an assessment over the design or effectiveness of our internal controls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 and Directors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All of our directors hold office for one-year terms until the election and qualification of their successors. Officers are appointed by our Board and serve at the discretion of the Board, subject to applicable employment agreements. The following table sets forth information relating to our executive officers and members of our Board.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560" w:type="dxa"/>
            <w:vAlign w:val="bottom"/>
          </w:tcPr>
          <w:p>
            <w:pPr>
              <w:jc w:val="right"/>
              <w:ind w:right="550"/>
              <w:spacing w:after="0"/>
              <w:rPr>
                <w:sz w:val="20"/>
                <w:szCs w:val="20"/>
                <w:color w:val="auto"/>
              </w:rPr>
            </w:pPr>
            <w:r>
              <w:rPr>
                <w:rFonts w:ascii="Arial" w:cs="Arial" w:eastAsia="Arial" w:hAnsi="Arial"/>
                <w:sz w:val="18"/>
                <w:szCs w:val="18"/>
                <w:b w:val="1"/>
                <w:bCs w:val="1"/>
                <w:color w:val="auto"/>
              </w:rPr>
              <w:t>Age</w:t>
            </w:r>
          </w:p>
        </w:tc>
        <w:tc>
          <w:tcPr>
            <w:tcW w:w="220" w:type="dxa"/>
            <w:vAlign w:val="bottom"/>
          </w:tcPr>
          <w:p>
            <w:pPr>
              <w:spacing w:after="0"/>
              <w:rPr>
                <w:sz w:val="20"/>
                <w:szCs w:val="20"/>
                <w:color w:val="auto"/>
              </w:rPr>
            </w:pPr>
          </w:p>
        </w:tc>
        <w:tc>
          <w:tcPr>
            <w:tcW w:w="5280" w:type="dxa"/>
            <w:vAlign w:val="bottom"/>
          </w:tcPr>
          <w:p>
            <w:pPr>
              <w:ind w:left="2340"/>
              <w:spacing w:after="0"/>
              <w:rPr>
                <w:sz w:val="20"/>
                <w:szCs w:val="20"/>
                <w:color w:val="auto"/>
              </w:rPr>
            </w:pPr>
            <w:r>
              <w:rPr>
                <w:rFonts w:ascii="Arial" w:cs="Arial" w:eastAsia="Arial" w:hAnsi="Arial"/>
                <w:sz w:val="18"/>
                <w:szCs w:val="18"/>
                <w:b w:val="1"/>
                <w:bCs w:val="1"/>
                <w:color w:val="auto"/>
              </w:rPr>
              <w:t>Position</w:t>
            </w:r>
          </w:p>
        </w:tc>
      </w:tr>
      <w:tr>
        <w:trPr>
          <w:trHeight w:val="210"/>
        </w:trPr>
        <w:tc>
          <w:tcPr>
            <w:tcW w:w="406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Chenlong Tan</w:t>
            </w:r>
          </w:p>
        </w:tc>
        <w:tc>
          <w:tcPr>
            <w:tcW w:w="120" w:type="dxa"/>
            <w:vAlign w:val="bottom"/>
            <w:tcBorders>
              <w:top w:val="single" w:sz="8" w:color="EEEEEE"/>
            </w:tcBorders>
            <w:shd w:val="clear" w:color="auto" w:fill="EEEEEE"/>
          </w:tcPr>
          <w:p>
            <w:pPr>
              <w:spacing w:after="0"/>
              <w:rPr>
                <w:sz w:val="18"/>
                <w:szCs w:val="18"/>
                <w:color w:val="auto"/>
              </w:rPr>
            </w:pPr>
          </w:p>
        </w:tc>
        <w:tc>
          <w:tcPr>
            <w:tcW w:w="1560" w:type="dxa"/>
            <w:vAlign w:val="bottom"/>
            <w:tcBorders>
              <w:top w:val="single" w:sz="8" w:color="auto"/>
            </w:tcBorders>
            <w:shd w:val="clear" w:color="auto" w:fill="EEEEEE"/>
          </w:tcPr>
          <w:p>
            <w:pPr>
              <w:jc w:val="right"/>
              <w:ind w:right="550"/>
              <w:spacing w:after="0"/>
              <w:rPr>
                <w:sz w:val="20"/>
                <w:szCs w:val="20"/>
                <w:color w:val="auto"/>
              </w:rPr>
            </w:pPr>
            <w:r>
              <w:rPr>
                <w:rFonts w:ascii="Arial" w:cs="Arial" w:eastAsia="Arial" w:hAnsi="Arial"/>
                <w:sz w:val="18"/>
                <w:szCs w:val="18"/>
                <w:color w:val="auto"/>
              </w:rPr>
              <w:t>40</w:t>
            </w:r>
          </w:p>
        </w:tc>
        <w:tc>
          <w:tcPr>
            <w:tcW w:w="220" w:type="dxa"/>
            <w:vAlign w:val="bottom"/>
            <w:tcBorders>
              <w:top w:val="single" w:sz="8" w:color="EEEEEE"/>
            </w:tcBorders>
            <w:shd w:val="clear" w:color="auto" w:fill="EEEEEE"/>
          </w:tcPr>
          <w:p>
            <w:pPr>
              <w:spacing w:after="0"/>
              <w:rPr>
                <w:sz w:val="18"/>
                <w:szCs w:val="18"/>
                <w:color w:val="auto"/>
              </w:rPr>
            </w:pPr>
          </w:p>
        </w:tc>
        <w:tc>
          <w:tcPr>
            <w:tcW w:w="528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Chairman, CEO, President, and Director</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Kevin Vassily</w:t>
            </w:r>
          </w:p>
        </w:tc>
        <w:tc>
          <w:tcPr>
            <w:tcW w:w="1560" w:type="dxa"/>
            <w:vAlign w:val="bottom"/>
          </w:tcPr>
          <w:p>
            <w:pPr>
              <w:jc w:val="right"/>
              <w:ind w:right="550"/>
              <w:spacing w:after="0"/>
              <w:rPr>
                <w:sz w:val="20"/>
                <w:szCs w:val="20"/>
                <w:color w:val="auto"/>
              </w:rPr>
            </w:pPr>
            <w:r>
              <w:rPr>
                <w:rFonts w:ascii="Arial" w:cs="Arial" w:eastAsia="Arial" w:hAnsi="Arial"/>
                <w:sz w:val="18"/>
                <w:szCs w:val="18"/>
                <w:color w:val="auto"/>
              </w:rPr>
              <w:t>55</w:t>
            </w:r>
          </w:p>
        </w:tc>
        <w:tc>
          <w:tcPr>
            <w:tcW w:w="550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 and Director</w:t>
            </w:r>
          </w:p>
        </w:tc>
      </w:tr>
      <w:tr>
        <w:trPr>
          <w:trHeight w:val="216"/>
        </w:trPr>
        <w:tc>
          <w:tcPr>
            <w:tcW w:w="41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Bennet Tchaikovsky</w:t>
            </w:r>
          </w:p>
        </w:tc>
        <w:tc>
          <w:tcPr>
            <w:tcW w:w="1560" w:type="dxa"/>
            <w:vAlign w:val="bottom"/>
            <w:shd w:val="clear" w:color="auto" w:fill="EEEEEE"/>
          </w:tcPr>
          <w:p>
            <w:pPr>
              <w:jc w:val="right"/>
              <w:ind w:right="550"/>
              <w:spacing w:after="0"/>
              <w:rPr>
                <w:sz w:val="20"/>
                <w:szCs w:val="20"/>
                <w:color w:val="auto"/>
              </w:rPr>
            </w:pPr>
            <w:r>
              <w:rPr>
                <w:rFonts w:ascii="Arial" w:cs="Arial" w:eastAsia="Arial" w:hAnsi="Arial"/>
                <w:sz w:val="18"/>
                <w:szCs w:val="18"/>
                <w:color w:val="auto"/>
              </w:rPr>
              <w:t>53</w:t>
            </w:r>
          </w:p>
        </w:tc>
        <w:tc>
          <w:tcPr>
            <w:tcW w:w="550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Independent Director</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Hanxi Li</w:t>
            </w:r>
          </w:p>
        </w:tc>
        <w:tc>
          <w:tcPr>
            <w:tcW w:w="1560" w:type="dxa"/>
            <w:vAlign w:val="bottom"/>
          </w:tcPr>
          <w:p>
            <w:pPr>
              <w:jc w:val="right"/>
              <w:ind w:right="550"/>
              <w:spacing w:after="0"/>
              <w:rPr>
                <w:sz w:val="20"/>
                <w:szCs w:val="20"/>
                <w:color w:val="auto"/>
              </w:rPr>
            </w:pPr>
            <w:r>
              <w:rPr>
                <w:rFonts w:ascii="Arial" w:cs="Arial" w:eastAsia="Arial" w:hAnsi="Arial"/>
                <w:sz w:val="18"/>
                <w:szCs w:val="18"/>
                <w:color w:val="auto"/>
              </w:rPr>
              <w:t>35</w:t>
            </w:r>
          </w:p>
        </w:tc>
        <w:tc>
          <w:tcPr>
            <w:tcW w:w="5500" w:type="dxa"/>
            <w:vAlign w:val="bottom"/>
            <w:gridSpan w:val="2"/>
          </w:tcPr>
          <w:p>
            <w:pPr>
              <w:ind w:left="220"/>
              <w:spacing w:after="0"/>
              <w:rPr>
                <w:sz w:val="20"/>
                <w:szCs w:val="20"/>
                <w:color w:val="auto"/>
              </w:rPr>
            </w:pPr>
            <w:r>
              <w:rPr>
                <w:rFonts w:ascii="Arial" w:cs="Arial" w:eastAsia="Arial" w:hAnsi="Arial"/>
                <w:sz w:val="18"/>
                <w:szCs w:val="18"/>
                <w:color w:val="auto"/>
              </w:rPr>
              <w:t>Independent Director</w:t>
            </w:r>
          </w:p>
        </w:tc>
      </w:tr>
      <w:tr>
        <w:trPr>
          <w:trHeight w:val="216"/>
        </w:trPr>
        <w:tc>
          <w:tcPr>
            <w:tcW w:w="41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Kevin Liles</w:t>
            </w:r>
          </w:p>
        </w:tc>
        <w:tc>
          <w:tcPr>
            <w:tcW w:w="1560" w:type="dxa"/>
            <w:vAlign w:val="bottom"/>
            <w:shd w:val="clear" w:color="auto" w:fill="EEEEEE"/>
          </w:tcPr>
          <w:p>
            <w:pPr>
              <w:jc w:val="right"/>
              <w:ind w:right="550"/>
              <w:spacing w:after="0"/>
              <w:rPr>
                <w:sz w:val="20"/>
                <w:szCs w:val="20"/>
                <w:color w:val="auto"/>
              </w:rPr>
            </w:pPr>
            <w:r>
              <w:rPr>
                <w:rFonts w:ascii="Arial" w:cs="Arial" w:eastAsia="Arial" w:hAnsi="Arial"/>
                <w:sz w:val="18"/>
                <w:szCs w:val="18"/>
                <w:color w:val="auto"/>
              </w:rPr>
              <w:t>53</w:t>
            </w:r>
          </w:p>
        </w:tc>
        <w:tc>
          <w:tcPr>
            <w:tcW w:w="550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Independent Director</w:t>
            </w:r>
          </w:p>
        </w:tc>
      </w:tr>
    </w:tbl>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Chenlong Tan</w:t>
      </w:r>
      <w:r>
        <w:rPr>
          <w:rFonts w:ascii="Arial" w:cs="Arial" w:eastAsia="Arial" w:hAnsi="Arial"/>
          <w:sz w:val="18"/>
          <w:szCs w:val="18"/>
          <w:color w:val="auto"/>
        </w:rPr>
        <w:t>. Mr. Tan cofounded our Company in 2018 and is the Chairman, Chief Executive Officer and President. He has held the position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Executive Officer since April 2018 and assumed the positions of Chairman, President and Interim Chief Financial Officer in January 2020. Mr. Tan held the position of Interim Chief Financial Officer until January 2021. From 2010 until 2018, Mr. Tan was the cofounder, Chief Executive Officer and Chief Information Officer at our predecessor, BizRight LLC, where he built the business from the ground up to achieve $20 million in sales through data driven development. From 2002 until 2010, Mr. Tan served as a Solution Architect and Senior Software Engineer at various companies, where he took a lead role, managing consultants, business architects and project managers, in working with healthcare companies in completing scoping requirements, solution gathering and project management, among other things. Mr. Tan received his B. Sc. at the University of Auckland in New Zealand, where he graduated with honors.</w:t>
      </w:r>
    </w:p>
    <w:p>
      <w:pPr>
        <w:spacing w:after="0" w:line="19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b w:val="1"/>
          <w:bCs w:val="1"/>
          <w:i w:val="1"/>
          <w:iCs w:val="1"/>
          <w:color w:val="auto"/>
        </w:rPr>
        <w:t xml:space="preserve">Kevin Vassily. </w:t>
      </w:r>
      <w:r>
        <w:rPr>
          <w:rFonts w:ascii="Arial" w:cs="Arial" w:eastAsia="Arial" w:hAnsi="Arial"/>
          <w:sz w:val="17"/>
          <w:szCs w:val="17"/>
          <w:color w:val="auto"/>
        </w:rPr>
        <w:t>Mr. Vassily was appointed as our Chief Financial Officer in January 2021. Mr. Vassily was also appointed as a member of our board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directors in March 2021. Prior to joining iPower, from 2019 to January 2021, Mr. Vassily served as Vice President of Market Development for Facteus, a financial analytics company focused on the Asset Management industry. From October 2018 through its acquisition in 2020, Mr. Vassily served as an advisor at Go Capture, where he was responsible for providing strategic, business development, and product development advisory services for the company’s emerging “Data as a Service” platform. Since February 2020, Mr. Vassily has served as a director of Zhongchao Inc., a provider of healthcare information, education and training services to healthcare professionals and the public in China. Since July 2018, Mr. Vassily has also served as an advisor at Prometheus Fund, a Shanghai- based merchant bank/PE firm focused on the “green” economy. And from 2015 through 2018, Mr. Vassily served as an associate director of research at Keybanc Capital Markets, and helped to co-manage the Technology Research vertical. From 2010 to 2014, he served as the director of research at Pacific Epoch (a wholly-owned subsidiary of Pacific Crest Securities), where he was responsible for a complete overhaul of product and a complete business model restart post acquisition, re focusing the firm around a “data-first” research offering. From 2007 to 2010, he served as the Asia Technology business development representative and as a senior analyst at Pacific Crest Securities, responsible for establishing the firm’s presence and relevance covering Asia Technology. From 2003 to 2006, he served as senior research analyst in the semiconductor technology group at Susquehanna International Group, responsible for research in semiconductor and related technologies. From 2001 to 2003, Mr. Vassily served as the vice president and senior research analyst for semiconductor capital equipment at Thomas Weisel Partners, responsible for publishing research and maintaining financial models on each of the companies under coverage. Mr. Vassily began his career on Wall Street in 1998, as a research associate covering the semiconductor industry at Lehman Brothers. He holds a B.A. in liberal arts from Denison University and an M.B.A. from the Tuck School of Business at Dartmouth College.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1" w:name="page92"/>
    <w:bookmarkEnd w:id="91"/>
    <w:p>
      <w:pPr>
        <w:jc w:val="both"/>
        <w:ind w:firstLine="648"/>
        <w:spacing w:after="0" w:line="285" w:lineRule="auto"/>
        <w:rPr>
          <w:sz w:val="20"/>
          <w:szCs w:val="20"/>
          <w:color w:val="auto"/>
        </w:rPr>
      </w:pPr>
      <w:r>
        <w:rPr>
          <w:rFonts w:ascii="Arial" w:cs="Arial" w:eastAsia="Arial" w:hAnsi="Arial"/>
          <w:sz w:val="16"/>
          <w:szCs w:val="16"/>
          <w:b w:val="1"/>
          <w:bCs w:val="1"/>
          <w:i w:val="1"/>
          <w:iCs w:val="1"/>
          <w:color w:val="auto"/>
        </w:rPr>
        <w:t xml:space="preserve">Bennet Tchaikovsky. </w:t>
      </w:r>
      <w:r>
        <w:rPr>
          <w:rFonts w:ascii="Arial" w:cs="Arial" w:eastAsia="Arial" w:hAnsi="Arial"/>
          <w:sz w:val="16"/>
          <w:szCs w:val="16"/>
          <w:color w:val="auto"/>
        </w:rPr>
        <w:t>Mr. Tchaikovsky serves as a member of our board of directors, a position he has held since May 2021, following completion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our initial public offering, and serves as chair of the audit committee. Since August 2014, Mr. Tchaikovsky has been a full-time professor at Irvine Valley College and a part-time accounting instructor at California State University, Fullerton. From January 2020 through December 2021, Mr. Tchaikovsky served as a member of the board of directors for Oriental Culture Holding Group, Ltd. (NASDAQ: OCG). From February 2021 through July 2022, Mr. Tchaikovsky served as a member of the board of directors for Industrial Human Capital, Inc. (NYSE: AXH). From September 2020 through December 2021, Mr. Tchaikovsky served as a part-time accounting instructor at Long Beach City College. From August 2018 to May 2019, Mr. Tchaikovsky was a part-time instructor at Chapman University. From November 2013 to August 2019, Mr. Tchaikovsky served as a board member and chairman of the audit committee of Ener-Core, Inc. (OTCMKTS: ENCR). From August 2013 to May 2014, Mr. Tchaikovsky was a part-time faculty member of Irvine Valley College and a part-time faculty member of Pasadena City College. Mr. Tchaikovsky has served as a director on the board of directors of China Jo-Jo Drugstores, Inc. (NASDAQ: CJJD) from August 2011 to January 2013 and as its chief financial officer from September 2009 to July 2011. From April 2010 to August 2013, Mr. Tchaikovsky has served as chief financial officer of VLOV, Inc. From May 2008 to April 2010, Mr. Tchaikovsky has served as chief financial officer of Skystar Bio-Pharmaceutical Company. From March 2008 to November 2009, Mr. Tchaikovsky served as a director on the board of directors of Ever-Glory International Group (NASDAQ: EVK), where he served as chairman of the audit committee and was a member of the compensation committee. From December 2008 through November 2009, Mr. Tchaikovsky served as a director of Sino Clean Energy, Inc. Mr. Tchaikovsky received his Juris Doctorate degree from Southwestern Law School in December 1996 and his Bachelor of Arts degree in Business Economics from University of California at Santa Barbara in August 1991. Mr. Tchaikovsky is a licensed Certified Public Accountant in California and is an active member of the California State Bar. We believe that Mr. Tchaikovsky’s extensive experience in accounting and business will benefit the Company’s business and operations and make him a valuable member of the board of directors and its committees.</w:t>
      </w:r>
    </w:p>
    <w:p>
      <w:pPr>
        <w:spacing w:after="0" w:line="39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i w:val="1"/>
          <w:iCs w:val="1"/>
          <w:color w:val="auto"/>
        </w:rPr>
        <w:t>Hanxi Li</w:t>
      </w:r>
      <w:r>
        <w:rPr>
          <w:rFonts w:ascii="Arial" w:cs="Arial" w:eastAsia="Arial" w:hAnsi="Arial"/>
          <w:sz w:val="16"/>
          <w:szCs w:val="16"/>
          <w:color w:val="auto"/>
        </w:rPr>
        <w:t>. Ms. Li was appointed to serve as a director on our board of directors on December 23, 2021 and serves as chair of our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Ms. Li has more than a decade of marketing experience working with Fortune 50 companies and international conferences. Since 2019, Ms. Li has served as Vice President of Marketing for Elegantz Productions LLC. In this role, she executed branding and marketing campaigns targeting the United States region for Sequoia Capital and Xiaomi. She also formed a long-term partnership with ByteDance Ltd. and Ciwen Media. From 2017 to 2018, she was the marketing director of the Company’s predecessor, Bizright LLC, where she was in charge of the company’s branding and marketing strategies, including the expansion of the company’s social media marketing. From 2013 to 2016, Ms. Li was a partner at a private video studio where she worked with top companies across industries, including Bluefocus, and executed a performance project in China National Olympic Park. From 2011 to 2014, as publicity supervisor for the China National Convention Center, Ms. Li led efforts for branding and media channels for national and international meetings. Her long track record as a successful marketing leader makes her ideally suited to serving as a member of our board of directors.</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Kevin Liles</w:t>
      </w:r>
      <w:r>
        <w:rPr>
          <w:rFonts w:ascii="Arial" w:cs="Arial" w:eastAsia="Arial" w:hAnsi="Arial"/>
          <w:sz w:val="16"/>
          <w:szCs w:val="16"/>
          <w:color w:val="auto"/>
        </w:rPr>
        <w:t>. Mr. Liles was appointed to serve as a member of our board of directors commencing May 2021, upon completion of our initial public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offering, and serves as chair of the nominating and corporate governance committee. Since 2012, Mr. Liles has been co-founder of 300 Entertainment, a music company whose roster includes acts across multiple genres including hip-hop, rock, pop, electronic, and alternative. From 2009 until present, Mr. Liles is a founder of KWL Enterprise, a niche brand management solutions company. From 2004 until 2009, Mr. Liles was an executive vice president of Warner Music, where he oversaw global strategy and was pivotal in building the artist services division into what is now a $200 million business. From 1998 until 2004, Mr. Liles was president of Def Jam Recordings and executive vice president of The Island Def Jam Music Group, where he amplified the brand’s influence through introducing Def College Jam, opening five international offices, launching successful video game franchises, and doubling revenue to $400 million. Mr. Liles has long been focused on philanthropic work, with a focus on global education and entrepreneurship, culminating in his receipt of the 2010 Medaille de la Ville de Paris award for his contribution to Parisian culture. Mr. Liles holds an honorary Doctor of Law degree from Morgan State University, where he studied engineering and electrical engineering as an undergraduate. We believe Mr. Liles’ extensive entrepreneurial and business experience, as well as his extensive knowledge in the area of social media, will assist us in our growth plans going forward.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i w:val="1"/>
          <w:iCs w:val="1"/>
          <w:color w:val="auto"/>
        </w:rPr>
        <w:t>Family Relationships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family relationships among any of our officers or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Involvement in Certain Legal Proceedings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our knowledge, during the past ten years, none of our directors, executive officers, promoters, control persons, or nominees has:</w:t>
      </w:r>
    </w:p>
    <w:p>
      <w:pPr>
        <w:spacing w:after="0" w:line="225" w:lineRule="exact"/>
        <w:rPr>
          <w:sz w:val="20"/>
          <w:szCs w:val="20"/>
          <w:color w:val="auto"/>
        </w:rPr>
      </w:pPr>
    </w:p>
    <w:p>
      <w:pPr>
        <w:jc w:val="both"/>
        <w:ind w:left="980" w:hanging="324"/>
        <w:spacing w:after="0" w:line="255"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had any bankruptcy petition filed by or against the business or property of the person, or of any partnership, corporation or business association of which he was a general partner or executive officer, either at the time of the bankruptcy filing or within two years prior to that time;</w:t>
      </w:r>
    </w:p>
    <w:p>
      <w:pPr>
        <w:spacing w:after="0" w:line="2"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been convicted in a criminal proceeding or been subject to a pending criminal proceeding (excluding traffic violations and other minor offenses);</w:t>
      </w:r>
    </w:p>
    <w:p>
      <w:pPr>
        <w:jc w:val="both"/>
        <w:ind w:left="980" w:hanging="324"/>
        <w:spacing w:after="0" w:line="250"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been subject to any order, judgment, or decree, not subsequently reversed, suspended or vacated, of any court of competent jurisdiction or federal or state authority, permanently or temporarily enjoining, barring, suspending or otherwise limiting, his involvement in any type of business, securities, futures, commodities, investment, banking, savings and loan, or insurance activities, or to be associated with persons engaged in any such activity;</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been found by a court of competent jurisdiction in a civil action or by the SEC or the Commodity Futures Trading Commission to have violated a federal or state securities or commodities law, and the judgment has not been reversed, suspended, or vacated;</w:t>
      </w:r>
    </w:p>
    <w:p>
      <w:pPr>
        <w:jc w:val="both"/>
        <w:ind w:left="980" w:hanging="324"/>
        <w:spacing w:after="0" w:line="250"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been the subject of, or a party to, any federal or state judicial or administrative order, judgment, decree, or finding, not subsequently reversed, suspended or vacated (not including any settlement of a civil proceeding among private litigants), relating to an alleged violation of any federal or state securities or commodities law or regulation, any law or regulation respecting financial institutions or insurance companies including, but not limited to, a temporary or permanent injunction, order of disgorgement or restitution, civil money penalty or temporary or permanent cease-and-desist order, or removal or prohibition order, or any law or regulation prohibiting mail or wire fraud or fraud in connection with any business entity; or</w:t>
      </w:r>
    </w:p>
    <w:p>
      <w:pPr>
        <w:spacing w:after="0" w:line="2" w:lineRule="exact"/>
        <w:rPr>
          <w:rFonts w:ascii="Arial" w:cs="Arial" w:eastAsia="Arial" w:hAnsi="Arial"/>
          <w:sz w:val="18"/>
          <w:szCs w:val="18"/>
          <w:color w:val="auto"/>
        </w:rPr>
      </w:pPr>
    </w:p>
    <w:p>
      <w:pPr>
        <w:jc w:val="both"/>
        <w:ind w:left="980" w:hanging="324"/>
        <w:spacing w:after="0" w:line="253"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been the subject of, or a party to, any sanction or order, not subsequently reversed, suspended or vacated, of any self-regulatory organization (as defined in Section 3(a)(26) of the Exchange Act), any registered entity (as defined in Section 1(a)(29) of the Commodity Exchange Act), or any equivalent exchange, association, entity or organization that has disciplinary authority over its members or persons associated with a member.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Committees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board of directors has established an Audit Committee, a Compensation Committee and a Nominating and Corporate Governance Committee.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Each of these committees operates under a charter that has been approved by our board of directors, as set forth below.</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Audit Committee</w:t>
      </w:r>
      <w:r>
        <w:rPr>
          <w:rFonts w:ascii="Arial" w:cs="Arial" w:eastAsia="Arial" w:hAnsi="Arial"/>
          <w:sz w:val="18"/>
          <w:szCs w:val="18"/>
          <w:color w:val="auto"/>
        </w:rPr>
        <w:t>. Our Audit Committee consists of three independent directors. The members of the Audit Committee are Mr. Tchaikovsky, 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 and Mr. Liles. The Audit Committee consists exclusively of directors who are financially literate and Mr. Tchaikovsky serves as chair of the Audit Committee. As a licensed certified public accountant, Mr. Tchaikovsky is considered an “audit committee financial expert” as defined by the SEC’s rules and regulations.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93" w:name="page94"/>
    <w:bookmarkEnd w:id="93"/>
    <w:p>
      <w:pPr>
        <w:ind w:left="660"/>
        <w:spacing w:after="0"/>
        <w:rPr>
          <w:sz w:val="20"/>
          <w:szCs w:val="20"/>
          <w:color w:val="auto"/>
        </w:rPr>
      </w:pPr>
      <w:r>
        <w:rPr>
          <w:rFonts w:ascii="Arial" w:cs="Arial" w:eastAsia="Arial" w:hAnsi="Arial"/>
          <w:sz w:val="18"/>
          <w:szCs w:val="18"/>
          <w:color w:val="auto"/>
        </w:rPr>
        <w:t>The audit committee responsibilities include:</w:t>
      </w:r>
    </w:p>
    <w:p>
      <w:pPr>
        <w:spacing w:after="0" w:line="225" w:lineRule="exact"/>
        <w:rPr>
          <w:sz w:val="20"/>
          <w:szCs w:val="20"/>
          <w:color w:val="auto"/>
        </w:rPr>
      </w:pPr>
    </w:p>
    <w:p>
      <w:pPr>
        <w:ind w:left="1300" w:hanging="320"/>
        <w:spacing w:after="0" w:line="258"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overseeing the compensation and work of and performance by our independent auditor and any other registered public accounting firm performing audit, review or attestation services for us;</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engaging, retaining and terminating our independent auditor and determining the terms thereof;</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assessing the qualifications, performance and independence of the independent auditor;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evaluating whether the provision of permitted non-audit services is compatible with maintaining the auditor’s independence;</w:t>
      </w:r>
    </w:p>
    <w:p>
      <w:pPr>
        <w:spacing w:after="0" w:line="9" w:lineRule="exact"/>
        <w:rPr>
          <w:rFonts w:ascii="Arial" w:cs="Arial" w:eastAsia="Arial" w:hAnsi="Arial"/>
          <w:sz w:val="18"/>
          <w:szCs w:val="18"/>
          <w:color w:val="auto"/>
        </w:rPr>
      </w:pPr>
    </w:p>
    <w:p>
      <w:pPr>
        <w:ind w:left="1300" w:hanging="320"/>
        <w:spacing w:after="0" w:line="250"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and discussing the audit results, including any comments and recommendations of the independent auditor and the responses of management to such recommendations;</w:t>
      </w: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and discussing the annual and quarterly financial statements with management and the independent auditor;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producing a committee report for inclusion in applicable SEC filings;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the adequacy and effectiveness of internal controls and procedures;</w:t>
      </w:r>
    </w:p>
    <w:p>
      <w:pPr>
        <w:spacing w:after="0" w:line="9"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establishing procedures regarding the receipt, retention and treatment of complaints received regarding the accounting, internal accounting controls, or auditing matters and conducting or authorizing investigations into any matters within the scope of the responsibility of the audit committee; and</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transactions with related persons for potential conflict of interest situations.</w:t>
      </w:r>
    </w:p>
    <w:p>
      <w:pPr>
        <w:spacing w:after="0" w:line="211"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b w:val="1"/>
          <w:bCs w:val="1"/>
          <w:i w:val="1"/>
          <w:iCs w:val="1"/>
          <w:color w:val="auto"/>
        </w:rPr>
        <w:t>Compensation Committee</w:t>
      </w:r>
      <w:r>
        <w:rPr>
          <w:rFonts w:ascii="Arial" w:cs="Arial" w:eastAsia="Arial" w:hAnsi="Arial"/>
          <w:sz w:val="16"/>
          <w:szCs w:val="16"/>
          <w:color w:val="auto"/>
        </w:rPr>
        <w:t>. Our Compensation Committee consists of three independent directors. The members of the Compensation Committee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Ms. Li, Mr. Tchaikovsky and Mr. Liles. Ms. Li serves as the chair of the Compensation Committee. The committee has primary responsibility for:</w:t>
      </w:r>
    </w:p>
    <w:p>
      <w:pPr>
        <w:spacing w:after="0" w:line="124" w:lineRule="exact"/>
        <w:rPr>
          <w:sz w:val="20"/>
          <w:szCs w:val="20"/>
          <w:color w:val="auto"/>
        </w:rPr>
      </w:pPr>
    </w:p>
    <w:p>
      <w:pPr>
        <w:ind w:left="1300" w:right="20" w:hanging="320"/>
        <w:spacing w:after="0" w:line="258"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and recommending all elements and amounts of compensation for each executive officer, including any performance goals applicable to those executive officers;</w:t>
      </w:r>
    </w:p>
    <w:p>
      <w:pPr>
        <w:spacing w:after="0" w:line="1" w:lineRule="exact"/>
        <w:rPr>
          <w:rFonts w:ascii="Arial" w:cs="Arial" w:eastAsia="Arial" w:hAnsi="Arial"/>
          <w:sz w:val="18"/>
          <w:szCs w:val="18"/>
          <w:color w:val="auto"/>
        </w:rPr>
      </w:pPr>
    </w:p>
    <w:p>
      <w:pPr>
        <w:ind w:left="1300" w:hanging="320"/>
        <w:spacing w:after="0" w:line="250"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and recommending for approval the adoption, any amendment and termination of all cash and equity-based incentive compensation plans;</w:t>
      </w: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once required by applicable law, causing to be prepared a committee report for inclusion in applicable SEC filings;</w:t>
      </w:r>
    </w:p>
    <w:p>
      <w:pPr>
        <w:spacing w:after="0" w:line="9" w:lineRule="exact"/>
        <w:rPr>
          <w:rFonts w:ascii="Arial" w:cs="Arial" w:eastAsia="Arial" w:hAnsi="Arial"/>
          <w:sz w:val="18"/>
          <w:szCs w:val="18"/>
          <w:color w:val="auto"/>
        </w:rPr>
      </w:pPr>
    </w:p>
    <w:p>
      <w:pPr>
        <w:ind w:left="1300" w:hanging="320"/>
        <w:spacing w:after="0" w:line="250"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approving any employment agreements, severance agreements or change of control agreements that are entered into with the CEO and certain executive officers; and</w:t>
      </w: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and recommending the level and form of non-employee director compensation and benefits.</w:t>
      </w:r>
    </w:p>
    <w:p>
      <w:pPr>
        <w:spacing w:after="0" w:line="21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b w:val="1"/>
          <w:bCs w:val="1"/>
          <w:i w:val="1"/>
          <w:iCs w:val="1"/>
          <w:color w:val="auto"/>
        </w:rPr>
        <w:t>Nominating and Governance Committee</w:t>
      </w:r>
      <w:r>
        <w:rPr>
          <w:rFonts w:ascii="Arial" w:cs="Arial" w:eastAsia="Arial" w:hAnsi="Arial"/>
          <w:sz w:val="18"/>
          <w:szCs w:val="18"/>
          <w:color w:val="auto"/>
        </w:rPr>
        <w:t>. The Nominating and Governance Committee consists of three independent directors. The members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Nominating and Governance Committee are Mr. Liles, Ms. Li and Mr. Tchaikovsky. Mr. Liles serves as chair of the Nominating and Corporate Governance Committee. The Nominating and Corporate Governance Committee’s responsibilities include:</w:t>
      </w:r>
    </w:p>
    <w:p>
      <w:pPr>
        <w:spacing w:after="0" w:line="184" w:lineRule="exact"/>
        <w:rPr>
          <w:sz w:val="20"/>
          <w:szCs w:val="20"/>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recommending persons for election as directors by the stockholders;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recommending persons for appointment as directors to the extent necessary to fill any vacancies or newly created directorships;</w:t>
      </w:r>
    </w:p>
    <w:p>
      <w:pPr>
        <w:spacing w:after="0" w:line="20" w:lineRule="exact"/>
        <w:rPr>
          <w:rFonts w:ascii="Arial" w:cs="Arial" w:eastAsia="Arial" w:hAnsi="Arial"/>
          <w:sz w:val="17"/>
          <w:szCs w:val="17"/>
          <w:color w:val="auto"/>
        </w:rPr>
      </w:pPr>
    </w:p>
    <w:p>
      <w:pPr>
        <w:ind w:left="1300" w:hanging="320"/>
        <w:spacing w:after="0"/>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reviewing annually the skills and characteristics required of directors and each incumbent director’s continued service on the board;</w:t>
      </w:r>
    </w:p>
    <w:p>
      <w:pPr>
        <w:spacing w:after="0" w:line="20" w:lineRule="exact"/>
        <w:rPr>
          <w:rFonts w:ascii="Arial" w:cs="Arial" w:eastAsia="Arial" w:hAnsi="Arial"/>
          <w:sz w:val="17"/>
          <w:szCs w:val="17"/>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reviewing any stockholder proposals and nominations for directors;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advising the board of directors on the appropriate structure and operations of the board and its committees;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reviewing and recommending standing board committee assignments;</w:t>
      </w:r>
    </w:p>
    <w:p>
      <w:pPr>
        <w:spacing w:after="0" w:line="9" w:lineRule="exact"/>
        <w:rPr>
          <w:rFonts w:ascii="Arial" w:cs="Arial" w:eastAsia="Arial" w:hAnsi="Arial"/>
          <w:sz w:val="18"/>
          <w:szCs w:val="18"/>
          <w:color w:val="auto"/>
        </w:rPr>
      </w:pPr>
    </w:p>
    <w:p>
      <w:pPr>
        <w:ind w:left="1300" w:hanging="320"/>
        <w:spacing w:after="0" w:line="281" w:lineRule="auto"/>
        <w:tabs>
          <w:tab w:leader="none" w:pos="13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developing and recommending to the board Corporate Governance Guidelines, a Code of Business Conduct and Ethics and other corporate governance policies and programs and reviewing such guidelines, code and any other policies and programs at least annually;</w:t>
      </w:r>
    </w:p>
    <w:p>
      <w:pPr>
        <w:spacing w:after="0" w:line="1" w:lineRule="exact"/>
        <w:rPr>
          <w:rFonts w:ascii="Arial" w:cs="Arial" w:eastAsia="Arial" w:hAnsi="Arial"/>
          <w:sz w:val="16"/>
          <w:szCs w:val="16"/>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making recommendations to the board as to determinations of director independence;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making recommendations to the board regarding corporate governance based upon developments, trends, and best practices.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Nominating and Governance Committee will consider stockholder recommendations for candidates for the board of directors.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adopted a formal Code of Business Conduct and Ethics that is applicable to every officer, director, employee and consultant (the “Employees”) of the Company and its affiliates. The Code reaffirms the high standards of business conduct required of all of the Company’s Employees.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Insider Trading Policy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has adopted an insider trading policy to help the Company’s Employees comply with federal and state securities laws, prevent insider trading and govern the terms and conditions at which the Employees can trade in the Company’s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of Directors Liability and Indemnification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Nevada Revised Statutes (“NRS”) authorizes corporations to limit or eliminate, subject to certain conditions, the personal liability of directors to corporations and their stockholders for monetary damages for breach of their fiduciary duties.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iPower maintains stand-alone director and officer liability insurance to cover liabilities our directors and officers may incur in connection with their services to us, including matters arising under the Securities Act. In addition, Nevada law and our bylaws provide that we will indemnify our directors and officers who, by reason of the fact that he or she is an officer or director, is involved in a legal proceeding of any nature.</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is no pending litigation or proceeding against any of our directors, officers, employees or agents in which indemnification will be required or permitted. We are not aware of any threatened litigation or proceeding which may result in a claim for such indemnification.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 date, we have no specific indemnification agreements with our directors or executive officers. However, our officers and directors are entitled to indemnification through our bylaws and to the extent allowed pursuant to the Nevada Revised Statutes, federal securities law and our directors and officers liability insurance.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Section 16(a) of the Securities Exchange Act requires our executive officers and directors, and persons who own more than 10% of our common stock, to file reports regarding ownership of, and transactions in, our securities with the Securities and Exchange Commission and to provide us with copies of those filings. Based solely on our review of the copies of such forms furnished to us and written representations by our officers and directors regarding their compliance with applicable reporting requirements under Section 16(a) of the Exchange Act, we believe that all Section 16(a) filing requirements for our executive officers, directors and 10% stockholders were met during the year ended June 30, 2021.</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information regarding the total compensation earned by our executive officers who were serving as executive officers as of June 30, 2022 for services rendered in all capacities to us for the fiscal years ended June 30, 2022 and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Stock Based</w:t>
            </w: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Salary</w:t>
            </w:r>
          </w:p>
        </w:tc>
        <w:tc>
          <w:tcPr>
            <w:tcW w:w="1440" w:type="dxa"/>
            <w:vAlign w:val="bottom"/>
            <w:gridSpan w:val="2"/>
          </w:tcPr>
          <w:p>
            <w:pPr>
              <w:ind w:left="320"/>
              <w:spacing w:after="0"/>
              <w:rPr>
                <w:sz w:val="20"/>
                <w:szCs w:val="20"/>
                <w:color w:val="auto"/>
              </w:rPr>
            </w:pPr>
            <w:r>
              <w:rPr>
                <w:rFonts w:ascii="Arial" w:cs="Arial" w:eastAsia="Arial" w:hAnsi="Arial"/>
                <w:sz w:val="18"/>
                <w:szCs w:val="18"/>
                <w:b w:val="1"/>
                <w:bCs w:val="1"/>
                <w:color w:val="auto"/>
              </w:rPr>
              <w:t>Bonus</w:t>
            </w: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Awards</w:t>
            </w:r>
          </w:p>
        </w:tc>
        <w:tc>
          <w:tcPr>
            <w:tcW w:w="154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Others</w:t>
            </w:r>
          </w:p>
        </w:tc>
        <w:tc>
          <w:tcPr>
            <w:tcW w:w="122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r>
      <w:tr>
        <w:trPr>
          <w:trHeight w:val="234"/>
        </w:trPr>
        <w:tc>
          <w:tcPr>
            <w:tcW w:w="2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and Principal Position</w:t>
            </w:r>
          </w:p>
        </w:tc>
        <w:tc>
          <w:tcPr>
            <w:tcW w:w="220" w:type="dxa"/>
            <w:vAlign w:val="bottom"/>
            <w:tcBorders>
              <w:bottom w:val="single" w:sz="8" w:color="EEEEEE"/>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Year</w:t>
            </w:r>
          </w:p>
        </w:tc>
        <w:tc>
          <w:tcPr>
            <w:tcW w:w="340" w:type="dxa"/>
            <w:vAlign w:val="bottom"/>
            <w:tcBorders>
              <w:bottom w:val="single" w:sz="8" w:color="EEEEEE"/>
            </w:tcBorders>
          </w:tcPr>
          <w:p>
            <w:pPr>
              <w:spacing w:after="0"/>
              <w:rPr>
                <w:sz w:val="20"/>
                <w:szCs w:val="20"/>
                <w:color w:val="auto"/>
              </w:rPr>
            </w:pPr>
          </w:p>
        </w:tc>
        <w:tc>
          <w:tcPr>
            <w:tcW w:w="11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($USD)</w:t>
            </w:r>
          </w:p>
        </w:tc>
        <w:tc>
          <w:tcPr>
            <w:tcW w:w="320" w:type="dxa"/>
            <w:vAlign w:val="bottom"/>
            <w:tcBorders>
              <w:bottom w:val="single" w:sz="8" w:color="EEEEEE"/>
            </w:tcBorders>
          </w:tcPr>
          <w:p>
            <w:pPr>
              <w:spacing w:after="0"/>
              <w:rPr>
                <w:sz w:val="20"/>
                <w:szCs w:val="20"/>
                <w:color w:val="auto"/>
              </w:rPr>
            </w:pP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($USD)</w:t>
            </w:r>
          </w:p>
        </w:tc>
        <w:tc>
          <w:tcPr>
            <w:tcW w:w="320" w:type="dxa"/>
            <w:vAlign w:val="bottom"/>
            <w:tcBorders>
              <w:bottom w:val="single" w:sz="8" w:color="EEEEEE"/>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($USD)</w:t>
            </w:r>
          </w:p>
        </w:tc>
        <w:tc>
          <w:tcPr>
            <w:tcW w:w="320" w:type="dxa"/>
            <w:vAlign w:val="bottom"/>
            <w:tcBorders>
              <w:bottom w:val="single" w:sz="8" w:color="EEEEEE"/>
            </w:tcBorders>
          </w:tcPr>
          <w:p>
            <w:pPr>
              <w:spacing w:after="0"/>
              <w:rPr>
                <w:sz w:val="20"/>
                <w:szCs w:val="20"/>
                <w:color w:val="auto"/>
              </w:rPr>
            </w:pP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($USD)</w:t>
            </w:r>
          </w:p>
        </w:tc>
        <w:tc>
          <w:tcPr>
            <w:tcW w:w="420" w:type="dxa"/>
            <w:vAlign w:val="bottom"/>
            <w:tcBorders>
              <w:bottom w:val="single" w:sz="8" w:color="EEEEEE"/>
            </w:tcBorders>
          </w:tcPr>
          <w:p>
            <w:pPr>
              <w:spacing w:after="0"/>
              <w:rPr>
                <w:sz w:val="20"/>
                <w:szCs w:val="20"/>
                <w:color w:val="auto"/>
              </w:rPr>
            </w:pP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($USD)</w:t>
            </w:r>
          </w:p>
        </w:tc>
        <w:tc>
          <w:tcPr>
            <w:tcW w:w="100" w:type="dxa"/>
            <w:vAlign w:val="bottom"/>
            <w:tcBorders>
              <w:bottom w:val="single" w:sz="8" w:color="EEEEEE"/>
            </w:tcBorders>
          </w:tcPr>
          <w:p>
            <w:pPr>
              <w:spacing w:after="0"/>
              <w:rPr>
                <w:sz w:val="20"/>
                <w:szCs w:val="20"/>
                <w:color w:val="auto"/>
              </w:rPr>
            </w:pPr>
          </w:p>
        </w:tc>
      </w:tr>
      <w:tr>
        <w:trPr>
          <w:trHeight w:val="210"/>
        </w:trPr>
        <w:tc>
          <w:tcPr>
            <w:tcW w:w="2500" w:type="dxa"/>
            <w:vAlign w:val="bottom"/>
            <w:shd w:val="clear" w:color="auto" w:fill="EEEEEE"/>
          </w:tcPr>
          <w:p>
            <w:pPr>
              <w:spacing w:after="0"/>
              <w:rPr>
                <w:sz w:val="20"/>
                <w:szCs w:val="20"/>
                <w:color w:val="auto"/>
              </w:rPr>
            </w:pPr>
            <w:r>
              <w:rPr>
                <w:rFonts w:ascii="Arial" w:cs="Arial" w:eastAsia="Arial" w:hAnsi="Arial"/>
                <w:sz w:val="18"/>
                <w:szCs w:val="18"/>
                <w:color w:val="auto"/>
              </w:rPr>
              <w:t>Chenlong Tan</w:t>
            </w: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jc w:val="right"/>
              <w:ind w:right="250"/>
              <w:spacing w:after="0"/>
              <w:rPr>
                <w:sz w:val="20"/>
                <w:szCs w:val="20"/>
                <w:color w:val="auto"/>
              </w:rPr>
            </w:pPr>
            <w:r>
              <w:rPr>
                <w:rFonts w:ascii="Arial" w:cs="Arial" w:eastAsia="Arial" w:hAnsi="Arial"/>
                <w:sz w:val="18"/>
                <w:szCs w:val="18"/>
                <w:color w:val="auto"/>
              </w:rPr>
              <w:t>2022</w:t>
            </w:r>
          </w:p>
        </w:tc>
        <w:tc>
          <w:tcPr>
            <w:tcW w:w="340" w:type="dxa"/>
            <w:vAlign w:val="bottom"/>
            <w:shd w:val="clear" w:color="auto" w:fill="EEEEEE"/>
          </w:tcPr>
          <w:p>
            <w:pPr>
              <w:spacing w:after="0"/>
              <w:rPr>
                <w:sz w:val="18"/>
                <w:szCs w:val="18"/>
                <w:color w:val="auto"/>
              </w:rPr>
            </w:pP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264,000</w:t>
            </w:r>
          </w:p>
        </w:tc>
        <w:tc>
          <w:tcPr>
            <w:tcW w:w="320" w:type="dxa"/>
            <w:vAlign w:val="bottom"/>
            <w:shd w:val="clear" w:color="auto" w:fill="EEEEEE"/>
          </w:tcPr>
          <w:p>
            <w:pPr>
              <w:spacing w:after="0"/>
              <w:rPr>
                <w:sz w:val="18"/>
                <w:szCs w:val="18"/>
                <w:color w:val="auto"/>
              </w:rPr>
            </w:pP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94,250</w:t>
            </w:r>
          </w:p>
        </w:tc>
        <w:tc>
          <w:tcPr>
            <w:tcW w:w="320" w:type="dxa"/>
            <w:vAlign w:val="bottom"/>
            <w:shd w:val="clear" w:color="auto" w:fill="EEEEEE"/>
          </w:tcPr>
          <w:p>
            <w:pPr>
              <w:spacing w:after="0"/>
              <w:rPr>
                <w:sz w:val="18"/>
                <w:szCs w:val="18"/>
                <w:color w:val="auto"/>
              </w:rPr>
            </w:pP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62,647(1)</w:t>
            </w: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420,897</w:t>
            </w:r>
          </w:p>
        </w:tc>
        <w:tc>
          <w:tcPr>
            <w:tcW w:w="100" w:type="dxa"/>
            <w:vAlign w:val="bottom"/>
            <w:shd w:val="clear" w:color="auto" w:fill="EEEEEE"/>
          </w:tcPr>
          <w:p>
            <w:pPr>
              <w:spacing w:after="0"/>
              <w:rPr>
                <w:sz w:val="18"/>
                <w:szCs w:val="18"/>
                <w:color w:val="auto"/>
              </w:rPr>
            </w:pPr>
          </w:p>
        </w:tc>
      </w:tr>
      <w:tr>
        <w:trPr>
          <w:trHeight w:val="216"/>
        </w:trPr>
        <w:tc>
          <w:tcPr>
            <w:tcW w:w="250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Chairman, CEO, President</w:t>
            </w: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jc w:val="right"/>
              <w:ind w:right="250"/>
              <w:spacing w:after="0"/>
              <w:rPr>
                <w:sz w:val="20"/>
                <w:szCs w:val="20"/>
                <w:color w:val="auto"/>
              </w:rPr>
            </w:pPr>
            <w:r>
              <w:rPr>
                <w:rFonts w:ascii="Arial" w:cs="Arial" w:eastAsia="Arial" w:hAnsi="Arial"/>
                <w:sz w:val="18"/>
                <w:szCs w:val="18"/>
                <w:color w:val="auto"/>
              </w:rPr>
              <w:t>2021</w:t>
            </w:r>
          </w:p>
        </w:tc>
        <w:tc>
          <w:tcPr>
            <w:tcW w:w="34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240,000</w:t>
            </w:r>
          </w:p>
        </w:tc>
        <w:tc>
          <w:tcPr>
            <w:tcW w:w="14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33,554(1)</w:t>
            </w: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270,429</w:t>
            </w:r>
          </w:p>
        </w:tc>
      </w:tr>
      <w:tr>
        <w:trPr>
          <w:trHeight w:val="216"/>
        </w:trPr>
        <w:tc>
          <w:tcPr>
            <w:tcW w:w="272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shd w:val="clear" w:color="auto" w:fill="EEEEEE"/>
          </w:tcPr>
          <w:p>
            <w:pPr>
              <w:spacing w:after="0"/>
              <w:rPr>
                <w:sz w:val="20"/>
                <w:szCs w:val="20"/>
                <w:color w:val="auto"/>
              </w:rPr>
            </w:pPr>
            <w:r>
              <w:rPr>
                <w:rFonts w:ascii="Arial" w:cs="Arial" w:eastAsia="Arial" w:hAnsi="Arial"/>
                <w:sz w:val="18"/>
                <w:szCs w:val="18"/>
                <w:color w:val="auto"/>
              </w:rPr>
              <w:t>Kevin Vassily</w:t>
            </w: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jc w:val="right"/>
              <w:ind w:right="250"/>
              <w:spacing w:after="0"/>
              <w:rPr>
                <w:sz w:val="20"/>
                <w:szCs w:val="20"/>
                <w:color w:val="auto"/>
              </w:rPr>
            </w:pPr>
            <w:r>
              <w:rPr>
                <w:rFonts w:ascii="Arial" w:cs="Arial" w:eastAsia="Arial" w:hAnsi="Arial"/>
                <w:sz w:val="18"/>
                <w:szCs w:val="18"/>
                <w:color w:val="auto"/>
              </w:rPr>
              <w:t>2022</w:t>
            </w:r>
          </w:p>
        </w:tc>
        <w:tc>
          <w:tcPr>
            <w:tcW w:w="34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240,000</w:t>
            </w:r>
          </w:p>
        </w:tc>
        <w:tc>
          <w:tcPr>
            <w:tcW w:w="14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120,000</w:t>
            </w:r>
          </w:p>
        </w:tc>
        <w:tc>
          <w:tcPr>
            <w:tcW w:w="14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60,000</w:t>
            </w:r>
          </w:p>
        </w:tc>
        <w:tc>
          <w:tcPr>
            <w:tcW w:w="154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420,000</w:t>
            </w:r>
          </w:p>
        </w:tc>
      </w:tr>
      <w:tr>
        <w:trPr>
          <w:trHeight w:val="216"/>
        </w:trPr>
        <w:tc>
          <w:tcPr>
            <w:tcW w:w="250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Chief Financial Officer</w:t>
            </w: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jc w:val="right"/>
              <w:ind w:right="250"/>
              <w:spacing w:after="0"/>
              <w:rPr>
                <w:sz w:val="20"/>
                <w:szCs w:val="20"/>
                <w:color w:val="auto"/>
              </w:rPr>
            </w:pPr>
            <w:r>
              <w:rPr>
                <w:rFonts w:ascii="Arial" w:cs="Arial" w:eastAsia="Arial" w:hAnsi="Arial"/>
                <w:sz w:val="18"/>
                <w:szCs w:val="18"/>
                <w:color w:val="auto"/>
              </w:rPr>
              <w:t>2021</w:t>
            </w:r>
          </w:p>
        </w:tc>
        <w:tc>
          <w:tcPr>
            <w:tcW w:w="34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90,952</w:t>
            </w:r>
          </w:p>
        </w:tc>
        <w:tc>
          <w:tcPr>
            <w:tcW w:w="14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90,952</w:t>
            </w:r>
          </w:p>
        </w:tc>
      </w:tr>
      <w:tr>
        <w:trPr>
          <w:trHeight w:val="245"/>
        </w:trPr>
        <w:tc>
          <w:tcPr>
            <w:tcW w:w="2500" w:type="dxa"/>
            <w:vAlign w:val="bottom"/>
          </w:tcPr>
          <w:p>
            <w:pPr>
              <w:spacing w:after="0" w:line="245" w:lineRule="exact"/>
              <w:rPr>
                <w:sz w:val="20"/>
                <w:szCs w:val="20"/>
                <w:color w:val="auto"/>
              </w:rPr>
            </w:pPr>
            <w:r>
              <w:rPr>
                <w:rFonts w:ascii="Arial" w:cs="Arial" w:eastAsia="Arial" w:hAnsi="Arial"/>
                <w:sz w:val="22"/>
                <w:szCs w:val="22"/>
                <w:color w:val="auto"/>
                <w:w w:val="81"/>
              </w:rPr>
              <w:t>_________________________</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rPr>
          <w:sz w:val="20"/>
          <w:szCs w:val="20"/>
          <w:color w:val="auto"/>
        </w:rPr>
      </w:pPr>
      <w:r>
        <w:rPr>
          <w:rFonts w:ascii="Arial" w:cs="Arial" w:eastAsia="Arial" w:hAnsi="Arial"/>
          <w:sz w:val="18"/>
          <w:szCs w:val="18"/>
          <w:color w:val="auto"/>
        </w:rPr>
        <w:t>(1) Consists of the costs of leasing a car.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 with Chenlong Tan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July 1, 2020, we entered into an employment agreement with our Chief Executive Officer, Chenlong Tan. Under Mr. Tan’s employment agreement, Mr. Tan receives base compensation of $20,000 per month, is entitled to performance cash bonus compensation based on achievement of certain pre-determined goals, and from time to time may be granted restricted common shares and/or options to purchase shares of the Company’s Common Stock, subject to Board or Compensation Committee approval. In addition, during the term of Mr. Tan’s employment agreement, we are also leasing a motor vehicle for Mr. Tan’s daily use. Mr. Tan is not entitled to any severance rights under his employment agreement. Mr. Tan’s employment agreement has a term of five years, is thereafter renewable on an annual basis, and may be terminated upon 30 days’ notice upon the mutual agreement of Mr. Tan and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 with Kevin Vassily</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January 29, 2021, we entered into an employment agreement with our Chief Financial Officer, Kevin Vassily. Under Mr. Vassily’s employment agreement, Mr. Vassily receives base compensation of $240,000, is entitled to an annual guaranteed bonus of $60,000 upon achievement of certain milestones and up to an additional $60,000 in the sole discretion of the Company’s Board of Directors at January 29, 2022. Mr. Vassily is also entitled to 12,000 restricted stock units upon completion of our IPO. Thereafter, stock grants will be adjusted based on the awards from each prior year. Mr. Vassily is not entitled to any severance rights under his employment agreement and may be terminated upon 30 days’ written notice by either party.</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i w:val="1"/>
          <w:iCs w:val="1"/>
          <w:color w:val="auto"/>
        </w:rPr>
        <w:t>Outstanding Equity Awards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June 30, 2022</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information regarding outstanding equity awards held by our named executive officers as of June 30, 2022.</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Options</w:t>
            </w: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90"/>
              </w:rPr>
              <w:t>Restricted Stock Unit Awards</w:t>
            </w:r>
          </w:p>
        </w:tc>
      </w:tr>
      <w:tr>
        <w:trPr>
          <w:trHeight w:val="191"/>
        </w:trPr>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left="10"/>
              <w:spacing w:after="0" w:line="191" w:lineRule="exact"/>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3"/>
              </w:rPr>
              <w:t>Number of</w:t>
            </w:r>
          </w:p>
        </w:tc>
        <w:tc>
          <w:tcPr>
            <w:tcW w:w="110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1"/>
              </w:rPr>
              <w:t>Number of</w:t>
            </w: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85"/>
              </w:rPr>
              <w:t>securities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Securities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Option</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Securities</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left="30"/>
              <w:spacing w:after="0"/>
              <w:rPr>
                <w:sz w:val="20"/>
                <w:szCs w:val="20"/>
                <w:color w:val="auto"/>
              </w:rPr>
            </w:pPr>
            <w:r>
              <w:rPr>
                <w:rFonts w:ascii="Arial" w:cs="Arial" w:eastAsia="Arial" w:hAnsi="Arial"/>
                <w:sz w:val="18"/>
                <w:szCs w:val="18"/>
                <w:b w:val="1"/>
                <w:bCs w:val="1"/>
                <w:color w:val="auto"/>
                <w:w w:val="91"/>
              </w:rPr>
              <w:t>Underlying</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Underlying</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Exercise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Option</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Underlying</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Underlying</w:t>
            </w: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Options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Options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Price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Expiration</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RSUs (#)</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RSUs(#)</w:t>
            </w:r>
          </w:p>
        </w:tc>
      </w:tr>
      <w:tr>
        <w:trPr>
          <w:trHeight w:val="234"/>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Grant Date</w:t>
            </w:r>
          </w:p>
        </w:tc>
        <w:tc>
          <w:tcPr>
            <w:tcW w:w="1020" w:type="dxa"/>
            <w:vAlign w:val="bottom"/>
          </w:tcPr>
          <w:p>
            <w:pPr>
              <w:jc w:val="center"/>
              <w:ind w:left="30"/>
              <w:spacing w:after="0"/>
              <w:rPr>
                <w:sz w:val="20"/>
                <w:szCs w:val="20"/>
                <w:color w:val="auto"/>
              </w:rPr>
            </w:pPr>
            <w:r>
              <w:rPr>
                <w:rFonts w:ascii="Arial" w:cs="Arial" w:eastAsia="Arial" w:hAnsi="Arial"/>
                <w:sz w:val="18"/>
                <w:szCs w:val="18"/>
                <w:b w:val="1"/>
                <w:bCs w:val="1"/>
                <w:color w:val="auto"/>
                <w:w w:val="84"/>
              </w:rPr>
              <w:t>Vested</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Unvested</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date</w:t>
            </w: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Vested</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Unvested</w:t>
            </w:r>
          </w:p>
        </w:tc>
      </w:tr>
      <w:tr>
        <w:trPr>
          <w:trHeight w:val="209"/>
        </w:trPr>
        <w:tc>
          <w:tcPr>
            <w:tcW w:w="204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Lawrence Tan</w:t>
            </w:r>
          </w:p>
        </w:tc>
        <w:tc>
          <w:tcPr>
            <w:tcW w:w="120" w:type="dxa"/>
            <w:vAlign w:val="bottom"/>
            <w:tcBorders>
              <w:top w:val="single" w:sz="8" w:color="EEEEEE"/>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9"/>
              </w:rPr>
              <w:t>5/13/2022</w:t>
            </w:r>
          </w:p>
        </w:tc>
        <w:tc>
          <w:tcPr>
            <w:tcW w:w="12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9"/>
              </w:rPr>
              <w:t>0</w:t>
            </w:r>
          </w:p>
        </w:tc>
        <w:tc>
          <w:tcPr>
            <w:tcW w:w="240" w:type="dxa"/>
            <w:vAlign w:val="bottom"/>
            <w:tcBorders>
              <w:top w:val="single" w:sz="8" w:color="EEEEEE"/>
            </w:tcBorders>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3,000,000</w:t>
            </w:r>
          </w:p>
        </w:tc>
        <w:tc>
          <w:tcPr>
            <w:tcW w:w="1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Borders>
              <w:top w:val="single" w:sz="8" w:color="EEEEEE"/>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9"/>
              </w:rPr>
              <w:t>5/12/2032</w:t>
            </w:r>
          </w:p>
        </w:tc>
        <w:tc>
          <w:tcPr>
            <w:tcW w:w="12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ind w:left="90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rPr>
              <w:t>Kevin Vassily (1)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5/11/2021</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12,000</w:t>
            </w:r>
          </w:p>
        </w:tc>
        <w:tc>
          <w:tcPr>
            <w:tcW w:w="1100" w:type="dxa"/>
            <w:vAlign w:val="bottom"/>
            <w:gridSpan w:val="2"/>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20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5/13/2022</w:t>
            </w: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3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99"/>
              </w:rPr>
              <w:t>0</w:t>
            </w:r>
          </w:p>
        </w:tc>
        <w:tc>
          <w:tcPr>
            <w:tcW w:w="12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330,000</w:t>
            </w:r>
          </w:p>
        </w:tc>
        <w:tc>
          <w:tcPr>
            <w:tcW w:w="340" w:type="dxa"/>
            <w:vAlign w:val="bottom"/>
            <w:gridSpan w:val="2"/>
            <w:shd w:val="clear" w:color="auto" w:fill="EEEEEE"/>
          </w:tcPr>
          <w:p>
            <w:pPr>
              <w:jc w:val="right"/>
              <w:ind w:right="6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1.12</w:t>
            </w:r>
          </w:p>
        </w:tc>
        <w:tc>
          <w:tcPr>
            <w:tcW w:w="12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5/12/2032</w:t>
            </w:r>
          </w:p>
        </w:tc>
        <w:tc>
          <w:tcPr>
            <w:tcW w:w="1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ind w:left="9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Total number of RSUs granted was 12,000, all of which had vested as of June 30,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reimburse all members of our board of directors for their direct out of pocket expenses incurred in attending meetings of our board. This table summarizes the compensation paid to each of our independent directors who served in such capacity during the fiscal year ended June 30, 2022.</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Fees Earned or</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6"/>
              </w:rPr>
              <w:t>Stock Based</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Paid in Cash</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Awards</w:t>
            </w:r>
          </w:p>
        </w:tc>
        <w:tc>
          <w:tcPr>
            <w:tcW w:w="1100" w:type="dxa"/>
            <w:vAlign w:val="bottom"/>
          </w:tcPr>
          <w:p>
            <w:pPr>
              <w:jc w:val="right"/>
              <w:ind w:right="101"/>
              <w:spacing w:after="0"/>
              <w:rPr>
                <w:sz w:val="20"/>
                <w:szCs w:val="20"/>
                <w:color w:val="auto"/>
              </w:rPr>
            </w:pPr>
            <w:r>
              <w:rPr>
                <w:rFonts w:ascii="Arial" w:cs="Arial" w:eastAsia="Arial" w:hAnsi="Arial"/>
                <w:sz w:val="18"/>
                <w:szCs w:val="18"/>
                <w:b w:val="1"/>
                <w:bCs w:val="1"/>
                <w:color w:val="auto"/>
              </w:rPr>
              <w:t>Others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Total</w:t>
            </w:r>
          </w:p>
        </w:tc>
      </w:tr>
      <w:tr>
        <w:trPr>
          <w:trHeight w:val="234"/>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80" w:type="dxa"/>
            <w:vAlign w:val="bottom"/>
          </w:tcPr>
          <w:p>
            <w:pPr>
              <w:spacing w:after="0"/>
              <w:rPr>
                <w:sz w:val="20"/>
                <w:szCs w:val="20"/>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($USD)</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6"/>
              </w:rPr>
              <w:t>($USD)</w:t>
            </w:r>
          </w:p>
        </w:tc>
        <w:tc>
          <w:tcPr>
            <w:tcW w:w="1100" w:type="dxa"/>
            <w:vAlign w:val="bottom"/>
          </w:tcPr>
          <w:p>
            <w:pPr>
              <w:jc w:val="right"/>
              <w:ind w:right="81"/>
              <w:spacing w:after="0"/>
              <w:rPr>
                <w:sz w:val="20"/>
                <w:szCs w:val="20"/>
                <w:color w:val="auto"/>
              </w:rPr>
            </w:pPr>
            <w:r>
              <w:rPr>
                <w:rFonts w:ascii="Arial" w:cs="Arial" w:eastAsia="Arial" w:hAnsi="Arial"/>
                <w:sz w:val="18"/>
                <w:szCs w:val="18"/>
                <w:b w:val="1"/>
                <w:bCs w:val="1"/>
                <w:color w:val="auto"/>
              </w:rPr>
              <w:t>($USD)</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($USD)</w:t>
            </w:r>
          </w:p>
        </w:tc>
      </w:tr>
      <w:tr>
        <w:trPr>
          <w:trHeight w:val="210"/>
        </w:trPr>
        <w:tc>
          <w:tcPr>
            <w:tcW w:w="450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Bennet Tchaikovsky</w:t>
            </w:r>
          </w:p>
        </w:tc>
        <w:tc>
          <w:tcPr>
            <w:tcW w:w="24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30,000</w:t>
            </w:r>
          </w:p>
        </w:tc>
        <w:tc>
          <w:tcPr>
            <w:tcW w:w="1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30,000</w:t>
            </w:r>
          </w:p>
        </w:tc>
        <w:tc>
          <w:tcPr>
            <w:tcW w:w="320" w:type="dxa"/>
            <w:vAlign w:val="bottom"/>
            <w:tcBorders>
              <w:top w:val="single" w:sz="8" w:color="EEEEEE"/>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jc w:val="right"/>
              <w:ind w:right="941"/>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EEEEEE"/>
          </w:tcPr>
          <w:p>
            <w:pPr>
              <w:ind w:left="14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Danilo Cacciamatta*</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12,500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22,500</w:t>
            </w:r>
          </w:p>
        </w:tc>
        <w:tc>
          <w:tcPr>
            <w:tcW w:w="1100" w:type="dxa"/>
            <w:vAlign w:val="bottom"/>
          </w:tcPr>
          <w:p>
            <w:pPr>
              <w:jc w:val="right"/>
              <w:ind w:right="941"/>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35,000</w:t>
            </w:r>
          </w:p>
        </w:tc>
      </w:tr>
      <w:tr>
        <w:trPr>
          <w:trHeight w:val="216"/>
        </w:trPr>
        <w:tc>
          <w:tcPr>
            <w:tcW w:w="4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Kevin Liles</w:t>
            </w:r>
          </w:p>
        </w:tc>
        <w:tc>
          <w:tcPr>
            <w:tcW w:w="8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25,000</w:t>
            </w: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30,000</w:t>
            </w:r>
          </w:p>
        </w:tc>
        <w:tc>
          <w:tcPr>
            <w:tcW w:w="1100" w:type="dxa"/>
            <w:vAlign w:val="bottom"/>
            <w:shd w:val="clear" w:color="auto" w:fill="EEEEEE"/>
          </w:tcPr>
          <w:p>
            <w:pPr>
              <w:jc w:val="right"/>
              <w:ind w:right="941"/>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EEEEEE"/>
          </w:tcPr>
          <w:p>
            <w:pPr>
              <w:jc w:val="right"/>
              <w:ind w:right="8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55,000</w:t>
            </w: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Hanxi Li*</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12,500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15,000</w:t>
            </w:r>
          </w:p>
        </w:tc>
        <w:tc>
          <w:tcPr>
            <w:tcW w:w="1100" w:type="dxa"/>
            <w:vAlign w:val="bottom"/>
          </w:tcPr>
          <w:p>
            <w:pPr>
              <w:jc w:val="right"/>
              <w:ind w:right="941"/>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27,500</w:t>
            </w: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Cacciamatta stepped down from his position of independent director on December 21, 2021 and Ms. Li was appointed to the position of director on December 23, 2021.</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independent directors each receive (i) $25,000 annual cash compensation, payable in equal quarterly installments, and (ii) $30,000 in restricted stock units (“RSUs”), which were issued pursuant to our 2020 Equity Incentive Plan. Aside from Ms. Li, who received stock compensation on the date of her appointment in December 2021, which vests quarterly in equal installments over one year, all other directors’ stock compensation has fully vested. . In addition, the chairman of our audit committee is entitled to receive an additional $5,000 annual retainer for his additional responsibilities, which retainer will be payable in equal quarterly installments. Directors will also be reimbursed for reasonable expenses incurred in connection with the performance of their duties. No compensation has been awarded to any directors who were not executive officers for the fiscal years ended June 30, 2022 and 2021.</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October 15, 2020, the Company’s Board adopted, and its stockholders approved and ratified, the iPower Inc. 2020 Equity Incentive Plan. Further on May 5, 2021, the Company’s Board of Directors adopted, and its stockholders approved and ratified, the iPower Inc. Amended and Restated 2020 Equity Incentive Plan (the “Plan”). The Plan allows for the issuance of up to 5,000,000 shares of Common Stock, whether in the form of options, restricted stock, restricted stock units, stock appreciation rights, performance units, performance shares and other stock or cash awards. The general purpose of the Plan is to provide an incentive to the Company’s directors, officers, employees, consultants and advisors by enabling them to share in the future growth of the Company’s business. The board of directors believes that granting of equity-based compensation serves to promote continuity of management and provide for a shared interest in the welfare, growth and development of the Company. The Company believes that the Plan will serve to advance the Company’s interests by enhancing its ability to (i) attract and retain employees, consultants, directors and advisors who are able to contribute to the Company’s ongoing success and development, (ii) reward those employees, consultants, directors and advisors for their contributions to the Company, and (iii) encourage employees, consultants, directors and advisors to participate in the Company’s long-term growth and success.</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Following completion of the IPO on May 11, 2021, pursuant to their letter agreements, the Company awarded 46,546 restricted stock units (“RSUs”) under the Plan to its independent directors, Chief Financial Officer, and certain other employees and consultants, all of which are subject to certain vesting conditions in the next 12 months and restrictions until filing of a Form S-8 for registration of the shares. During the year ended June 30, 2022, the Company granted additional 97,128 shares of RSUs to employees and consultants,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13, 2022, the Company grant stock options (the “Option Grants”) in the amount of (i) 3,000,000 shares to Chenlong Tan, CEO and (ii) 330,000 shares to Kevin Vassily, CFO. The Option Grants have an exercise price of $1.12 per share (the closing price on the grant date) and have a term of 10 years, will vest in stages upon the Company’s achievement of certain pre-determined market capitalization and revenue or operating income targets set forth in the grant agreements.</w:t>
      </w:r>
    </w:p>
    <w:p>
      <w:pPr>
        <w:spacing w:after="0" w:line="18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number of shares of common stock beneficially owned as of September 27, 2022 by:</w:t>
      </w:r>
    </w:p>
    <w:p>
      <w:pPr>
        <w:spacing w:after="0" w:line="225"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of our stockholders who is known by us to beneficially own 5% or more of our common stock;</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of our executive officers;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of our directors and current executives as a group.</w:t>
      </w:r>
    </w:p>
    <w:p>
      <w:pPr>
        <w:spacing w:after="0" w:line="21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Beneficial ownership is determined based on the rules and regulations of the SEC. A person has beneficial ownership of shares if such individual has the power to vote and/or dispose of shares. This power may be sole or shared and direct or indirect. Applicable percentage ownership in the following table is based on the total of 29,572,382 shares of Common Stock outstanding as of September 27, 2022. In computing the number of shares beneficially owned by a person and the percentage ownership of that person, shares of common stock that are subject to options or warrants held by that person and exercisable as of, or within sixty (60) days of, the date of this Annual Report. These shares, however, are not counted as outstanding for the purposes of computing the percentage ownership of any other person(s). Except as may be indicated in the footnotes to this table and pursuant to applicable community property laws, each person named in the table has sole voting and dispositive power with respect to the shares of common stock set forth opposite that person’s name. Unless indicated below, the address of each individual listed below is c/o iPower Inc., 2399 Bateman Avenue, Duarte, CA 91010.</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4"/>
              </w:rPr>
              <w:t>No. of Shares Common</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Total Percentage of</w:t>
            </w:r>
          </w:p>
        </w:tc>
      </w:tr>
      <w:tr>
        <w:trPr>
          <w:trHeight w:val="234"/>
        </w:trPr>
        <w:tc>
          <w:tcPr>
            <w:tcW w:w="7100" w:type="dxa"/>
            <w:vAlign w:val="bottom"/>
            <w:gridSpan w:val="2"/>
          </w:tcPr>
          <w:p>
            <w:pPr>
              <w:ind w:left="2480"/>
              <w:spacing w:after="0"/>
              <w:rPr>
                <w:sz w:val="20"/>
                <w:szCs w:val="20"/>
                <w:color w:val="auto"/>
              </w:rPr>
            </w:pPr>
            <w:r>
              <w:rPr>
                <w:rFonts w:ascii="Arial" w:cs="Arial" w:eastAsia="Arial" w:hAnsi="Arial"/>
                <w:sz w:val="18"/>
                <w:szCs w:val="18"/>
                <w:b w:val="1"/>
                <w:bCs w:val="1"/>
                <w:color w:val="auto"/>
              </w:rPr>
              <w:t>Name of Beneficial Owner</w:t>
            </w:r>
          </w:p>
        </w:tc>
        <w:tc>
          <w:tcPr>
            <w:tcW w:w="22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Stock Beneficially Owned</w:t>
            </w:r>
          </w:p>
        </w:tc>
        <w:tc>
          <w:tcPr>
            <w:tcW w:w="19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Common Stock Owned</w:t>
            </w:r>
          </w:p>
        </w:tc>
      </w:tr>
      <w:tr>
        <w:trPr>
          <w:trHeight w:val="210"/>
        </w:trPr>
        <w:tc>
          <w:tcPr>
            <w:tcW w:w="698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Chenlong Tan (1)</w:t>
            </w:r>
          </w:p>
        </w:tc>
        <w:tc>
          <w:tcPr>
            <w:tcW w:w="120" w:type="dxa"/>
            <w:vAlign w:val="bottom"/>
            <w:tcBorders>
              <w:top w:val="single" w:sz="8" w:color="EEEEEE"/>
            </w:tcBorders>
            <w:shd w:val="clear" w:color="auto" w:fill="EEEEEE"/>
          </w:tcPr>
          <w:p>
            <w:pPr>
              <w:spacing w:after="0"/>
              <w:rPr>
                <w:sz w:val="18"/>
                <w:szCs w:val="18"/>
                <w:color w:val="auto"/>
              </w:rPr>
            </w:pPr>
          </w:p>
        </w:tc>
        <w:tc>
          <w:tcPr>
            <w:tcW w:w="20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8,023,334</w:t>
            </w:r>
          </w:p>
        </w:tc>
        <w:tc>
          <w:tcPr>
            <w:tcW w:w="22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27.13%</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7100" w:type="dxa"/>
            <w:vAlign w:val="bottom"/>
            <w:gridSpan w:val="2"/>
          </w:tcPr>
          <w:p>
            <w:pPr>
              <w:spacing w:after="0"/>
              <w:rPr>
                <w:sz w:val="20"/>
                <w:szCs w:val="20"/>
                <w:color w:val="auto"/>
              </w:rPr>
            </w:pPr>
            <w:r>
              <w:rPr>
                <w:rFonts w:ascii="Arial" w:cs="Arial" w:eastAsia="Arial" w:hAnsi="Arial"/>
                <w:sz w:val="18"/>
                <w:szCs w:val="18"/>
                <w:color w:val="auto"/>
              </w:rPr>
              <w:t>Kevin Vassily (2)</w:t>
            </w:r>
          </w:p>
        </w:tc>
        <w:tc>
          <w:tcPr>
            <w:tcW w:w="2240" w:type="dxa"/>
            <w:vAlign w:val="bottom"/>
            <w:gridSpan w:val="2"/>
          </w:tcPr>
          <w:p>
            <w:pPr>
              <w:jc w:val="right"/>
              <w:ind w:right="220"/>
              <w:spacing w:after="0"/>
              <w:rPr>
                <w:sz w:val="20"/>
                <w:szCs w:val="20"/>
                <w:color w:val="auto"/>
              </w:rPr>
            </w:pPr>
            <w:r>
              <w:rPr>
                <w:rFonts w:ascii="Arial" w:cs="Arial" w:eastAsia="Arial" w:hAnsi="Arial"/>
                <w:sz w:val="18"/>
                <w:szCs w:val="18"/>
                <w:color w:val="auto"/>
              </w:rPr>
              <w:t>12,000</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Less than 0.1%</w:t>
            </w:r>
          </w:p>
        </w:tc>
      </w:tr>
      <w:tr>
        <w:trPr>
          <w:trHeight w:val="216"/>
        </w:trPr>
        <w:tc>
          <w:tcPr>
            <w:tcW w:w="7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Bennet Tchaikovsky (3)</w:t>
            </w:r>
          </w:p>
        </w:tc>
        <w:tc>
          <w:tcPr>
            <w:tcW w:w="2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6,000</w:t>
            </w:r>
          </w:p>
        </w:tc>
        <w:tc>
          <w:tcPr>
            <w:tcW w:w="1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Less than 0.1%</w:t>
            </w:r>
          </w:p>
        </w:tc>
      </w:tr>
      <w:tr>
        <w:trPr>
          <w:trHeight w:val="216"/>
        </w:trPr>
        <w:tc>
          <w:tcPr>
            <w:tcW w:w="7100" w:type="dxa"/>
            <w:vAlign w:val="bottom"/>
            <w:gridSpan w:val="2"/>
          </w:tcPr>
          <w:p>
            <w:pPr>
              <w:spacing w:after="0"/>
              <w:rPr>
                <w:sz w:val="20"/>
                <w:szCs w:val="20"/>
                <w:color w:val="auto"/>
              </w:rPr>
            </w:pPr>
            <w:r>
              <w:rPr>
                <w:rFonts w:ascii="Arial" w:cs="Arial" w:eastAsia="Arial" w:hAnsi="Arial"/>
                <w:sz w:val="18"/>
                <w:szCs w:val="18"/>
                <w:color w:val="auto"/>
              </w:rPr>
              <w:t>Kevin Liles (4)</w:t>
            </w:r>
          </w:p>
        </w:tc>
        <w:tc>
          <w:tcPr>
            <w:tcW w:w="2240" w:type="dxa"/>
            <w:vAlign w:val="bottom"/>
            <w:gridSpan w:val="2"/>
          </w:tcPr>
          <w:p>
            <w:pPr>
              <w:jc w:val="right"/>
              <w:ind w:right="220"/>
              <w:spacing w:after="0"/>
              <w:rPr>
                <w:sz w:val="20"/>
                <w:szCs w:val="20"/>
                <w:color w:val="auto"/>
              </w:rPr>
            </w:pPr>
            <w:r>
              <w:rPr>
                <w:rFonts w:ascii="Arial" w:cs="Arial" w:eastAsia="Arial" w:hAnsi="Arial"/>
                <w:sz w:val="18"/>
                <w:szCs w:val="18"/>
                <w:color w:val="auto"/>
              </w:rPr>
              <w:t>6,000</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Less than 0.1%</w:t>
            </w:r>
          </w:p>
        </w:tc>
      </w:tr>
      <w:tr>
        <w:trPr>
          <w:trHeight w:val="216"/>
        </w:trPr>
        <w:tc>
          <w:tcPr>
            <w:tcW w:w="7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Hanxi Li (5)</w:t>
            </w:r>
          </w:p>
        </w:tc>
        <w:tc>
          <w:tcPr>
            <w:tcW w:w="2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6,608</w:t>
            </w:r>
          </w:p>
        </w:tc>
        <w:tc>
          <w:tcPr>
            <w:tcW w:w="1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Less than 0.1%</w:t>
            </w:r>
          </w:p>
        </w:tc>
      </w:tr>
      <w:tr>
        <w:trPr>
          <w:trHeight w:val="216"/>
        </w:trPr>
        <w:tc>
          <w:tcPr>
            <w:tcW w:w="7100" w:type="dxa"/>
            <w:vAlign w:val="bottom"/>
            <w:gridSpan w:val="2"/>
          </w:tcPr>
          <w:p>
            <w:pPr>
              <w:spacing w:after="0"/>
              <w:rPr>
                <w:sz w:val="20"/>
                <w:szCs w:val="20"/>
                <w:color w:val="auto"/>
              </w:rPr>
            </w:pPr>
            <w:r>
              <w:rPr>
                <w:rFonts w:ascii="Arial" w:cs="Arial" w:eastAsia="Arial" w:hAnsi="Arial"/>
                <w:sz w:val="18"/>
                <w:szCs w:val="18"/>
                <w:color w:val="auto"/>
              </w:rPr>
              <w:t>All Officers and Directors (5 Persons)</w:t>
            </w:r>
          </w:p>
        </w:tc>
        <w:tc>
          <w:tcPr>
            <w:tcW w:w="2240" w:type="dxa"/>
            <w:vAlign w:val="bottom"/>
            <w:gridSpan w:val="2"/>
          </w:tcPr>
          <w:p>
            <w:pPr>
              <w:jc w:val="right"/>
              <w:ind w:right="220"/>
              <w:spacing w:after="0"/>
              <w:rPr>
                <w:sz w:val="20"/>
                <w:szCs w:val="20"/>
                <w:color w:val="auto"/>
              </w:rPr>
            </w:pPr>
            <w:r>
              <w:rPr>
                <w:rFonts w:ascii="Arial" w:cs="Arial" w:eastAsia="Arial" w:hAnsi="Arial"/>
                <w:sz w:val="18"/>
                <w:szCs w:val="18"/>
                <w:color w:val="auto"/>
              </w:rPr>
              <w:t>8,053,942</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27.23%</w:t>
            </w:r>
          </w:p>
        </w:tc>
      </w:tr>
      <w:tr>
        <w:trPr>
          <w:trHeight w:val="216"/>
        </w:trPr>
        <w:tc>
          <w:tcPr>
            <w:tcW w:w="69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Beneficial Owners of more than 5%</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Allan Huang (6)</w:t>
            </w:r>
          </w:p>
        </w:tc>
        <w:tc>
          <w:tcPr>
            <w:tcW w:w="2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8,023,334</w:t>
            </w:r>
          </w:p>
        </w:tc>
        <w:tc>
          <w:tcPr>
            <w:tcW w:w="1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27.13%</w:t>
            </w:r>
          </w:p>
        </w:tc>
      </w:tr>
      <w:tr>
        <w:trPr>
          <w:trHeight w:val="218"/>
        </w:trPr>
        <w:tc>
          <w:tcPr>
            <w:tcW w:w="6980" w:type="dxa"/>
            <w:vAlign w:val="bottom"/>
          </w:tcPr>
          <w:p>
            <w:pPr>
              <w:spacing w:after="0"/>
              <w:rPr>
                <w:sz w:val="20"/>
                <w:szCs w:val="20"/>
                <w:color w:val="auto"/>
              </w:rPr>
            </w:pPr>
            <w:r>
              <w:rPr>
                <w:rFonts w:ascii="Arial" w:cs="Arial" w:eastAsia="Arial" w:hAnsi="Arial"/>
                <w:sz w:val="18"/>
                <w:szCs w:val="18"/>
                <w:color w:val="auto"/>
              </w:rPr>
              <w:t>__________________________</w:t>
            </w: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Chenlong Tan is our co-Founder, Chairman, Chief Executive Officer and President.</w:t>
      </w:r>
    </w:p>
    <w:p>
      <w:pPr>
        <w:spacing w:after="0" w:line="7" w:lineRule="exact"/>
        <w:rPr>
          <w:rFonts w:ascii="Arial" w:cs="Arial" w:eastAsia="Arial" w:hAnsi="Arial"/>
          <w:sz w:val="18"/>
          <w:szCs w:val="18"/>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Kevin Vassily is our Chief Financial Officer.</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Tchaikovsky is a member of our board of directors.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Liles is a member of our board of directors.</w:t>
      </w:r>
    </w:p>
    <w:p>
      <w:pPr>
        <w:spacing w:after="0" w:line="9"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Ms. Li is a member of our board of directors. Her reported holdings do not include 6,608 RSUs which remain subject to vesting under the Company’s 2020 Equity Incentive Plan.</w:t>
      </w: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Allan Huang is our co-Founder and a consultant and was previously our Chief Executive Officer, President and a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Unless described below, during the last two fiscal years, there are no transactions or series of similar transactions to which we were a party or will be a party, in which:</w:t>
      </w:r>
    </w:p>
    <w:p>
      <w:pPr>
        <w:spacing w:after="0" w:line="170"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amounts involved exceed or will exceed $120,000; and</w:t>
      </w:r>
    </w:p>
    <w:p>
      <w:pPr>
        <w:spacing w:after="0" w:line="23" w:lineRule="exact"/>
        <w:rPr>
          <w:rFonts w:ascii="Arial" w:cs="Arial" w:eastAsia="Arial" w:hAnsi="Arial"/>
          <w:sz w:val="18"/>
          <w:szCs w:val="18"/>
          <w:color w:val="auto"/>
        </w:rPr>
      </w:pPr>
    </w:p>
    <w:p>
      <w:pPr>
        <w:ind w:left="980" w:hanging="324"/>
        <w:spacing w:after="0" w:line="260"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capital stock, or any member of the immediate family of any of the foregoing had, or will have, a direct or indirect material interest.</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Effective on March 1, 2020, as amended and restated pursuant to an agreement dated October 26, 2020, the Company entered into an agreement with E Marketing Solution Inc. (“E Marketing”), an entity incorporated in California and owned by Shanshan Huang, one of the shareholders of the Company. Pursuant to the terms of the agreement, the Company will provide technical support, management services and other services on an exclusive basis in relation to E Marketing’s business during the term of the agreement. The Company agrees to fund E Marketing for operational cash flow needs and bear the risk of E Marketing’s losses from operations and E Marketing agrees that iPower has rights to E Marketing’s net profits, if any. Under the terms of the agreement, the Company may at any time, at its option, acquire for nominal consideration 100% of either the equity of E Marketing or its assets subject to assumption of all of its liabilities.</w:t>
      </w:r>
    </w:p>
    <w:p>
      <w:pPr>
        <w:spacing w:after="0" w:line="19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September 4, 2020, the Company entered into an agreement with Global Product Marketing Inc. (“GPM”), an entity incorporated in the State of Nevada. GPM is owned by Chenlong Tan, the co-founder, Chairman, CEO and President of the Company and one of the Company’s majority shareholders. Pursuant to the terms of the agreement, the Company will provide technical support, management services and other services on an exclusive basis in relation to GPM’s business during the term of the Agreement. The Company agrees to fund GPM for operational cash flow needs and bear the risk of GPM’s losses from operations and GPM agrees that the Company has rights to GPM’s net profits, if any. Under the terms of the agreement, the Company may at any time, at its option, acquire for nominal consideration 100% of either the equity of GPM or its assets subject to assumption of all of its liabilities.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9" w:name="page100"/>
    <w:bookmarkEnd w:id="99"/>
    <w:p>
      <w:pPr>
        <w:jc w:val="both"/>
        <w:ind w:firstLine="648"/>
        <w:spacing w:after="0" w:line="259" w:lineRule="auto"/>
        <w:rPr>
          <w:sz w:val="20"/>
          <w:szCs w:val="20"/>
          <w:color w:val="auto"/>
        </w:rPr>
      </w:pPr>
      <w:r>
        <w:rPr>
          <w:rFonts w:ascii="Arial" w:cs="Arial" w:eastAsia="Arial" w:hAnsi="Arial"/>
          <w:sz w:val="18"/>
          <w:szCs w:val="18"/>
          <w:color w:val="auto"/>
        </w:rPr>
        <w:t>On May 18, 2021, the Company entered into equity purchase agreements (“Equity Purchase Agreements”) with the shareholders of each of our variable interest entities, E Marketing Solution Inc. (“E Marketing”) and Global Product Marketing Inc. (“GPM”), pursuant to which we acquired 100% of the equity interests of each of E Marketing and GPM. The Company paid nominal consideration of $10.00 for the acquisition of each of E Marketing and GPM, which then became the Company’s wholly owned subsidiaries.</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Prior to April 14, 2021, we had two classes of authorized common stock, Class A Common Stock and Class B Common Stock that entitled the holders to 10 votes per share. On April 14, 2021, Messrs. Huang and Tan, our two founders, converted all of their 14,000,000 shares of Class B Common Stock into 1,400,000 additional shares of Class A Common Stock, bringing their total ownership to an aggregate of 16,046,668 shares of Class A Common Stock or 54.26% of the 29,572,382 shares of Class A Common Stock outstanding as of the date of this report. On April 14, 2021, we amended and restated our articles of incorporation to permit the immediate conversion of the Class B Common Stock and to eliminate any future issuances of Class B Common Stock, and on April 23, 2021, we further amended and restated our articles of incorporation to eliminate all references to the Class A and Class B Common Stock and authorized for issuance 180,000,000 shares which are solely designated as Common Stock.</w:t>
      </w:r>
    </w:p>
    <w:p>
      <w:pPr>
        <w:spacing w:after="0" w:line="17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April 27, 2021, Mr. Chenlong Tan, our Chairman, President and Chief Executive Officer and a beneficial owner more than 5% of our common stock, has agreed to reimburse us for any judgments, fines and amounts paid or actually incurred by us or an indemnitee in connection with such legal action or in connection with any settlement agreement entered into by us or an indemnitee up to a maximum of $3.5 million in the aggregate, with the sole source of funding of such reimbursement to come from sales of shares then owned by Mr. Tan, against any damages that the Company may owe Boustead or the underwriters, should Boustead be successful in any action against the Company related to this initial public offering.</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Starting March 1, 2022, the Company subleases 50,000 square feet of its warehouse space to Box Harmony, LLC, which is a 40% owned joint venture of the Company. For the year ended June 30, 2022, the Company recorded sublease fees of $330,000 as other non-operating income. As of June 30, 2022, other receivables due from Box Harmony were $51,762.</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February 15, 2022, the Company assumed $92,246 of advance payments from shareholders of DHS as a result of the Company’s acquisition of Anivia. This advance payments were for capital injections pending capital inspection by the local government in accordance with the PRC rules. As of June 30, 2022, the balance of advance from shareholders was $92,246.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represents fees for professional audit services for the audit of the Company’s annual financial statements for the fiscal years ended June 30, 2022 and 2021, rendered by UHY LLP.</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20" w:type="dxa"/>
            <w:vAlign w:val="bottom"/>
            <w:gridSpan w:val="5"/>
          </w:tcPr>
          <w:p>
            <w:pPr>
              <w:ind w:left="360"/>
              <w:spacing w:after="0"/>
              <w:rPr>
                <w:sz w:val="20"/>
                <w:szCs w:val="20"/>
                <w:color w:val="auto"/>
              </w:rPr>
            </w:pPr>
            <w:r>
              <w:rPr>
                <w:rFonts w:ascii="Arial" w:cs="Arial" w:eastAsia="Arial" w:hAnsi="Arial"/>
                <w:sz w:val="18"/>
                <w:szCs w:val="18"/>
                <w:b w:val="1"/>
                <w:bCs w:val="1"/>
                <w:color w:val="auto"/>
              </w:rPr>
              <w:t>Fiscal year ended June 30,</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EEEEEE"/>
            </w:tcBorders>
          </w:tcPr>
          <w:p>
            <w:pPr>
              <w:spacing w:after="0"/>
              <w:rPr>
                <w:sz w:val="19"/>
                <w:szCs w:val="19"/>
                <w:color w:val="auto"/>
              </w:rPr>
            </w:pPr>
          </w:p>
        </w:tc>
        <w:tc>
          <w:tcPr>
            <w:tcW w:w="2700" w:type="dxa"/>
            <w:vAlign w:val="bottom"/>
            <w:tcBorders>
              <w:bottom w:val="single" w:sz="8" w:color="EEEEEE"/>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top w:val="single" w:sz="8" w:color="auto"/>
              <w:bottom w:val="single" w:sz="8" w:color="EEEEEE"/>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960" w:type="dxa"/>
            <w:vAlign w:val="bottom"/>
            <w:shd w:val="clear" w:color="auto" w:fill="EEEEEE"/>
          </w:tcPr>
          <w:p>
            <w:pPr>
              <w:spacing w:after="0" w:line="236" w:lineRule="exact"/>
              <w:rPr>
                <w:sz w:val="20"/>
                <w:szCs w:val="20"/>
                <w:color w:val="auto"/>
              </w:rPr>
            </w:pPr>
            <w:r>
              <w:rPr>
                <w:rFonts w:ascii="Arial" w:cs="Arial" w:eastAsia="Arial" w:hAnsi="Arial"/>
                <w:sz w:val="17"/>
                <w:szCs w:val="17"/>
                <w:color w:val="auto"/>
              </w:rPr>
              <w:t xml:space="preserve">Audit fees </w:t>
            </w:r>
            <w:r>
              <w:rPr>
                <w:rFonts w:ascii="Arial" w:cs="Arial" w:eastAsia="Arial" w:hAnsi="Arial"/>
                <w:sz w:val="27"/>
                <w:szCs w:val="27"/>
                <w:color w:val="auto"/>
                <w:vertAlign w:val="superscript"/>
              </w:rPr>
              <w:t>1</w:t>
            </w:r>
          </w:p>
        </w:tc>
        <w:tc>
          <w:tcPr>
            <w:tcW w:w="3060" w:type="dxa"/>
            <w:vAlign w:val="bottom"/>
            <w:gridSpan w:val="2"/>
            <w:shd w:val="clear" w:color="auto" w:fill="EEEEEE"/>
          </w:tcPr>
          <w:p>
            <w:pPr>
              <w:jc w:val="right"/>
              <w:ind w:right="17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338,150</w:t>
            </w:r>
          </w:p>
        </w:tc>
        <w:tc>
          <w:tcPr>
            <w:tcW w:w="36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170,637</w:t>
            </w:r>
          </w:p>
        </w:tc>
        <w:tc>
          <w:tcPr>
            <w:tcW w:w="0" w:type="dxa"/>
            <w:vAlign w:val="bottom"/>
          </w:tcPr>
          <w:p>
            <w:pPr>
              <w:spacing w:after="0"/>
              <w:rPr>
                <w:sz w:val="1"/>
                <w:szCs w:val="1"/>
                <w:color w:val="auto"/>
              </w:rPr>
            </w:pPr>
          </w:p>
        </w:tc>
      </w:tr>
      <w:tr>
        <w:trPr>
          <w:trHeight w:val="270"/>
        </w:trPr>
        <w:tc>
          <w:tcPr>
            <w:tcW w:w="4960" w:type="dxa"/>
            <w:vAlign w:val="bottom"/>
            <w:tcBorders>
              <w:bottom w:val="single" w:sz="8" w:color="EEEEEE"/>
            </w:tcBorders>
          </w:tcPr>
          <w:p>
            <w:pPr>
              <w:spacing w:after="0" w:line="270" w:lineRule="exact"/>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29"/>
                <w:szCs w:val="29"/>
                <w:color w:val="auto"/>
                <w:vertAlign w:val="superscript"/>
              </w:rPr>
              <w:t>2</w:t>
            </w:r>
          </w:p>
        </w:tc>
        <w:tc>
          <w:tcPr>
            <w:tcW w:w="2700" w:type="dxa"/>
            <w:vAlign w:val="bottom"/>
            <w:tcBorders>
              <w:bottom w:val="single" w:sz="8" w:color="EEEEEE"/>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320" w:type="dxa"/>
            <w:vAlign w:val="bottom"/>
            <w:tcBorders>
              <w:bottom w:val="single" w:sz="8" w:color="EEEEEE"/>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100" w:type="dxa"/>
            <w:vAlign w:val="bottom"/>
            <w:tcBorders>
              <w:bottom w:val="single" w:sz="8" w:color="EEEEEE"/>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96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fees</w:t>
            </w:r>
          </w:p>
        </w:tc>
        <w:tc>
          <w:tcPr>
            <w:tcW w:w="2700" w:type="dxa"/>
            <w:vAlign w:val="bottom"/>
            <w:tcBorders>
              <w:bottom w:val="single" w:sz="8" w:color="EEEEEE"/>
            </w:tcBorders>
            <w:shd w:val="clear" w:color="auto" w:fill="EEEEEE"/>
          </w:tcPr>
          <w:p>
            <w:pPr>
              <w:spacing w:after="0"/>
              <w:rPr>
                <w:sz w:val="19"/>
                <w:szCs w:val="19"/>
                <w:color w:val="auto"/>
              </w:rPr>
            </w:pPr>
          </w:p>
        </w:tc>
        <w:tc>
          <w:tcPr>
            <w:tcW w:w="360" w:type="dxa"/>
            <w:vAlign w:val="bottom"/>
            <w:tcBorders>
              <w:bottom w:val="single" w:sz="8" w:color="auto"/>
            </w:tcBorders>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338,150</w:t>
            </w:r>
          </w:p>
        </w:tc>
        <w:tc>
          <w:tcPr>
            <w:tcW w:w="320" w:type="dxa"/>
            <w:vAlign w:val="bottom"/>
            <w:tcBorders>
              <w:bottom w:val="single" w:sz="8" w:color="EEEEEE"/>
            </w:tcBorders>
            <w:shd w:val="clear" w:color="auto" w:fill="EEEEEE"/>
          </w:tcPr>
          <w:p>
            <w:pPr>
              <w:spacing w:after="0"/>
              <w:rPr>
                <w:sz w:val="19"/>
                <w:szCs w:val="19"/>
                <w:color w:val="auto"/>
              </w:rPr>
            </w:pPr>
          </w:p>
        </w:tc>
        <w:tc>
          <w:tcPr>
            <w:tcW w:w="360" w:type="dxa"/>
            <w:vAlign w:val="bottom"/>
            <w:tcBorders>
              <w:bottom w:val="single" w:sz="8" w:color="auto"/>
            </w:tcBorders>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170,637</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2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60" w:type="dxa"/>
            <w:vAlign w:val="bottom"/>
            <w:vMerge w:val="continue"/>
          </w:tcPr>
          <w:p>
            <w:pPr>
              <w:spacing w:after="0"/>
              <w:rPr>
                <w:sz w:val="17"/>
                <w:szCs w:val="17"/>
                <w:color w:val="auto"/>
              </w:rPr>
            </w:pPr>
          </w:p>
        </w:tc>
        <w:tc>
          <w:tcPr>
            <w:tcW w:w="2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340" w:hanging="332"/>
        <w:spacing w:after="0" w:line="204" w:lineRule="auto"/>
        <w:tabs>
          <w:tab w:leader="none" w:pos="340" w:val="left"/>
        </w:tabs>
        <w:numPr>
          <w:ilvl w:val="0"/>
          <w:numId w:val="30"/>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Audit fees consist of fees for professional services rendered by the principal accountant for the audit of the Company’s annual financial statements and review of the financial statements included in the Company’s Initial Public Offering, Form 10-K and Form 10-Q and for services that are normally provided by the accountant in connection with statutory and regulatory filings or engagements.</w:t>
      </w:r>
    </w:p>
    <w:p>
      <w:pPr>
        <w:spacing w:after="0" w:line="204" w:lineRule="exact"/>
        <w:rPr>
          <w:rFonts w:ascii="Arial" w:cs="Arial" w:eastAsia="Arial" w:hAnsi="Arial"/>
          <w:sz w:val="30"/>
          <w:szCs w:val="30"/>
          <w:i w:val="1"/>
          <w:iCs w:val="1"/>
          <w:color w:val="auto"/>
          <w:vertAlign w:val="superscript"/>
        </w:rPr>
      </w:pPr>
    </w:p>
    <w:p>
      <w:pPr>
        <w:ind w:left="340" w:hanging="332"/>
        <w:spacing w:after="0" w:line="194" w:lineRule="auto"/>
        <w:tabs>
          <w:tab w:leader="none" w:pos="340" w:val="left"/>
        </w:tabs>
        <w:numPr>
          <w:ilvl w:val="0"/>
          <w:numId w:val="30"/>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Audit-related fees consist primarily of fees for assurance and related services by the accountant that are reasonably related to the performance of the audit or review of the Company’s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Audit Committee is tasked with pre-approving any non-audit services proposed to be provided to the Company by the independent auditors.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36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9880" w:type="dxa"/>
            <w:vAlign w:val="bottom"/>
            <w:gridSpan w:val="17"/>
          </w:tcPr>
          <w:p>
            <w:pPr>
              <w:spacing w:after="0"/>
              <w:rPr>
                <w:sz w:val="20"/>
                <w:szCs w:val="20"/>
                <w:color w:val="auto"/>
              </w:rPr>
            </w:pPr>
            <w:r>
              <w:rPr>
                <w:rFonts w:ascii="Arial" w:cs="Arial" w:eastAsia="Arial" w:hAnsi="Arial"/>
                <w:sz w:val="18"/>
                <w:szCs w:val="18"/>
                <w:color w:val="auto"/>
              </w:rPr>
              <w:t>Description</w:t>
            </w:r>
          </w:p>
        </w:tc>
      </w:tr>
      <w:tr>
        <w:trPr>
          <w:trHeight w:val="391"/>
        </w:trPr>
        <w:tc>
          <w:tcPr>
            <w:tcW w:w="1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9880" w:type="dxa"/>
            <w:vAlign w:val="bottom"/>
            <w:tcBorders>
              <w:top w:val="single" w:sz="8" w:color="auto"/>
            </w:tcBorders>
            <w:gridSpan w:val="17"/>
          </w:tcPr>
          <w:p>
            <w:pPr>
              <w:spacing w:after="0"/>
              <w:rPr>
                <w:rFonts w:ascii="Arial" w:cs="Arial" w:eastAsia="Arial" w:hAnsi="Arial"/>
                <w:sz w:val="18"/>
                <w:szCs w:val="18"/>
                <w:color w:val="0000EE"/>
                <w:w w:val="93"/>
              </w:rPr>
            </w:pPr>
            <w:hyperlink r:id="rId118">
              <w:r>
                <w:rPr>
                  <w:rFonts w:ascii="Arial" w:cs="Arial" w:eastAsia="Arial" w:hAnsi="Arial"/>
                  <w:sz w:val="18"/>
                  <w:szCs w:val="18"/>
                  <w:color w:val="0000EE"/>
                  <w:w w:val="93"/>
                </w:rPr>
                <w:t xml:space="preserve">Sixth Amended and Restated Articles of Incorporation of iPower Inc. </w:t>
              </w:r>
            </w:hyperlink>
            <w:r>
              <w:rPr>
                <w:rFonts w:ascii="Arial" w:cs="Arial" w:eastAsia="Arial" w:hAnsi="Arial"/>
                <w:sz w:val="18"/>
                <w:szCs w:val="18"/>
                <w:color w:val="000000"/>
                <w:w w:val="93"/>
              </w:rPr>
              <w:t>(incorporated</w:t>
            </w:r>
            <w:r>
              <w:rPr>
                <w:rFonts w:ascii="Arial" w:cs="Arial" w:eastAsia="Arial" w:hAnsi="Arial"/>
                <w:sz w:val="18"/>
                <w:szCs w:val="18"/>
                <w:color w:val="0000EE"/>
                <w:w w:val="93"/>
              </w:rPr>
              <w:t xml:space="preserve"> </w:t>
            </w:r>
            <w:r>
              <w:rPr>
                <w:rFonts w:ascii="Arial" w:cs="Arial" w:eastAsia="Arial" w:hAnsi="Arial"/>
                <w:sz w:val="18"/>
                <w:szCs w:val="18"/>
                <w:color w:val="000000"/>
                <w:w w:val="93"/>
              </w:rPr>
              <w:t>by reference to Exhibit 3.3 to Amendment No. 3 to</w:t>
            </w:r>
          </w:p>
        </w:tc>
      </w:tr>
      <w:tr>
        <w:trPr>
          <w:trHeight w:val="222"/>
        </w:trPr>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6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the Registration Statement on Form S-1 filed May 5, 2021).</w:t>
            </w:r>
          </w:p>
        </w:tc>
        <w:tc>
          <w:tcPr>
            <w:tcW w:w="4820" w:type="dxa"/>
            <w:vAlign w:val="bottom"/>
            <w:gridSpan w:val="14"/>
          </w:tcPr>
          <w:p>
            <w:pPr>
              <w:spacing w:after="0"/>
              <w:rPr>
                <w:sz w:val="19"/>
                <w:szCs w:val="19"/>
                <w:color w:val="auto"/>
              </w:rPr>
            </w:pPr>
          </w:p>
        </w:tc>
      </w:tr>
      <w:tr>
        <w:trPr>
          <w:trHeight w:val="190"/>
        </w:trPr>
        <w:tc>
          <w:tcPr>
            <w:tcW w:w="1240" w:type="dxa"/>
            <w:vAlign w:val="bottom"/>
          </w:tcPr>
          <w:p>
            <w:pPr>
              <w:spacing w:after="0" w:line="190"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6"/>
                <w:szCs w:val="16"/>
                <w:color w:val="auto"/>
              </w:rPr>
            </w:pPr>
          </w:p>
        </w:tc>
        <w:tc>
          <w:tcPr>
            <w:tcW w:w="9880" w:type="dxa"/>
            <w:vAlign w:val="bottom"/>
            <w:gridSpan w:val="17"/>
          </w:tcPr>
          <w:p>
            <w:pPr>
              <w:spacing w:after="0" w:line="190" w:lineRule="exact"/>
              <w:rPr>
                <w:rFonts w:ascii="Arial" w:cs="Arial" w:eastAsia="Arial" w:hAnsi="Arial"/>
                <w:sz w:val="18"/>
                <w:szCs w:val="18"/>
                <w:color w:val="0000EE"/>
                <w:w w:val="93"/>
              </w:rPr>
            </w:pPr>
            <w:hyperlink r:id="rId119">
              <w:r>
                <w:rPr>
                  <w:rFonts w:ascii="Arial" w:cs="Arial" w:eastAsia="Arial" w:hAnsi="Arial"/>
                  <w:sz w:val="18"/>
                  <w:szCs w:val="18"/>
                  <w:color w:val="0000EE"/>
                  <w:w w:val="93"/>
                </w:rPr>
                <w:t xml:space="preserve">Second Amended and Restated Bylaws of iPower Inc. </w:t>
              </w:r>
            </w:hyperlink>
            <w:r>
              <w:rPr>
                <w:rFonts w:ascii="Arial" w:cs="Arial" w:eastAsia="Arial" w:hAnsi="Arial"/>
                <w:sz w:val="18"/>
                <w:szCs w:val="18"/>
                <w:color w:val="000000"/>
                <w:w w:val="93"/>
              </w:rPr>
              <w:t>(incorporated</w:t>
            </w:r>
            <w:r>
              <w:rPr>
                <w:rFonts w:ascii="Arial" w:cs="Arial" w:eastAsia="Arial" w:hAnsi="Arial"/>
                <w:sz w:val="18"/>
                <w:szCs w:val="18"/>
                <w:color w:val="0000EE"/>
                <w:w w:val="93"/>
              </w:rPr>
              <w:t xml:space="preserve"> </w:t>
            </w:r>
            <w:r>
              <w:rPr>
                <w:rFonts w:ascii="Arial" w:cs="Arial" w:eastAsia="Arial" w:hAnsi="Arial"/>
                <w:sz w:val="18"/>
                <w:szCs w:val="18"/>
                <w:color w:val="000000"/>
                <w:w w:val="93"/>
              </w:rPr>
              <w:t>by reference to Exhibit 3.3 to Amendment No. 2 the Registration</w:t>
            </w:r>
          </w:p>
        </w:tc>
      </w:tr>
      <w:tr>
        <w:trPr>
          <w:trHeight w:val="222"/>
        </w:trPr>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8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Statement on Form S-1 filed April 27, 2021).</w:t>
            </w:r>
          </w:p>
        </w:tc>
        <w:tc>
          <w:tcPr>
            <w:tcW w:w="5900" w:type="dxa"/>
            <w:vAlign w:val="bottom"/>
            <w:gridSpan w:val="15"/>
          </w:tcPr>
          <w:p>
            <w:pPr>
              <w:spacing w:after="0"/>
              <w:rPr>
                <w:sz w:val="19"/>
                <w:szCs w:val="19"/>
                <w:color w:val="auto"/>
              </w:rPr>
            </w:pPr>
          </w:p>
        </w:tc>
      </w:tr>
      <w:tr>
        <w:trPr>
          <w:trHeight w:val="190"/>
        </w:trPr>
        <w:tc>
          <w:tcPr>
            <w:tcW w:w="1240" w:type="dxa"/>
            <w:vAlign w:val="bottom"/>
          </w:tcPr>
          <w:p>
            <w:pPr>
              <w:spacing w:after="0" w:line="190"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6"/>
                <w:szCs w:val="16"/>
                <w:color w:val="auto"/>
              </w:rPr>
            </w:pPr>
          </w:p>
        </w:tc>
        <w:tc>
          <w:tcPr>
            <w:tcW w:w="9880" w:type="dxa"/>
            <w:vAlign w:val="bottom"/>
            <w:gridSpan w:val="17"/>
          </w:tcPr>
          <w:p>
            <w:pPr>
              <w:spacing w:after="0" w:line="190" w:lineRule="exact"/>
              <w:rPr>
                <w:rFonts w:ascii="Arial" w:cs="Arial" w:eastAsia="Arial" w:hAnsi="Arial"/>
                <w:sz w:val="18"/>
                <w:szCs w:val="18"/>
                <w:color w:val="0000EE"/>
                <w:w w:val="98"/>
              </w:rPr>
            </w:pPr>
            <w:hyperlink r:id="rId120">
              <w:r>
                <w:rPr>
                  <w:rFonts w:ascii="Arial" w:cs="Arial" w:eastAsia="Arial" w:hAnsi="Arial"/>
                  <w:sz w:val="18"/>
                  <w:szCs w:val="18"/>
                  <w:color w:val="0000EE"/>
                  <w:w w:val="98"/>
                </w:rPr>
                <w:t xml:space="preserve">Certificate of Designation of Series A Convertible Preferred Stock </w:t>
              </w:r>
            </w:hyperlink>
            <w:r>
              <w:rPr>
                <w:rFonts w:ascii="Arial" w:cs="Arial" w:eastAsia="Arial" w:hAnsi="Arial"/>
                <w:sz w:val="18"/>
                <w:szCs w:val="18"/>
                <w:color w:val="000000"/>
                <w:w w:val="98"/>
              </w:rPr>
              <w:t>(incorporated</w:t>
            </w:r>
            <w:r>
              <w:rPr>
                <w:rFonts w:ascii="Arial" w:cs="Arial" w:eastAsia="Arial" w:hAnsi="Arial"/>
                <w:sz w:val="18"/>
                <w:szCs w:val="18"/>
                <w:color w:val="0000EE"/>
                <w:w w:val="98"/>
              </w:rPr>
              <w:t xml:space="preserve"> </w:t>
            </w:r>
            <w:r>
              <w:rPr>
                <w:rFonts w:ascii="Arial" w:cs="Arial" w:eastAsia="Arial" w:hAnsi="Arial"/>
                <w:sz w:val="18"/>
                <w:szCs w:val="18"/>
                <w:color w:val="000000"/>
                <w:w w:val="98"/>
              </w:rPr>
              <w:t>by reference to Exhibit 4.1 to the Registration</w:t>
            </w:r>
          </w:p>
        </w:tc>
      </w:tr>
      <w:tr>
        <w:trPr>
          <w:trHeight w:val="222"/>
        </w:trPr>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12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Statement on Form S-1 filed February 2, 2021).</w:t>
            </w:r>
          </w:p>
        </w:tc>
        <w:tc>
          <w:tcPr>
            <w:tcW w:w="4760" w:type="dxa"/>
            <w:vAlign w:val="bottom"/>
            <w:gridSpan w:val="13"/>
          </w:tcPr>
          <w:p>
            <w:pPr>
              <w:spacing w:after="0"/>
              <w:rPr>
                <w:sz w:val="19"/>
                <w:szCs w:val="19"/>
                <w:color w:val="auto"/>
              </w:rPr>
            </w:pPr>
          </w:p>
        </w:tc>
      </w:tr>
      <w:tr>
        <w:trPr>
          <w:trHeight w:val="190"/>
        </w:trPr>
        <w:tc>
          <w:tcPr>
            <w:tcW w:w="1240" w:type="dxa"/>
            <w:vAlign w:val="bottom"/>
          </w:tcPr>
          <w:p>
            <w:pPr>
              <w:spacing w:after="0" w:line="190" w:lineRule="exact"/>
              <w:rPr>
                <w:sz w:val="20"/>
                <w:szCs w:val="20"/>
                <w:color w:val="auto"/>
              </w:rPr>
            </w:pPr>
            <w:r>
              <w:rPr>
                <w:rFonts w:ascii="Arial" w:cs="Arial" w:eastAsia="Arial" w:hAnsi="Arial"/>
                <w:sz w:val="18"/>
                <w:szCs w:val="18"/>
                <w:color w:val="auto"/>
              </w:rPr>
              <w:t>4.2</w:t>
            </w:r>
          </w:p>
        </w:tc>
        <w:tc>
          <w:tcPr>
            <w:tcW w:w="120" w:type="dxa"/>
            <w:vAlign w:val="bottom"/>
          </w:tcPr>
          <w:p>
            <w:pPr>
              <w:spacing w:after="0"/>
              <w:rPr>
                <w:sz w:val="16"/>
                <w:szCs w:val="16"/>
                <w:color w:val="auto"/>
              </w:rPr>
            </w:pPr>
          </w:p>
        </w:tc>
        <w:tc>
          <w:tcPr>
            <w:tcW w:w="9880" w:type="dxa"/>
            <w:vAlign w:val="bottom"/>
            <w:gridSpan w:val="17"/>
          </w:tcPr>
          <w:p>
            <w:pPr>
              <w:spacing w:after="0" w:line="190" w:lineRule="exact"/>
              <w:rPr>
                <w:rFonts w:ascii="Arial" w:cs="Arial" w:eastAsia="Arial" w:hAnsi="Arial"/>
                <w:sz w:val="18"/>
                <w:szCs w:val="18"/>
                <w:color w:val="0000EE"/>
                <w:w w:val="96"/>
              </w:rPr>
            </w:pPr>
            <w:hyperlink r:id="rId121">
              <w:r>
                <w:rPr>
                  <w:rFonts w:ascii="Arial" w:cs="Arial" w:eastAsia="Arial" w:hAnsi="Arial"/>
                  <w:sz w:val="18"/>
                  <w:szCs w:val="18"/>
                  <w:color w:val="0000EE"/>
                  <w:w w:val="96"/>
                </w:rPr>
                <w:t xml:space="preserve">Warrant, dated January 27, 2021, issued to Wiseman Capital Management LLC </w:t>
              </w:r>
            </w:hyperlink>
            <w:r>
              <w:rPr>
                <w:rFonts w:ascii="Arial" w:cs="Arial" w:eastAsia="Arial" w:hAnsi="Arial"/>
                <w:sz w:val="18"/>
                <w:szCs w:val="18"/>
                <w:color w:val="000000"/>
                <w:w w:val="96"/>
              </w:rPr>
              <w:t>(incorporated</w:t>
            </w:r>
            <w:r>
              <w:rPr>
                <w:rFonts w:ascii="Arial" w:cs="Arial" w:eastAsia="Arial" w:hAnsi="Arial"/>
                <w:sz w:val="18"/>
                <w:szCs w:val="18"/>
                <w:color w:val="0000EE"/>
                <w:w w:val="96"/>
              </w:rPr>
              <w:t xml:space="preserve"> </w:t>
            </w:r>
            <w:r>
              <w:rPr>
                <w:rFonts w:ascii="Arial" w:cs="Arial" w:eastAsia="Arial" w:hAnsi="Arial"/>
                <w:sz w:val="18"/>
                <w:szCs w:val="18"/>
                <w:color w:val="000000"/>
                <w:w w:val="96"/>
              </w:rPr>
              <w:t>by Reference to Exhibit 4.4 to the</w:t>
            </w:r>
          </w:p>
        </w:tc>
      </w:tr>
      <w:tr>
        <w:trPr>
          <w:trHeight w:val="222"/>
        </w:trPr>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8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Registration Statement on Form S-1 filed February 2, 2021).</w:t>
            </w:r>
          </w:p>
        </w:tc>
        <w:tc>
          <w:tcPr>
            <w:tcW w:w="3800" w:type="dxa"/>
            <w:vAlign w:val="bottom"/>
            <w:gridSpan w:val="10"/>
          </w:tcPr>
          <w:p>
            <w:pPr>
              <w:spacing w:after="0"/>
              <w:rPr>
                <w:sz w:val="19"/>
                <w:szCs w:val="19"/>
                <w:color w:val="auto"/>
              </w:rPr>
            </w:pPr>
          </w:p>
        </w:tc>
      </w:tr>
      <w:tr>
        <w:trPr>
          <w:trHeight w:val="190"/>
        </w:trPr>
        <w:tc>
          <w:tcPr>
            <w:tcW w:w="1240" w:type="dxa"/>
            <w:vAlign w:val="bottom"/>
          </w:tcPr>
          <w:p>
            <w:pPr>
              <w:spacing w:after="0" w:line="190" w:lineRule="exact"/>
              <w:rPr>
                <w:sz w:val="20"/>
                <w:szCs w:val="20"/>
                <w:color w:val="auto"/>
              </w:rPr>
            </w:pPr>
            <w:r>
              <w:rPr>
                <w:rFonts w:ascii="Arial" w:cs="Arial" w:eastAsia="Arial" w:hAnsi="Arial"/>
                <w:sz w:val="18"/>
                <w:szCs w:val="18"/>
                <w:color w:val="auto"/>
              </w:rPr>
              <w:t>4.3</w:t>
            </w:r>
          </w:p>
        </w:tc>
        <w:tc>
          <w:tcPr>
            <w:tcW w:w="120" w:type="dxa"/>
            <w:vAlign w:val="bottom"/>
          </w:tcPr>
          <w:p>
            <w:pPr>
              <w:spacing w:after="0"/>
              <w:rPr>
                <w:sz w:val="16"/>
                <w:szCs w:val="16"/>
                <w:color w:val="auto"/>
              </w:rPr>
            </w:pPr>
          </w:p>
        </w:tc>
        <w:tc>
          <w:tcPr>
            <w:tcW w:w="9880" w:type="dxa"/>
            <w:vAlign w:val="bottom"/>
            <w:gridSpan w:val="17"/>
          </w:tcPr>
          <w:p>
            <w:pPr>
              <w:spacing w:after="0" w:line="190" w:lineRule="exact"/>
              <w:rPr>
                <w:rFonts w:ascii="Arial" w:cs="Arial" w:eastAsia="Arial" w:hAnsi="Arial"/>
                <w:sz w:val="18"/>
                <w:szCs w:val="18"/>
                <w:color w:val="0000EE"/>
                <w:w w:val="91"/>
              </w:rPr>
            </w:pPr>
            <w:hyperlink r:id="rId122">
              <w:r>
                <w:rPr>
                  <w:rFonts w:ascii="Arial" w:cs="Arial" w:eastAsia="Arial" w:hAnsi="Arial"/>
                  <w:sz w:val="18"/>
                  <w:szCs w:val="18"/>
                  <w:color w:val="0000EE"/>
                  <w:w w:val="91"/>
                </w:rPr>
                <w:t xml:space="preserve">Warrant, dated January 27, 2021, issued to Bright Century Investment LLC </w:t>
              </w:r>
            </w:hyperlink>
            <w:r>
              <w:rPr>
                <w:rFonts w:ascii="Arial" w:cs="Arial" w:eastAsia="Arial" w:hAnsi="Arial"/>
                <w:sz w:val="18"/>
                <w:szCs w:val="18"/>
                <w:color w:val="000000"/>
                <w:w w:val="91"/>
              </w:rPr>
              <w:t>(incorporated</w:t>
            </w:r>
            <w:r>
              <w:rPr>
                <w:rFonts w:ascii="Arial" w:cs="Arial" w:eastAsia="Arial" w:hAnsi="Arial"/>
                <w:sz w:val="18"/>
                <w:szCs w:val="18"/>
                <w:color w:val="0000EE"/>
                <w:w w:val="91"/>
              </w:rPr>
              <w:t xml:space="preserve"> </w:t>
            </w:r>
            <w:r>
              <w:rPr>
                <w:rFonts w:ascii="Arial" w:cs="Arial" w:eastAsia="Arial" w:hAnsi="Arial"/>
                <w:sz w:val="18"/>
                <w:szCs w:val="18"/>
                <w:color w:val="000000"/>
                <w:w w:val="91"/>
              </w:rPr>
              <w:t>by Reference to Exhibit 4.5 to the Registration</w:t>
            </w:r>
          </w:p>
        </w:tc>
      </w:tr>
      <w:tr>
        <w:trPr>
          <w:trHeight w:val="222"/>
        </w:trPr>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2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Statement on Form S-1 filed February 2, 2021).</w:t>
            </w:r>
          </w:p>
        </w:tc>
        <w:tc>
          <w:tcPr>
            <w:tcW w:w="4460" w:type="dxa"/>
            <w:vAlign w:val="bottom"/>
            <w:gridSpan w:val="11"/>
          </w:tcPr>
          <w:p>
            <w:pPr>
              <w:spacing w:after="0"/>
              <w:rPr>
                <w:sz w:val="19"/>
                <w:szCs w:val="19"/>
                <w:color w:val="auto"/>
              </w:rPr>
            </w:pPr>
          </w:p>
        </w:tc>
      </w:tr>
      <w:tr>
        <w:trPr>
          <w:trHeight w:val="190"/>
        </w:trPr>
        <w:tc>
          <w:tcPr>
            <w:tcW w:w="1240" w:type="dxa"/>
            <w:vAlign w:val="bottom"/>
          </w:tcPr>
          <w:p>
            <w:pPr>
              <w:spacing w:after="0" w:line="190"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6"/>
                <w:szCs w:val="16"/>
                <w:color w:val="auto"/>
              </w:rPr>
            </w:pPr>
          </w:p>
        </w:tc>
        <w:tc>
          <w:tcPr>
            <w:tcW w:w="9880" w:type="dxa"/>
            <w:vAlign w:val="bottom"/>
            <w:gridSpan w:val="17"/>
          </w:tcPr>
          <w:p>
            <w:pPr>
              <w:spacing w:after="0" w:line="190" w:lineRule="exact"/>
              <w:rPr>
                <w:rFonts w:ascii="Arial" w:cs="Arial" w:eastAsia="Arial" w:hAnsi="Arial"/>
                <w:sz w:val="18"/>
                <w:szCs w:val="18"/>
                <w:color w:val="0000EE"/>
                <w:w w:val="92"/>
              </w:rPr>
            </w:pPr>
            <w:hyperlink r:id="rId123">
              <w:r>
                <w:rPr>
                  <w:rFonts w:ascii="Arial" w:cs="Arial" w:eastAsia="Arial" w:hAnsi="Arial"/>
                  <w:sz w:val="18"/>
                  <w:szCs w:val="18"/>
                  <w:color w:val="0000EE"/>
                  <w:w w:val="92"/>
                </w:rPr>
                <w:t xml:space="preserve">2020 Amended and Restated Equity Incentive Plan </w:t>
              </w:r>
            </w:hyperlink>
            <w:r>
              <w:rPr>
                <w:rFonts w:ascii="Arial" w:cs="Arial" w:eastAsia="Arial" w:hAnsi="Arial"/>
                <w:sz w:val="18"/>
                <w:szCs w:val="18"/>
                <w:color w:val="000000"/>
                <w:w w:val="92"/>
              </w:rPr>
              <w:t>(incorporated</w:t>
            </w:r>
            <w:r>
              <w:rPr>
                <w:rFonts w:ascii="Arial" w:cs="Arial" w:eastAsia="Arial" w:hAnsi="Arial"/>
                <w:sz w:val="18"/>
                <w:szCs w:val="18"/>
                <w:color w:val="0000EE"/>
                <w:w w:val="92"/>
              </w:rPr>
              <w:t xml:space="preserve"> </w:t>
            </w:r>
            <w:r>
              <w:rPr>
                <w:rFonts w:ascii="Arial" w:cs="Arial" w:eastAsia="Arial" w:hAnsi="Arial"/>
                <w:sz w:val="18"/>
                <w:szCs w:val="18"/>
                <w:color w:val="000000"/>
                <w:w w:val="92"/>
              </w:rPr>
              <w:t>by reference to Exhibit 10.1 to Amendment No. 3 to the Registration</w:t>
            </w:r>
          </w:p>
        </w:tc>
      </w:tr>
      <w:tr>
        <w:trPr>
          <w:trHeight w:val="222"/>
        </w:trPr>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2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Statement on Form S-1 filed May 5, 2021).</w:t>
            </w:r>
          </w:p>
        </w:tc>
        <w:tc>
          <w:tcPr>
            <w:tcW w:w="6160" w:type="dxa"/>
            <w:vAlign w:val="bottom"/>
            <w:gridSpan w:val="16"/>
          </w:tcPr>
          <w:p>
            <w:pPr>
              <w:spacing w:after="0"/>
              <w:rPr>
                <w:sz w:val="19"/>
                <w:szCs w:val="19"/>
                <w:color w:val="auto"/>
              </w:rPr>
            </w:pPr>
          </w:p>
        </w:tc>
      </w:tr>
      <w:tr>
        <w:trPr>
          <w:trHeight w:val="190"/>
        </w:trPr>
        <w:tc>
          <w:tcPr>
            <w:tcW w:w="1240" w:type="dxa"/>
            <w:vAlign w:val="bottom"/>
          </w:tcPr>
          <w:p>
            <w:pPr>
              <w:spacing w:after="0" w:line="190" w:lineRule="exact"/>
              <w:rPr>
                <w:sz w:val="20"/>
                <w:szCs w:val="20"/>
                <w:color w:val="auto"/>
              </w:rPr>
            </w:pPr>
            <w:r>
              <w:rPr>
                <w:rFonts w:ascii="Arial" w:cs="Arial" w:eastAsia="Arial" w:hAnsi="Arial"/>
                <w:sz w:val="18"/>
                <w:szCs w:val="18"/>
                <w:color w:val="auto"/>
              </w:rPr>
              <w:t>10.2</w:t>
            </w:r>
          </w:p>
        </w:tc>
        <w:tc>
          <w:tcPr>
            <w:tcW w:w="120" w:type="dxa"/>
            <w:vAlign w:val="bottom"/>
          </w:tcPr>
          <w:p>
            <w:pPr>
              <w:spacing w:after="0"/>
              <w:rPr>
                <w:sz w:val="16"/>
                <w:szCs w:val="16"/>
                <w:color w:val="auto"/>
              </w:rPr>
            </w:pPr>
          </w:p>
        </w:tc>
        <w:tc>
          <w:tcPr>
            <w:tcW w:w="9880" w:type="dxa"/>
            <w:vAlign w:val="bottom"/>
            <w:gridSpan w:val="17"/>
          </w:tcPr>
          <w:p>
            <w:pPr>
              <w:spacing w:after="0" w:line="190" w:lineRule="exact"/>
              <w:rPr>
                <w:rFonts w:ascii="Arial" w:cs="Arial" w:eastAsia="Arial" w:hAnsi="Arial"/>
                <w:sz w:val="18"/>
                <w:szCs w:val="18"/>
                <w:color w:val="0000EE"/>
                <w:w w:val="93"/>
              </w:rPr>
            </w:pPr>
            <w:hyperlink r:id="rId124">
              <w:r>
                <w:rPr>
                  <w:rFonts w:ascii="Arial" w:cs="Arial" w:eastAsia="Arial" w:hAnsi="Arial"/>
                  <w:sz w:val="18"/>
                  <w:szCs w:val="18"/>
                  <w:color w:val="0000EE"/>
                  <w:w w:val="93"/>
                </w:rPr>
                <w:t xml:space="preserve">Form of Sublease Agreement, dated as of December 1, 2018, between BZRTH, Inc. and BizRight, LLC </w:t>
              </w:r>
            </w:hyperlink>
            <w:r>
              <w:rPr>
                <w:rFonts w:ascii="Arial" w:cs="Arial" w:eastAsia="Arial" w:hAnsi="Arial"/>
                <w:sz w:val="18"/>
                <w:szCs w:val="18"/>
                <w:color w:val="000000"/>
                <w:w w:val="93"/>
              </w:rPr>
              <w:t>(incorporated</w:t>
            </w:r>
            <w:r>
              <w:rPr>
                <w:rFonts w:ascii="Arial" w:cs="Arial" w:eastAsia="Arial" w:hAnsi="Arial"/>
                <w:sz w:val="18"/>
                <w:szCs w:val="18"/>
                <w:color w:val="0000EE"/>
                <w:w w:val="93"/>
              </w:rPr>
              <w:t xml:space="preserve"> </w:t>
            </w:r>
            <w:r>
              <w:rPr>
                <w:rFonts w:ascii="Arial" w:cs="Arial" w:eastAsia="Arial" w:hAnsi="Arial"/>
                <w:sz w:val="18"/>
                <w:szCs w:val="18"/>
                <w:color w:val="000000"/>
                <w:w w:val="93"/>
              </w:rPr>
              <w:t>by reference to</w:t>
            </w:r>
          </w:p>
        </w:tc>
      </w:tr>
      <w:tr>
        <w:trPr>
          <w:trHeight w:val="222"/>
        </w:trPr>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80" w:type="dxa"/>
            <w:vAlign w:val="bottom"/>
            <w:tcBorders>
              <w:top w:val="single" w:sz="8" w:color="0000EE"/>
            </w:tcBorders>
            <w:gridSpan w:val="14"/>
          </w:tcPr>
          <w:p>
            <w:pPr>
              <w:spacing w:after="0"/>
              <w:rPr>
                <w:sz w:val="20"/>
                <w:szCs w:val="20"/>
                <w:color w:val="auto"/>
              </w:rPr>
            </w:pPr>
            <w:r>
              <w:rPr>
                <w:rFonts w:ascii="Arial" w:cs="Arial" w:eastAsia="Arial" w:hAnsi="Arial"/>
                <w:sz w:val="18"/>
                <w:szCs w:val="18"/>
                <w:color w:val="auto"/>
              </w:rPr>
              <w:t>Exhibit 10.2 to the Registration Statement on Form S-1 filed February 2, 2021).</w:t>
            </w:r>
          </w:p>
        </w:tc>
        <w:tc>
          <w:tcPr>
            <w:tcW w:w="2200" w:type="dxa"/>
            <w:vAlign w:val="bottom"/>
            <w:gridSpan w:val="3"/>
          </w:tcPr>
          <w:p>
            <w:pPr>
              <w:spacing w:after="0"/>
              <w:rPr>
                <w:sz w:val="19"/>
                <w:szCs w:val="19"/>
                <w:color w:val="auto"/>
              </w:rPr>
            </w:pPr>
          </w:p>
        </w:tc>
      </w:tr>
      <w:tr>
        <w:trPr>
          <w:trHeight w:val="190"/>
        </w:trPr>
        <w:tc>
          <w:tcPr>
            <w:tcW w:w="1240" w:type="dxa"/>
            <w:vAlign w:val="bottom"/>
          </w:tcPr>
          <w:p>
            <w:pPr>
              <w:spacing w:after="0" w:line="190" w:lineRule="exact"/>
              <w:rPr>
                <w:sz w:val="20"/>
                <w:szCs w:val="20"/>
                <w:color w:val="auto"/>
              </w:rPr>
            </w:pPr>
            <w:r>
              <w:rPr>
                <w:rFonts w:ascii="Arial" w:cs="Arial" w:eastAsia="Arial" w:hAnsi="Arial"/>
                <w:sz w:val="18"/>
                <w:szCs w:val="18"/>
                <w:color w:val="auto"/>
              </w:rPr>
              <w:t>10.3</w:t>
            </w:r>
          </w:p>
        </w:tc>
        <w:tc>
          <w:tcPr>
            <w:tcW w:w="120" w:type="dxa"/>
            <w:vAlign w:val="bottom"/>
          </w:tcPr>
          <w:p>
            <w:pPr>
              <w:spacing w:after="0"/>
              <w:rPr>
                <w:sz w:val="16"/>
                <w:szCs w:val="16"/>
                <w:color w:val="auto"/>
              </w:rPr>
            </w:pPr>
          </w:p>
        </w:tc>
        <w:tc>
          <w:tcPr>
            <w:tcW w:w="9880" w:type="dxa"/>
            <w:vAlign w:val="bottom"/>
            <w:gridSpan w:val="17"/>
          </w:tcPr>
          <w:p>
            <w:pPr>
              <w:spacing w:after="0" w:line="190" w:lineRule="exact"/>
              <w:rPr>
                <w:rFonts w:ascii="Arial" w:cs="Arial" w:eastAsia="Arial" w:hAnsi="Arial"/>
                <w:sz w:val="18"/>
                <w:szCs w:val="18"/>
                <w:color w:val="0000EE"/>
                <w:w w:val="92"/>
              </w:rPr>
            </w:pPr>
            <w:hyperlink r:id="rId125">
              <w:r>
                <w:rPr>
                  <w:rFonts w:ascii="Arial" w:cs="Arial" w:eastAsia="Arial" w:hAnsi="Arial"/>
                  <w:sz w:val="18"/>
                  <w:szCs w:val="18"/>
                  <w:color w:val="0000EE"/>
                  <w:w w:val="92"/>
                </w:rPr>
                <w:t xml:space="preserve">Asset Purchase Agreement, dated December 1, 2018, between BZRTH, Inc. and BizRight, LLC </w:t>
              </w:r>
            </w:hyperlink>
            <w:r>
              <w:rPr>
                <w:rFonts w:ascii="Arial" w:cs="Arial" w:eastAsia="Arial" w:hAnsi="Arial"/>
                <w:sz w:val="18"/>
                <w:szCs w:val="18"/>
                <w:color w:val="000000"/>
                <w:w w:val="92"/>
              </w:rPr>
              <w:t>(incorporated</w:t>
            </w:r>
            <w:r>
              <w:rPr>
                <w:rFonts w:ascii="Arial" w:cs="Arial" w:eastAsia="Arial" w:hAnsi="Arial"/>
                <w:sz w:val="18"/>
                <w:szCs w:val="18"/>
                <w:color w:val="0000EE"/>
                <w:w w:val="92"/>
              </w:rPr>
              <w:t xml:space="preserve"> </w:t>
            </w:r>
            <w:r>
              <w:rPr>
                <w:rFonts w:ascii="Arial" w:cs="Arial" w:eastAsia="Arial" w:hAnsi="Arial"/>
                <w:sz w:val="18"/>
                <w:szCs w:val="18"/>
                <w:color w:val="000000"/>
                <w:w w:val="92"/>
              </w:rPr>
              <w:t>by Reference to Exhibit</w:t>
            </w:r>
          </w:p>
        </w:tc>
      </w:tr>
      <w:tr>
        <w:trPr>
          <w:trHeight w:val="222"/>
        </w:trPr>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4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auto"/>
              </w:rPr>
              <w:t>10.3 to the Registration Statement on Form S-1 filed February 2, 2021).</w:t>
            </w:r>
          </w:p>
        </w:tc>
        <w:tc>
          <w:tcPr>
            <w:tcW w:w="2840" w:type="dxa"/>
            <w:vAlign w:val="bottom"/>
            <w:gridSpan w:val="7"/>
          </w:tcPr>
          <w:p>
            <w:pPr>
              <w:spacing w:after="0"/>
              <w:rPr>
                <w:sz w:val="19"/>
                <w:szCs w:val="19"/>
                <w:color w:val="auto"/>
              </w:rPr>
            </w:pPr>
          </w:p>
        </w:tc>
      </w:tr>
      <w:tr>
        <w:trPr>
          <w:trHeight w:val="190"/>
        </w:trPr>
        <w:tc>
          <w:tcPr>
            <w:tcW w:w="1240" w:type="dxa"/>
            <w:vAlign w:val="bottom"/>
          </w:tcPr>
          <w:p>
            <w:pPr>
              <w:spacing w:after="0" w:line="190" w:lineRule="exact"/>
              <w:rPr>
                <w:sz w:val="20"/>
                <w:szCs w:val="20"/>
                <w:color w:val="auto"/>
              </w:rPr>
            </w:pPr>
            <w:r>
              <w:rPr>
                <w:rFonts w:ascii="Arial" w:cs="Arial" w:eastAsia="Arial" w:hAnsi="Arial"/>
                <w:sz w:val="18"/>
                <w:szCs w:val="18"/>
                <w:color w:val="auto"/>
              </w:rPr>
              <w:t>10.4</w:t>
            </w:r>
          </w:p>
        </w:tc>
        <w:tc>
          <w:tcPr>
            <w:tcW w:w="120" w:type="dxa"/>
            <w:vAlign w:val="bottom"/>
          </w:tcPr>
          <w:p>
            <w:pPr>
              <w:spacing w:after="0"/>
              <w:rPr>
                <w:sz w:val="16"/>
                <w:szCs w:val="16"/>
                <w:color w:val="auto"/>
              </w:rPr>
            </w:pPr>
          </w:p>
        </w:tc>
        <w:tc>
          <w:tcPr>
            <w:tcW w:w="9880" w:type="dxa"/>
            <w:vAlign w:val="bottom"/>
            <w:gridSpan w:val="17"/>
          </w:tcPr>
          <w:p>
            <w:pPr>
              <w:spacing w:after="0" w:line="190" w:lineRule="exact"/>
              <w:rPr>
                <w:rFonts w:ascii="Arial" w:cs="Arial" w:eastAsia="Arial" w:hAnsi="Arial"/>
                <w:sz w:val="18"/>
                <w:szCs w:val="18"/>
                <w:color w:val="0000EE"/>
                <w:w w:val="94"/>
              </w:rPr>
            </w:pPr>
            <w:hyperlink r:id="rId126">
              <w:r>
                <w:rPr>
                  <w:rFonts w:ascii="Arial" w:cs="Arial" w:eastAsia="Arial" w:hAnsi="Arial"/>
                  <w:sz w:val="18"/>
                  <w:szCs w:val="18"/>
                  <w:color w:val="0000EE"/>
                  <w:w w:val="94"/>
                </w:rPr>
                <w:t xml:space="preserve">Loan and Security Agreement, dated May 3, 2019, between BZRTH, Inc. and WFC Fund, LLC </w:t>
              </w:r>
            </w:hyperlink>
            <w:r>
              <w:rPr>
                <w:rFonts w:ascii="Arial" w:cs="Arial" w:eastAsia="Arial" w:hAnsi="Arial"/>
                <w:sz w:val="18"/>
                <w:szCs w:val="18"/>
                <w:color w:val="000000"/>
                <w:w w:val="94"/>
              </w:rPr>
              <w:t>(incorporated</w:t>
            </w:r>
            <w:r>
              <w:rPr>
                <w:rFonts w:ascii="Arial" w:cs="Arial" w:eastAsia="Arial" w:hAnsi="Arial"/>
                <w:sz w:val="18"/>
                <w:szCs w:val="18"/>
                <w:color w:val="0000EE"/>
                <w:w w:val="94"/>
              </w:rPr>
              <w:t xml:space="preserve"> </w:t>
            </w:r>
            <w:r>
              <w:rPr>
                <w:rFonts w:ascii="Arial" w:cs="Arial" w:eastAsia="Arial" w:hAnsi="Arial"/>
                <w:sz w:val="18"/>
                <w:szCs w:val="18"/>
                <w:color w:val="000000"/>
                <w:w w:val="94"/>
              </w:rPr>
              <w:t>by reference to Exhibit</w:t>
            </w:r>
          </w:p>
        </w:tc>
      </w:tr>
      <w:tr>
        <w:trPr>
          <w:trHeight w:val="222"/>
        </w:trPr>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80" w:type="dxa"/>
            <w:vAlign w:val="bottom"/>
            <w:tcBorders>
              <w:top w:val="single" w:sz="8" w:color="0000EE"/>
            </w:tcBorders>
            <w:gridSpan w:val="11"/>
          </w:tcPr>
          <w:p>
            <w:pPr>
              <w:spacing w:after="0"/>
              <w:rPr>
                <w:sz w:val="20"/>
                <w:szCs w:val="20"/>
                <w:color w:val="auto"/>
              </w:rPr>
            </w:pPr>
            <w:r>
              <w:rPr>
                <w:rFonts w:ascii="Arial" w:cs="Arial" w:eastAsia="Arial" w:hAnsi="Arial"/>
                <w:sz w:val="18"/>
                <w:szCs w:val="18"/>
                <w:color w:val="auto"/>
              </w:rPr>
              <w:t>10.4 to the Registration Statement on Form S-1 filed February 2, 2021).</w:t>
            </w:r>
          </w:p>
        </w:tc>
        <w:tc>
          <w:tcPr>
            <w:tcW w:w="2800" w:type="dxa"/>
            <w:vAlign w:val="bottom"/>
            <w:gridSpan w:val="6"/>
          </w:tcPr>
          <w:p>
            <w:pPr>
              <w:spacing w:after="0"/>
              <w:rPr>
                <w:sz w:val="19"/>
                <w:szCs w:val="19"/>
                <w:color w:val="auto"/>
              </w:rPr>
            </w:pPr>
          </w:p>
        </w:tc>
      </w:tr>
      <w:tr>
        <w:trPr>
          <w:trHeight w:val="190"/>
        </w:trPr>
        <w:tc>
          <w:tcPr>
            <w:tcW w:w="1240" w:type="dxa"/>
            <w:vAlign w:val="bottom"/>
          </w:tcPr>
          <w:p>
            <w:pPr>
              <w:spacing w:after="0" w:line="190" w:lineRule="exact"/>
              <w:rPr>
                <w:sz w:val="20"/>
                <w:szCs w:val="20"/>
                <w:color w:val="auto"/>
              </w:rPr>
            </w:pPr>
            <w:r>
              <w:rPr>
                <w:rFonts w:ascii="Arial" w:cs="Arial" w:eastAsia="Arial" w:hAnsi="Arial"/>
                <w:sz w:val="18"/>
                <w:szCs w:val="18"/>
                <w:color w:val="auto"/>
              </w:rPr>
              <w:t>10.5</w:t>
            </w:r>
          </w:p>
        </w:tc>
        <w:tc>
          <w:tcPr>
            <w:tcW w:w="120" w:type="dxa"/>
            <w:vAlign w:val="bottom"/>
          </w:tcPr>
          <w:p>
            <w:pPr>
              <w:spacing w:after="0"/>
              <w:rPr>
                <w:sz w:val="16"/>
                <w:szCs w:val="16"/>
                <w:color w:val="auto"/>
              </w:rPr>
            </w:pPr>
          </w:p>
        </w:tc>
        <w:tc>
          <w:tcPr>
            <w:tcW w:w="9880" w:type="dxa"/>
            <w:vAlign w:val="bottom"/>
            <w:gridSpan w:val="17"/>
          </w:tcPr>
          <w:p>
            <w:pPr>
              <w:spacing w:after="0" w:line="190" w:lineRule="exact"/>
              <w:rPr>
                <w:rFonts w:ascii="Arial" w:cs="Arial" w:eastAsia="Arial" w:hAnsi="Arial"/>
                <w:sz w:val="18"/>
                <w:szCs w:val="18"/>
                <w:color w:val="0000EE"/>
                <w:w w:val="93"/>
              </w:rPr>
            </w:pPr>
            <w:hyperlink r:id="rId127">
              <w:r>
                <w:rPr>
                  <w:rFonts w:ascii="Arial" w:cs="Arial" w:eastAsia="Arial" w:hAnsi="Arial"/>
                  <w:sz w:val="18"/>
                  <w:szCs w:val="18"/>
                  <w:color w:val="0000EE"/>
                  <w:w w:val="93"/>
                </w:rPr>
                <w:t xml:space="preserve">Consulting Agreement, dated February 1, 2020, between BZRTH, Inc. and Allan Huang </w:t>
              </w:r>
            </w:hyperlink>
            <w:r>
              <w:rPr>
                <w:rFonts w:ascii="Arial" w:cs="Arial" w:eastAsia="Arial" w:hAnsi="Arial"/>
                <w:sz w:val="18"/>
                <w:szCs w:val="18"/>
                <w:color w:val="000000"/>
                <w:w w:val="93"/>
              </w:rPr>
              <w:t>(incorporated</w:t>
            </w:r>
            <w:r>
              <w:rPr>
                <w:rFonts w:ascii="Arial" w:cs="Arial" w:eastAsia="Arial" w:hAnsi="Arial"/>
                <w:sz w:val="18"/>
                <w:szCs w:val="18"/>
                <w:color w:val="0000EE"/>
                <w:w w:val="93"/>
              </w:rPr>
              <w:t xml:space="preserve"> </w:t>
            </w:r>
            <w:r>
              <w:rPr>
                <w:rFonts w:ascii="Arial" w:cs="Arial" w:eastAsia="Arial" w:hAnsi="Arial"/>
                <w:sz w:val="18"/>
                <w:szCs w:val="18"/>
                <w:color w:val="000000"/>
                <w:w w:val="93"/>
              </w:rPr>
              <w:t>by reference to Exhibit 10.5 to</w:t>
            </w:r>
          </w:p>
        </w:tc>
      </w:tr>
      <w:tr>
        <w:trPr>
          <w:trHeight w:val="222"/>
        </w:trPr>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50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auto"/>
                <w:w w:val="99"/>
              </w:rPr>
              <w:t>Amendment No. 1 to the Registration Statement on Form S-1 filed April 15, 2021).</w:t>
            </w:r>
          </w:p>
        </w:tc>
        <w:tc>
          <w:tcPr>
            <w:tcW w:w="3380" w:type="dxa"/>
            <w:vAlign w:val="bottom"/>
            <w:gridSpan w:val="8"/>
          </w:tcPr>
          <w:p>
            <w:pPr>
              <w:spacing w:after="0"/>
              <w:rPr>
                <w:sz w:val="19"/>
                <w:szCs w:val="19"/>
                <w:color w:val="auto"/>
              </w:rPr>
            </w:pPr>
          </w:p>
        </w:tc>
      </w:tr>
      <w:tr>
        <w:trPr>
          <w:trHeight w:val="190"/>
        </w:trPr>
        <w:tc>
          <w:tcPr>
            <w:tcW w:w="1240" w:type="dxa"/>
            <w:vAlign w:val="bottom"/>
          </w:tcPr>
          <w:p>
            <w:pPr>
              <w:spacing w:after="0" w:line="190" w:lineRule="exact"/>
              <w:rPr>
                <w:sz w:val="20"/>
                <w:szCs w:val="20"/>
                <w:color w:val="auto"/>
              </w:rPr>
            </w:pPr>
            <w:r>
              <w:rPr>
                <w:rFonts w:ascii="Arial" w:cs="Arial" w:eastAsia="Arial" w:hAnsi="Arial"/>
                <w:sz w:val="18"/>
                <w:szCs w:val="18"/>
                <w:color w:val="auto"/>
              </w:rPr>
              <w:t>10.6</w:t>
            </w:r>
          </w:p>
        </w:tc>
        <w:tc>
          <w:tcPr>
            <w:tcW w:w="120" w:type="dxa"/>
            <w:vAlign w:val="bottom"/>
          </w:tcPr>
          <w:p>
            <w:pPr>
              <w:spacing w:after="0"/>
              <w:rPr>
                <w:sz w:val="16"/>
                <w:szCs w:val="16"/>
                <w:color w:val="auto"/>
              </w:rPr>
            </w:pPr>
          </w:p>
        </w:tc>
        <w:tc>
          <w:tcPr>
            <w:tcW w:w="9880" w:type="dxa"/>
            <w:vAlign w:val="bottom"/>
            <w:gridSpan w:val="17"/>
          </w:tcPr>
          <w:p>
            <w:pPr>
              <w:spacing w:after="0" w:line="190" w:lineRule="exact"/>
              <w:rPr>
                <w:rFonts w:ascii="Arial" w:cs="Arial" w:eastAsia="Arial" w:hAnsi="Arial"/>
                <w:sz w:val="18"/>
                <w:szCs w:val="18"/>
                <w:color w:val="0000EE"/>
                <w:w w:val="92"/>
              </w:rPr>
            </w:pPr>
            <w:hyperlink r:id="rId128">
              <w:r>
                <w:rPr>
                  <w:rFonts w:ascii="Arial" w:cs="Arial" w:eastAsia="Arial" w:hAnsi="Arial"/>
                  <w:sz w:val="18"/>
                  <w:szCs w:val="18"/>
                  <w:color w:val="0000EE"/>
                  <w:w w:val="92"/>
                </w:rPr>
                <w:t xml:space="preserve">Note for PPP Loan, dated April 13, 2020, issued to Royal Business Bank </w:t>
              </w:r>
            </w:hyperlink>
            <w:r>
              <w:rPr>
                <w:rFonts w:ascii="Arial" w:cs="Arial" w:eastAsia="Arial" w:hAnsi="Arial"/>
                <w:sz w:val="18"/>
                <w:szCs w:val="18"/>
                <w:color w:val="000000"/>
                <w:w w:val="92"/>
              </w:rPr>
              <w:t>(incorporated</w:t>
            </w:r>
            <w:r>
              <w:rPr>
                <w:rFonts w:ascii="Arial" w:cs="Arial" w:eastAsia="Arial" w:hAnsi="Arial"/>
                <w:sz w:val="18"/>
                <w:szCs w:val="18"/>
                <w:color w:val="0000EE"/>
                <w:w w:val="92"/>
              </w:rPr>
              <w:t xml:space="preserve"> </w:t>
            </w:r>
            <w:r>
              <w:rPr>
                <w:rFonts w:ascii="Arial" w:cs="Arial" w:eastAsia="Arial" w:hAnsi="Arial"/>
                <w:sz w:val="18"/>
                <w:szCs w:val="18"/>
                <w:color w:val="000000"/>
                <w:w w:val="92"/>
              </w:rPr>
              <w:t>by reference to Exhibit 10.5 to the Registration</w:t>
            </w:r>
          </w:p>
        </w:tc>
      </w:tr>
      <w:tr>
        <w:trPr>
          <w:trHeight w:val="222"/>
        </w:trPr>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4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Statement on Form S-1 filed February 1, 2021).</w:t>
            </w:r>
          </w:p>
        </w:tc>
        <w:tc>
          <w:tcPr>
            <w:tcW w:w="4540" w:type="dxa"/>
            <w:vAlign w:val="bottom"/>
            <w:gridSpan w:val="12"/>
          </w:tcPr>
          <w:p>
            <w:pPr>
              <w:spacing w:after="0"/>
              <w:rPr>
                <w:sz w:val="19"/>
                <w:szCs w:val="19"/>
                <w:color w:val="auto"/>
              </w:rPr>
            </w:pPr>
          </w:p>
        </w:tc>
      </w:tr>
      <w:tr>
        <w:trPr>
          <w:trHeight w:val="190"/>
        </w:trPr>
        <w:tc>
          <w:tcPr>
            <w:tcW w:w="1240" w:type="dxa"/>
            <w:vAlign w:val="bottom"/>
          </w:tcPr>
          <w:p>
            <w:pPr>
              <w:spacing w:after="0" w:line="190" w:lineRule="exact"/>
              <w:rPr>
                <w:sz w:val="20"/>
                <w:szCs w:val="20"/>
                <w:color w:val="auto"/>
              </w:rPr>
            </w:pPr>
            <w:r>
              <w:rPr>
                <w:rFonts w:ascii="Arial" w:cs="Arial" w:eastAsia="Arial" w:hAnsi="Arial"/>
                <w:sz w:val="18"/>
                <w:szCs w:val="18"/>
                <w:color w:val="auto"/>
              </w:rPr>
              <w:t>10.7</w:t>
            </w:r>
          </w:p>
        </w:tc>
        <w:tc>
          <w:tcPr>
            <w:tcW w:w="120" w:type="dxa"/>
            <w:vAlign w:val="bottom"/>
          </w:tcPr>
          <w:p>
            <w:pPr>
              <w:spacing w:after="0"/>
              <w:rPr>
                <w:sz w:val="16"/>
                <w:szCs w:val="16"/>
                <w:color w:val="auto"/>
              </w:rPr>
            </w:pPr>
          </w:p>
        </w:tc>
        <w:tc>
          <w:tcPr>
            <w:tcW w:w="9880" w:type="dxa"/>
            <w:vAlign w:val="bottom"/>
            <w:gridSpan w:val="17"/>
          </w:tcPr>
          <w:p>
            <w:pPr>
              <w:spacing w:after="0" w:line="190" w:lineRule="exact"/>
              <w:rPr>
                <w:rFonts w:ascii="Arial" w:cs="Arial" w:eastAsia="Arial" w:hAnsi="Arial"/>
                <w:sz w:val="18"/>
                <w:szCs w:val="18"/>
                <w:color w:val="0000EE"/>
                <w:w w:val="92"/>
              </w:rPr>
            </w:pPr>
            <w:hyperlink r:id="rId129">
              <w:r>
                <w:rPr>
                  <w:rFonts w:ascii="Arial" w:cs="Arial" w:eastAsia="Arial" w:hAnsi="Arial"/>
                  <w:sz w:val="18"/>
                  <w:szCs w:val="18"/>
                  <w:color w:val="0000EE"/>
                  <w:w w:val="92"/>
                </w:rPr>
                <w:t xml:space="preserve">Loan Authorization and Agreement, dated April 18, 2020, between BZRTH, Inc. and U.S. Small Business Administration </w:t>
              </w:r>
            </w:hyperlink>
            <w:r>
              <w:rPr>
                <w:rFonts w:ascii="Arial" w:cs="Arial" w:eastAsia="Arial" w:hAnsi="Arial"/>
                <w:sz w:val="18"/>
                <w:szCs w:val="18"/>
                <w:color w:val="000000"/>
                <w:w w:val="92"/>
              </w:rPr>
              <w:t>(incorporated</w:t>
            </w:r>
          </w:p>
        </w:tc>
      </w:tr>
      <w:tr>
        <w:trPr>
          <w:trHeight w:val="222"/>
        </w:trPr>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60" w:type="dxa"/>
            <w:vAlign w:val="bottom"/>
            <w:tcBorders>
              <w:top w:val="single" w:sz="8" w:color="0000EE"/>
            </w:tcBorders>
            <w:gridSpan w:val="16"/>
          </w:tcPr>
          <w:p>
            <w:pPr>
              <w:spacing w:after="0"/>
              <w:rPr>
                <w:sz w:val="20"/>
                <w:szCs w:val="20"/>
                <w:color w:val="auto"/>
              </w:rPr>
            </w:pPr>
            <w:r>
              <w:rPr>
                <w:rFonts w:ascii="Arial" w:cs="Arial" w:eastAsia="Arial" w:hAnsi="Arial"/>
                <w:sz w:val="18"/>
                <w:szCs w:val="18"/>
                <w:color w:val="auto"/>
              </w:rPr>
              <w:t>by reference to Exhibit 10.6 to the Registration Statement on Form S-1 filed February 1, 2021).</w:t>
            </w:r>
          </w:p>
        </w:tc>
        <w:tc>
          <w:tcPr>
            <w:tcW w:w="1020" w:type="dxa"/>
            <w:vAlign w:val="bottom"/>
          </w:tcPr>
          <w:p>
            <w:pPr>
              <w:spacing w:after="0"/>
              <w:rPr>
                <w:sz w:val="19"/>
                <w:szCs w:val="19"/>
                <w:color w:val="auto"/>
              </w:rPr>
            </w:pPr>
          </w:p>
        </w:tc>
      </w:tr>
      <w:tr>
        <w:trPr>
          <w:trHeight w:val="190"/>
        </w:trPr>
        <w:tc>
          <w:tcPr>
            <w:tcW w:w="1240" w:type="dxa"/>
            <w:vAlign w:val="bottom"/>
          </w:tcPr>
          <w:p>
            <w:pPr>
              <w:spacing w:after="0" w:line="190" w:lineRule="exact"/>
              <w:rPr>
                <w:sz w:val="20"/>
                <w:szCs w:val="20"/>
                <w:color w:val="auto"/>
              </w:rPr>
            </w:pPr>
            <w:r>
              <w:rPr>
                <w:rFonts w:ascii="Arial" w:cs="Arial" w:eastAsia="Arial" w:hAnsi="Arial"/>
                <w:sz w:val="18"/>
                <w:szCs w:val="18"/>
                <w:color w:val="auto"/>
              </w:rPr>
              <w:t>10.8</w:t>
            </w:r>
          </w:p>
        </w:tc>
        <w:tc>
          <w:tcPr>
            <w:tcW w:w="120" w:type="dxa"/>
            <w:vAlign w:val="bottom"/>
          </w:tcPr>
          <w:p>
            <w:pPr>
              <w:spacing w:after="0"/>
              <w:rPr>
                <w:sz w:val="16"/>
                <w:szCs w:val="16"/>
                <w:color w:val="auto"/>
              </w:rPr>
            </w:pPr>
          </w:p>
        </w:tc>
        <w:tc>
          <w:tcPr>
            <w:tcW w:w="9880" w:type="dxa"/>
            <w:vAlign w:val="bottom"/>
            <w:gridSpan w:val="17"/>
          </w:tcPr>
          <w:p>
            <w:pPr>
              <w:spacing w:after="0" w:line="190" w:lineRule="exact"/>
              <w:rPr>
                <w:rFonts w:ascii="Arial" w:cs="Arial" w:eastAsia="Arial" w:hAnsi="Arial"/>
                <w:sz w:val="18"/>
                <w:szCs w:val="18"/>
                <w:color w:val="0000EE"/>
                <w:w w:val="92"/>
              </w:rPr>
            </w:pPr>
            <w:hyperlink r:id="rId130">
              <w:r>
                <w:rPr>
                  <w:rFonts w:ascii="Arial" w:cs="Arial" w:eastAsia="Arial" w:hAnsi="Arial"/>
                  <w:sz w:val="18"/>
                  <w:szCs w:val="18"/>
                  <w:color w:val="0000EE"/>
                  <w:w w:val="92"/>
                </w:rPr>
                <w:t xml:space="preserve">Employment Agreement, dated July 1, 2020, between iPower Inc. and Chenlong Tan </w:t>
              </w:r>
            </w:hyperlink>
            <w:r>
              <w:rPr>
                <w:rFonts w:ascii="Arial" w:cs="Arial" w:eastAsia="Arial" w:hAnsi="Arial"/>
                <w:sz w:val="18"/>
                <w:szCs w:val="18"/>
                <w:color w:val="000000"/>
                <w:w w:val="92"/>
              </w:rPr>
              <w:t>(incorporated</w:t>
            </w:r>
            <w:r>
              <w:rPr>
                <w:rFonts w:ascii="Arial" w:cs="Arial" w:eastAsia="Arial" w:hAnsi="Arial"/>
                <w:sz w:val="18"/>
                <w:szCs w:val="18"/>
                <w:color w:val="0000EE"/>
                <w:w w:val="92"/>
              </w:rPr>
              <w:t xml:space="preserve"> </w:t>
            </w:r>
            <w:r>
              <w:rPr>
                <w:rFonts w:ascii="Arial" w:cs="Arial" w:eastAsia="Arial" w:hAnsi="Arial"/>
                <w:sz w:val="18"/>
                <w:szCs w:val="18"/>
                <w:color w:val="000000"/>
                <w:w w:val="92"/>
              </w:rPr>
              <w:t>by reference to Exhibit 10.7 to the</w:t>
            </w:r>
          </w:p>
        </w:tc>
      </w:tr>
      <w:tr>
        <w:trPr>
          <w:trHeight w:val="222"/>
        </w:trPr>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4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auto"/>
              </w:rPr>
              <w:t>Registration Statement on Form S-1 filed February 2, 2021).</w:t>
            </w:r>
          </w:p>
        </w:tc>
        <w:tc>
          <w:tcPr>
            <w:tcW w:w="3640" w:type="dxa"/>
            <w:vAlign w:val="bottom"/>
            <w:gridSpan w:val="9"/>
          </w:tcPr>
          <w:p>
            <w:pPr>
              <w:spacing w:after="0"/>
              <w:rPr>
                <w:sz w:val="19"/>
                <w:szCs w:val="19"/>
                <w:color w:val="auto"/>
              </w:rPr>
            </w:pPr>
          </w:p>
        </w:tc>
      </w:tr>
      <w:tr>
        <w:trPr>
          <w:trHeight w:val="190"/>
        </w:trPr>
        <w:tc>
          <w:tcPr>
            <w:tcW w:w="1240" w:type="dxa"/>
            <w:vAlign w:val="bottom"/>
          </w:tcPr>
          <w:p>
            <w:pPr>
              <w:spacing w:after="0" w:line="190" w:lineRule="exact"/>
              <w:rPr>
                <w:sz w:val="20"/>
                <w:szCs w:val="20"/>
                <w:color w:val="auto"/>
              </w:rPr>
            </w:pPr>
            <w:r>
              <w:rPr>
                <w:rFonts w:ascii="Arial" w:cs="Arial" w:eastAsia="Arial" w:hAnsi="Arial"/>
                <w:sz w:val="18"/>
                <w:szCs w:val="18"/>
                <w:color w:val="auto"/>
              </w:rPr>
              <w:t>10.9</w:t>
            </w:r>
          </w:p>
        </w:tc>
        <w:tc>
          <w:tcPr>
            <w:tcW w:w="120" w:type="dxa"/>
            <w:vAlign w:val="bottom"/>
          </w:tcPr>
          <w:p>
            <w:pPr>
              <w:spacing w:after="0"/>
              <w:rPr>
                <w:sz w:val="16"/>
                <w:szCs w:val="16"/>
                <w:color w:val="auto"/>
              </w:rPr>
            </w:pPr>
          </w:p>
        </w:tc>
        <w:tc>
          <w:tcPr>
            <w:tcW w:w="9880" w:type="dxa"/>
            <w:vAlign w:val="bottom"/>
            <w:gridSpan w:val="17"/>
          </w:tcPr>
          <w:p>
            <w:pPr>
              <w:spacing w:after="0" w:line="190" w:lineRule="exact"/>
              <w:rPr>
                <w:rFonts w:ascii="Arial" w:cs="Arial" w:eastAsia="Arial" w:hAnsi="Arial"/>
                <w:sz w:val="18"/>
                <w:szCs w:val="18"/>
                <w:color w:val="0000EE"/>
                <w:w w:val="96"/>
              </w:rPr>
            </w:pPr>
            <w:hyperlink r:id="rId131">
              <w:r>
                <w:rPr>
                  <w:rFonts w:ascii="Arial" w:cs="Arial" w:eastAsia="Arial" w:hAnsi="Arial"/>
                  <w:sz w:val="18"/>
                  <w:szCs w:val="18"/>
                  <w:color w:val="0000EE"/>
                  <w:w w:val="96"/>
                </w:rPr>
                <w:t xml:space="preserve">Standard Industrial Multi-Tenant Lease, dated as of September 1, 2020, between BZRTH, Inc. and Nelson, LLC </w:t>
              </w:r>
            </w:hyperlink>
            <w:r>
              <w:rPr>
                <w:rFonts w:ascii="Arial" w:cs="Arial" w:eastAsia="Arial" w:hAnsi="Arial"/>
                <w:sz w:val="18"/>
                <w:szCs w:val="18"/>
                <w:color w:val="000000"/>
                <w:w w:val="96"/>
              </w:rPr>
              <w:t>(incorporated</w:t>
            </w:r>
            <w:r>
              <w:rPr>
                <w:rFonts w:ascii="Arial" w:cs="Arial" w:eastAsia="Arial" w:hAnsi="Arial"/>
                <w:sz w:val="18"/>
                <w:szCs w:val="18"/>
                <w:color w:val="0000EE"/>
                <w:w w:val="96"/>
              </w:rPr>
              <w:t xml:space="preserve"> </w:t>
            </w:r>
            <w:r>
              <w:rPr>
                <w:rFonts w:ascii="Arial" w:cs="Arial" w:eastAsia="Arial" w:hAnsi="Arial"/>
                <w:sz w:val="18"/>
                <w:szCs w:val="18"/>
                <w:color w:val="000000"/>
                <w:w w:val="96"/>
              </w:rPr>
              <w:t>by</w:t>
            </w:r>
          </w:p>
        </w:tc>
      </w:tr>
      <w:tr>
        <w:trPr>
          <w:trHeight w:val="222"/>
        </w:trPr>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560" w:type="dxa"/>
            <w:vAlign w:val="bottom"/>
            <w:tcBorders>
              <w:top w:val="single" w:sz="8" w:color="0000EE"/>
            </w:tcBorders>
            <w:gridSpan w:val="15"/>
          </w:tcPr>
          <w:p>
            <w:pPr>
              <w:spacing w:after="0"/>
              <w:rPr>
                <w:sz w:val="20"/>
                <w:szCs w:val="20"/>
                <w:color w:val="auto"/>
              </w:rPr>
            </w:pPr>
            <w:r>
              <w:rPr>
                <w:rFonts w:ascii="Arial" w:cs="Arial" w:eastAsia="Arial" w:hAnsi="Arial"/>
                <w:sz w:val="18"/>
                <w:szCs w:val="18"/>
                <w:color w:val="auto"/>
              </w:rPr>
              <w:t>reference to Exhibit 10.8 to the Registration Statement on Form S-1 filed February 2, 2021).</w:t>
            </w:r>
          </w:p>
        </w:tc>
        <w:tc>
          <w:tcPr>
            <w:tcW w:w="1320" w:type="dxa"/>
            <w:vAlign w:val="bottom"/>
            <w:gridSpan w:val="2"/>
          </w:tcPr>
          <w:p>
            <w:pPr>
              <w:spacing w:after="0"/>
              <w:rPr>
                <w:sz w:val="19"/>
                <w:szCs w:val="19"/>
                <w:color w:val="auto"/>
              </w:rPr>
            </w:pPr>
          </w:p>
        </w:tc>
      </w:tr>
      <w:tr>
        <w:trPr>
          <w:trHeight w:val="190"/>
        </w:trPr>
        <w:tc>
          <w:tcPr>
            <w:tcW w:w="1240" w:type="dxa"/>
            <w:vAlign w:val="bottom"/>
          </w:tcPr>
          <w:p>
            <w:pPr>
              <w:spacing w:after="0" w:line="190" w:lineRule="exact"/>
              <w:rPr>
                <w:sz w:val="20"/>
                <w:szCs w:val="20"/>
                <w:color w:val="auto"/>
              </w:rPr>
            </w:pPr>
            <w:r>
              <w:rPr>
                <w:rFonts w:ascii="Arial" w:cs="Arial" w:eastAsia="Arial" w:hAnsi="Arial"/>
                <w:sz w:val="18"/>
                <w:szCs w:val="18"/>
                <w:color w:val="auto"/>
              </w:rPr>
              <w:t>10.10</w:t>
            </w:r>
          </w:p>
        </w:tc>
        <w:tc>
          <w:tcPr>
            <w:tcW w:w="120" w:type="dxa"/>
            <w:vAlign w:val="bottom"/>
          </w:tcPr>
          <w:p>
            <w:pPr>
              <w:spacing w:after="0"/>
              <w:rPr>
                <w:sz w:val="16"/>
                <w:szCs w:val="16"/>
                <w:color w:val="auto"/>
              </w:rPr>
            </w:pPr>
          </w:p>
        </w:tc>
        <w:tc>
          <w:tcPr>
            <w:tcW w:w="9880" w:type="dxa"/>
            <w:vAlign w:val="bottom"/>
            <w:tcBorders>
              <w:bottom w:val="single" w:sz="8" w:color="0000EE"/>
            </w:tcBorders>
            <w:gridSpan w:val="17"/>
          </w:tcPr>
          <w:p>
            <w:pPr>
              <w:spacing w:after="0" w:line="190" w:lineRule="exact"/>
              <w:rPr>
                <w:rFonts w:ascii="Arial" w:cs="Arial" w:eastAsia="Arial" w:hAnsi="Arial"/>
                <w:sz w:val="18"/>
                <w:szCs w:val="18"/>
                <w:color w:val="0000EE"/>
                <w:w w:val="97"/>
              </w:rPr>
            </w:pPr>
            <w:hyperlink r:id="rId132">
              <w:r>
                <w:rPr>
                  <w:rFonts w:ascii="Arial" w:cs="Arial" w:eastAsia="Arial" w:hAnsi="Arial"/>
                  <w:sz w:val="18"/>
                  <w:szCs w:val="18"/>
                  <w:color w:val="0000EE"/>
                  <w:w w:val="97"/>
                </w:rPr>
                <w:t>Exclusive Business Cooperation Agreement, dated September 4, 2020, between iPower Inc. and Global Product Marketing Inc.</w:t>
              </w:r>
            </w:hyperlink>
          </w:p>
        </w:tc>
      </w:tr>
      <w:tr>
        <w:trPr>
          <w:trHeight w:val="222"/>
        </w:trPr>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80" w:type="dxa"/>
            <w:vAlign w:val="bottom"/>
            <w:gridSpan w:val="17"/>
          </w:tcPr>
          <w:p>
            <w:pPr>
              <w:spacing w:after="0"/>
              <w:rPr>
                <w:sz w:val="20"/>
                <w:szCs w:val="20"/>
                <w:color w:val="auto"/>
              </w:rPr>
            </w:pPr>
            <w:r>
              <w:rPr>
                <w:rFonts w:ascii="Arial" w:cs="Arial" w:eastAsia="Arial" w:hAnsi="Arial"/>
                <w:sz w:val="18"/>
                <w:szCs w:val="18"/>
                <w:color w:val="auto"/>
              </w:rPr>
              <w:t>(incorporated by reference to Exhibit 10.9 to the Registration Statement on Form S-1 filed February 2, 2021).</w:t>
            </w:r>
          </w:p>
        </w:tc>
      </w:tr>
      <w:tr>
        <w:trPr>
          <w:trHeight w:val="190"/>
        </w:trPr>
        <w:tc>
          <w:tcPr>
            <w:tcW w:w="1240" w:type="dxa"/>
            <w:vAlign w:val="bottom"/>
          </w:tcPr>
          <w:p>
            <w:pPr>
              <w:spacing w:after="0" w:line="190" w:lineRule="exact"/>
              <w:rPr>
                <w:sz w:val="20"/>
                <w:szCs w:val="20"/>
                <w:color w:val="auto"/>
              </w:rPr>
            </w:pPr>
            <w:r>
              <w:rPr>
                <w:rFonts w:ascii="Arial" w:cs="Arial" w:eastAsia="Arial" w:hAnsi="Arial"/>
                <w:sz w:val="18"/>
                <w:szCs w:val="18"/>
                <w:color w:val="auto"/>
              </w:rPr>
              <w:t>10.11</w:t>
            </w:r>
          </w:p>
        </w:tc>
        <w:tc>
          <w:tcPr>
            <w:tcW w:w="120" w:type="dxa"/>
            <w:vAlign w:val="bottom"/>
          </w:tcPr>
          <w:p>
            <w:pPr>
              <w:spacing w:after="0"/>
              <w:rPr>
                <w:sz w:val="16"/>
                <w:szCs w:val="16"/>
                <w:color w:val="auto"/>
              </w:rPr>
            </w:pPr>
          </w:p>
        </w:tc>
        <w:tc>
          <w:tcPr>
            <w:tcW w:w="9880" w:type="dxa"/>
            <w:vAlign w:val="bottom"/>
            <w:gridSpan w:val="17"/>
          </w:tcPr>
          <w:p>
            <w:pPr>
              <w:spacing w:after="0" w:line="190" w:lineRule="exact"/>
              <w:rPr>
                <w:rFonts w:ascii="Arial" w:cs="Arial" w:eastAsia="Arial" w:hAnsi="Arial"/>
                <w:sz w:val="18"/>
                <w:szCs w:val="18"/>
                <w:color w:val="0000EE"/>
                <w:w w:val="93"/>
              </w:rPr>
            </w:pPr>
            <w:hyperlink r:id="rId133">
              <w:r>
                <w:rPr>
                  <w:rFonts w:ascii="Arial" w:cs="Arial" w:eastAsia="Arial" w:hAnsi="Arial"/>
                  <w:sz w:val="18"/>
                  <w:szCs w:val="18"/>
                  <w:color w:val="0000EE"/>
                  <w:w w:val="93"/>
                </w:rPr>
                <w:t xml:space="preserve">Restricted Stock Purchase Agreement, dated October 20, 2020, between iPower Inc. and Allan Huang </w:t>
              </w:r>
            </w:hyperlink>
            <w:r>
              <w:rPr>
                <w:rFonts w:ascii="Arial" w:cs="Arial" w:eastAsia="Arial" w:hAnsi="Arial"/>
                <w:sz w:val="18"/>
                <w:szCs w:val="18"/>
                <w:color w:val="000000"/>
                <w:w w:val="93"/>
              </w:rPr>
              <w:t>(incorporated</w:t>
            </w:r>
            <w:r>
              <w:rPr>
                <w:rFonts w:ascii="Arial" w:cs="Arial" w:eastAsia="Arial" w:hAnsi="Arial"/>
                <w:sz w:val="18"/>
                <w:szCs w:val="18"/>
                <w:color w:val="0000EE"/>
                <w:w w:val="93"/>
              </w:rPr>
              <w:t xml:space="preserve"> </w:t>
            </w:r>
            <w:r>
              <w:rPr>
                <w:rFonts w:ascii="Arial" w:cs="Arial" w:eastAsia="Arial" w:hAnsi="Arial"/>
                <w:sz w:val="18"/>
                <w:szCs w:val="18"/>
                <w:color w:val="000000"/>
                <w:w w:val="93"/>
              </w:rPr>
              <w:t>by reference to</w:t>
            </w:r>
          </w:p>
        </w:tc>
      </w:tr>
      <w:tr>
        <w:trPr>
          <w:trHeight w:val="222"/>
        </w:trPr>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40" w:type="dxa"/>
            <w:vAlign w:val="bottom"/>
            <w:tcBorders>
              <w:top w:val="single" w:sz="8" w:color="0000EE"/>
            </w:tcBorders>
            <w:gridSpan w:val="12"/>
          </w:tcPr>
          <w:p>
            <w:pPr>
              <w:spacing w:after="0"/>
              <w:rPr>
                <w:sz w:val="20"/>
                <w:szCs w:val="20"/>
                <w:color w:val="auto"/>
              </w:rPr>
            </w:pPr>
            <w:r>
              <w:rPr>
                <w:rFonts w:ascii="Arial" w:cs="Arial" w:eastAsia="Arial" w:hAnsi="Arial"/>
                <w:sz w:val="18"/>
                <w:szCs w:val="18"/>
                <w:color w:val="auto"/>
              </w:rPr>
              <w:t>Exhibit 10.10 to the Registration Statement on Form S-1 filed February 2, 2021).</w:t>
            </w:r>
          </w:p>
        </w:tc>
        <w:tc>
          <w:tcPr>
            <w:tcW w:w="2240" w:type="dxa"/>
            <w:vAlign w:val="bottom"/>
            <w:gridSpan w:val="5"/>
          </w:tcPr>
          <w:p>
            <w:pPr>
              <w:spacing w:after="0"/>
              <w:rPr>
                <w:sz w:val="19"/>
                <w:szCs w:val="19"/>
                <w:color w:val="auto"/>
              </w:rPr>
            </w:pPr>
          </w:p>
        </w:tc>
      </w:tr>
      <w:tr>
        <w:trPr>
          <w:trHeight w:val="190"/>
        </w:trPr>
        <w:tc>
          <w:tcPr>
            <w:tcW w:w="1240" w:type="dxa"/>
            <w:vAlign w:val="bottom"/>
          </w:tcPr>
          <w:p>
            <w:pPr>
              <w:spacing w:after="0" w:line="190" w:lineRule="exact"/>
              <w:rPr>
                <w:sz w:val="20"/>
                <w:szCs w:val="20"/>
                <w:color w:val="auto"/>
              </w:rPr>
            </w:pPr>
            <w:r>
              <w:rPr>
                <w:rFonts w:ascii="Arial" w:cs="Arial" w:eastAsia="Arial" w:hAnsi="Arial"/>
                <w:sz w:val="18"/>
                <w:szCs w:val="18"/>
                <w:color w:val="auto"/>
              </w:rPr>
              <w:t>10.12</w:t>
            </w:r>
          </w:p>
        </w:tc>
        <w:tc>
          <w:tcPr>
            <w:tcW w:w="120" w:type="dxa"/>
            <w:vAlign w:val="bottom"/>
          </w:tcPr>
          <w:p>
            <w:pPr>
              <w:spacing w:after="0"/>
              <w:rPr>
                <w:sz w:val="16"/>
                <w:szCs w:val="16"/>
                <w:color w:val="auto"/>
              </w:rPr>
            </w:pPr>
          </w:p>
        </w:tc>
        <w:tc>
          <w:tcPr>
            <w:tcW w:w="9880" w:type="dxa"/>
            <w:vAlign w:val="bottom"/>
            <w:gridSpan w:val="17"/>
          </w:tcPr>
          <w:p>
            <w:pPr>
              <w:spacing w:after="0" w:line="190" w:lineRule="exact"/>
              <w:rPr>
                <w:rFonts w:ascii="Arial" w:cs="Arial" w:eastAsia="Arial" w:hAnsi="Arial"/>
                <w:sz w:val="18"/>
                <w:szCs w:val="18"/>
                <w:color w:val="0000EE"/>
                <w:w w:val="92"/>
              </w:rPr>
            </w:pPr>
            <w:hyperlink r:id="rId134">
              <w:r>
                <w:rPr>
                  <w:rFonts w:ascii="Arial" w:cs="Arial" w:eastAsia="Arial" w:hAnsi="Arial"/>
                  <w:sz w:val="18"/>
                  <w:szCs w:val="18"/>
                  <w:color w:val="0000EE"/>
                  <w:w w:val="92"/>
                </w:rPr>
                <w:t xml:space="preserve">Restricted Stock Purchase Agreement, dated October 20, 2020, between iPower Inc. and Chenlong Tan </w:t>
              </w:r>
            </w:hyperlink>
            <w:r>
              <w:rPr>
                <w:rFonts w:ascii="Arial" w:cs="Arial" w:eastAsia="Arial" w:hAnsi="Arial"/>
                <w:sz w:val="18"/>
                <w:szCs w:val="18"/>
                <w:color w:val="000000"/>
                <w:w w:val="92"/>
              </w:rPr>
              <w:t>(incorporated</w:t>
            </w:r>
            <w:r>
              <w:rPr>
                <w:rFonts w:ascii="Arial" w:cs="Arial" w:eastAsia="Arial" w:hAnsi="Arial"/>
                <w:sz w:val="18"/>
                <w:szCs w:val="18"/>
                <w:color w:val="0000EE"/>
                <w:w w:val="92"/>
              </w:rPr>
              <w:t xml:space="preserve"> </w:t>
            </w:r>
            <w:r>
              <w:rPr>
                <w:rFonts w:ascii="Arial" w:cs="Arial" w:eastAsia="Arial" w:hAnsi="Arial"/>
                <w:sz w:val="18"/>
                <w:szCs w:val="18"/>
                <w:color w:val="000000"/>
                <w:w w:val="92"/>
              </w:rPr>
              <w:t>by reference to</w:t>
            </w:r>
          </w:p>
        </w:tc>
      </w:tr>
      <w:tr>
        <w:trPr>
          <w:trHeight w:val="237"/>
        </w:trPr>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60" w:type="dxa"/>
            <w:vAlign w:val="bottom"/>
            <w:tcBorders>
              <w:top w:val="single" w:sz="8" w:color="0000EE"/>
            </w:tcBorders>
            <w:gridSpan w:val="13"/>
          </w:tcPr>
          <w:p>
            <w:pPr>
              <w:spacing w:after="0"/>
              <w:rPr>
                <w:sz w:val="20"/>
                <w:szCs w:val="20"/>
                <w:color w:val="auto"/>
              </w:rPr>
            </w:pPr>
            <w:r>
              <w:rPr>
                <w:rFonts w:ascii="Arial" w:cs="Arial" w:eastAsia="Arial" w:hAnsi="Arial"/>
                <w:sz w:val="18"/>
                <w:szCs w:val="18"/>
                <w:color w:val="auto"/>
              </w:rPr>
              <w:t>Exhibit 10.11 to the Registration Statement on Form S-1 filed February 2, 2021).</w:t>
            </w:r>
          </w:p>
        </w:tc>
        <w:tc>
          <w:tcPr>
            <w:tcW w:w="2220" w:type="dxa"/>
            <w:vAlign w:val="bottom"/>
            <w:gridSpan w:val="4"/>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07"/>
        </w:trPr>
        <w:tc>
          <w:tcPr>
            <w:tcW w:w="1360" w:type="dxa"/>
            <w:vAlign w:val="bottom"/>
          </w:tcPr>
          <w:p>
            <w:pPr>
              <w:jc w:val="right"/>
              <w:ind w:right="850"/>
              <w:spacing w:after="0"/>
              <w:rPr>
                <w:sz w:val="20"/>
                <w:szCs w:val="20"/>
                <w:color w:val="auto"/>
              </w:rPr>
            </w:pPr>
            <w:r>
              <w:rPr>
                <w:rFonts w:ascii="Arial" w:cs="Arial" w:eastAsia="Arial" w:hAnsi="Arial"/>
                <w:sz w:val="18"/>
                <w:szCs w:val="18"/>
                <w:color w:val="auto"/>
                <w:w w:val="88"/>
              </w:rPr>
              <w:t>10.13</w:t>
            </w:r>
          </w:p>
        </w:tc>
        <w:tc>
          <w:tcPr>
            <w:tcW w:w="9880" w:type="dxa"/>
            <w:vAlign w:val="bottom"/>
            <w:tcBorders>
              <w:bottom w:val="single" w:sz="8" w:color="0000EE"/>
            </w:tcBorders>
            <w:gridSpan w:val="24"/>
          </w:tcPr>
          <w:p>
            <w:pPr>
              <w:spacing w:after="0"/>
              <w:rPr>
                <w:rFonts w:ascii="Arial" w:cs="Arial" w:eastAsia="Arial" w:hAnsi="Arial"/>
                <w:sz w:val="18"/>
                <w:szCs w:val="18"/>
                <w:color w:val="0000EE"/>
                <w:w w:val="93"/>
              </w:rPr>
            </w:pPr>
            <w:hyperlink r:id="rId136">
              <w:r>
                <w:rPr>
                  <w:rFonts w:ascii="Arial" w:cs="Arial" w:eastAsia="Arial" w:hAnsi="Arial"/>
                  <w:sz w:val="18"/>
                  <w:szCs w:val="18"/>
                  <w:color w:val="0000EE"/>
                  <w:w w:val="93"/>
                </w:rPr>
                <w:t>Amended and Restated Exclusive Business Cooperation Agreement, dated October 26, 2020, between iPower Inc. and E Marketing</w:t>
              </w:r>
            </w:hyperlink>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9880" w:type="dxa"/>
            <w:vAlign w:val="bottom"/>
            <w:gridSpan w:val="24"/>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 xml:space="preserve">Solution Inc. </w:t>
              </w:r>
              <w:r>
                <w:rPr>
                  <w:rFonts w:ascii="Arial" w:cs="Arial" w:eastAsia="Arial" w:hAnsi="Arial"/>
                  <w:sz w:val="18"/>
                  <w:szCs w:val="18"/>
                  <w:color w:val="000000"/>
                </w:rPr>
                <w:t>(incorporated by reference to Exhibit 10.12 to the Registration Statement on Form S-1 filed February 2, 2021).</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jc w:val="right"/>
              <w:ind w:right="850"/>
              <w:spacing w:after="0" w:line="196" w:lineRule="exact"/>
              <w:rPr>
                <w:sz w:val="20"/>
                <w:szCs w:val="20"/>
                <w:color w:val="auto"/>
              </w:rPr>
            </w:pPr>
            <w:r>
              <w:rPr>
                <w:rFonts w:ascii="Arial" w:cs="Arial" w:eastAsia="Arial" w:hAnsi="Arial"/>
                <w:sz w:val="18"/>
                <w:szCs w:val="18"/>
                <w:color w:val="auto"/>
                <w:w w:val="88"/>
              </w:rPr>
              <w:t>10.14</w:t>
            </w:r>
          </w:p>
        </w:tc>
        <w:tc>
          <w:tcPr>
            <w:tcW w:w="9880" w:type="dxa"/>
            <w:vAlign w:val="bottom"/>
            <w:gridSpan w:val="24"/>
          </w:tcPr>
          <w:p>
            <w:pPr>
              <w:spacing w:after="0" w:line="196" w:lineRule="exact"/>
              <w:rPr>
                <w:rFonts w:ascii="Arial" w:cs="Arial" w:eastAsia="Arial" w:hAnsi="Arial"/>
                <w:sz w:val="18"/>
                <w:szCs w:val="18"/>
                <w:color w:val="0000EE"/>
                <w:w w:val="91"/>
              </w:rPr>
            </w:pPr>
            <w:hyperlink r:id="rId137">
              <w:r>
                <w:rPr>
                  <w:rFonts w:ascii="Arial" w:cs="Arial" w:eastAsia="Arial" w:hAnsi="Arial"/>
                  <w:sz w:val="18"/>
                  <w:szCs w:val="18"/>
                  <w:color w:val="0000EE"/>
                  <w:w w:val="91"/>
                </w:rPr>
                <w:t xml:space="preserve">Receivables Purchase Agreement, dated November 16, 2020, between BZRTH, Inc. and WFC Fund, LLC </w:t>
              </w:r>
            </w:hyperlink>
            <w:r>
              <w:rPr>
                <w:rFonts w:ascii="Arial" w:cs="Arial" w:eastAsia="Arial" w:hAnsi="Arial"/>
                <w:sz w:val="18"/>
                <w:szCs w:val="18"/>
                <w:color w:val="000000"/>
                <w:w w:val="91"/>
              </w:rPr>
              <w:t>(incorporated</w:t>
            </w:r>
            <w:r>
              <w:rPr>
                <w:rFonts w:ascii="Arial" w:cs="Arial" w:eastAsia="Arial" w:hAnsi="Arial"/>
                <w:sz w:val="18"/>
                <w:szCs w:val="18"/>
                <w:color w:val="0000EE"/>
                <w:w w:val="91"/>
              </w:rPr>
              <w:t xml:space="preserve"> </w:t>
            </w:r>
            <w:r>
              <w:rPr>
                <w:rFonts w:ascii="Arial" w:cs="Arial" w:eastAsia="Arial" w:hAnsi="Arial"/>
                <w:sz w:val="18"/>
                <w:szCs w:val="18"/>
                <w:color w:val="000000"/>
                <w:w w:val="91"/>
              </w:rPr>
              <w:t>by reference to</w:t>
            </w:r>
          </w:p>
        </w:tc>
        <w:tc>
          <w:tcPr>
            <w:tcW w:w="0" w:type="dxa"/>
            <w:vAlign w:val="bottom"/>
          </w:tcPr>
          <w:p>
            <w:pPr>
              <w:spacing w:after="0"/>
              <w:rPr>
                <w:sz w:val="1"/>
                <w:szCs w:val="1"/>
                <w:color w:val="auto"/>
              </w:rPr>
            </w:pPr>
          </w:p>
        </w:tc>
      </w:tr>
      <w:tr>
        <w:trPr>
          <w:trHeight w:val="222"/>
        </w:trPr>
        <w:tc>
          <w:tcPr>
            <w:tcW w:w="1360" w:type="dxa"/>
            <w:vAlign w:val="bottom"/>
          </w:tcPr>
          <w:p>
            <w:pPr>
              <w:spacing w:after="0"/>
              <w:rPr>
                <w:sz w:val="19"/>
                <w:szCs w:val="19"/>
                <w:color w:val="auto"/>
              </w:rPr>
            </w:pPr>
          </w:p>
        </w:tc>
        <w:tc>
          <w:tcPr>
            <w:tcW w:w="7700" w:type="dxa"/>
            <w:vAlign w:val="bottom"/>
            <w:tcBorders>
              <w:top w:val="single" w:sz="8" w:color="0000EE"/>
            </w:tcBorders>
            <w:gridSpan w:val="21"/>
          </w:tcPr>
          <w:p>
            <w:pPr>
              <w:spacing w:after="0"/>
              <w:rPr>
                <w:sz w:val="20"/>
                <w:szCs w:val="20"/>
                <w:color w:val="auto"/>
              </w:rPr>
            </w:pPr>
            <w:r>
              <w:rPr>
                <w:rFonts w:ascii="Arial" w:cs="Arial" w:eastAsia="Arial" w:hAnsi="Arial"/>
                <w:sz w:val="18"/>
                <w:szCs w:val="18"/>
                <w:color w:val="auto"/>
              </w:rPr>
              <w:t>Exhibit 10.13 to the Registration Statement on Form S-1 filed February 2, 2021).</w:t>
            </w:r>
          </w:p>
        </w:tc>
        <w:tc>
          <w:tcPr>
            <w:tcW w:w="218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360" w:type="dxa"/>
            <w:vAlign w:val="bottom"/>
          </w:tcPr>
          <w:p>
            <w:pPr>
              <w:jc w:val="right"/>
              <w:ind w:right="850"/>
              <w:spacing w:after="0" w:line="190" w:lineRule="exact"/>
              <w:rPr>
                <w:sz w:val="20"/>
                <w:szCs w:val="20"/>
                <w:color w:val="auto"/>
              </w:rPr>
            </w:pPr>
            <w:r>
              <w:rPr>
                <w:rFonts w:ascii="Arial" w:cs="Arial" w:eastAsia="Arial" w:hAnsi="Arial"/>
                <w:sz w:val="18"/>
                <w:szCs w:val="18"/>
                <w:color w:val="auto"/>
                <w:w w:val="88"/>
              </w:rPr>
              <w:t>10.15</w:t>
            </w:r>
          </w:p>
        </w:tc>
        <w:tc>
          <w:tcPr>
            <w:tcW w:w="9880" w:type="dxa"/>
            <w:vAlign w:val="bottom"/>
            <w:gridSpan w:val="24"/>
          </w:tcPr>
          <w:p>
            <w:pPr>
              <w:spacing w:after="0" w:line="190" w:lineRule="exact"/>
              <w:rPr>
                <w:rFonts w:ascii="Arial" w:cs="Arial" w:eastAsia="Arial" w:hAnsi="Arial"/>
                <w:sz w:val="18"/>
                <w:szCs w:val="18"/>
                <w:color w:val="0000EE"/>
                <w:w w:val="93"/>
              </w:rPr>
            </w:pPr>
            <w:hyperlink r:id="rId138">
              <w:r>
                <w:rPr>
                  <w:rFonts w:ascii="Arial" w:cs="Arial" w:eastAsia="Arial" w:hAnsi="Arial"/>
                  <w:sz w:val="18"/>
                  <w:szCs w:val="18"/>
                  <w:color w:val="0000EE"/>
                  <w:w w:val="93"/>
                </w:rPr>
                <w:t xml:space="preserve">Form of Subscription Agreement for Series A Preferred Stock Offering </w:t>
              </w:r>
            </w:hyperlink>
            <w:r>
              <w:rPr>
                <w:rFonts w:ascii="Arial" w:cs="Arial" w:eastAsia="Arial" w:hAnsi="Arial"/>
                <w:sz w:val="18"/>
                <w:szCs w:val="18"/>
                <w:color w:val="000000"/>
                <w:w w:val="93"/>
              </w:rPr>
              <w:t>(incorporated</w:t>
            </w:r>
            <w:r>
              <w:rPr>
                <w:rFonts w:ascii="Arial" w:cs="Arial" w:eastAsia="Arial" w:hAnsi="Arial"/>
                <w:sz w:val="18"/>
                <w:szCs w:val="18"/>
                <w:color w:val="0000EE"/>
                <w:w w:val="93"/>
              </w:rPr>
              <w:t xml:space="preserve"> </w:t>
            </w:r>
            <w:r>
              <w:rPr>
                <w:rFonts w:ascii="Arial" w:cs="Arial" w:eastAsia="Arial" w:hAnsi="Arial"/>
                <w:sz w:val="18"/>
                <w:szCs w:val="18"/>
                <w:color w:val="000000"/>
                <w:w w:val="93"/>
              </w:rPr>
              <w:t>by reference to Exhibit 10.14 to the Registration</w:t>
            </w:r>
          </w:p>
        </w:tc>
        <w:tc>
          <w:tcPr>
            <w:tcW w:w="0" w:type="dxa"/>
            <w:vAlign w:val="bottom"/>
          </w:tcPr>
          <w:p>
            <w:pPr>
              <w:spacing w:after="0"/>
              <w:rPr>
                <w:sz w:val="1"/>
                <w:szCs w:val="1"/>
                <w:color w:val="auto"/>
              </w:rPr>
            </w:pPr>
          </w:p>
        </w:tc>
      </w:tr>
      <w:tr>
        <w:trPr>
          <w:trHeight w:val="222"/>
        </w:trPr>
        <w:tc>
          <w:tcPr>
            <w:tcW w:w="1360" w:type="dxa"/>
            <w:vAlign w:val="bottom"/>
          </w:tcPr>
          <w:p>
            <w:pPr>
              <w:spacing w:after="0"/>
              <w:rPr>
                <w:sz w:val="19"/>
                <w:szCs w:val="19"/>
                <w:color w:val="auto"/>
              </w:rPr>
            </w:pPr>
          </w:p>
        </w:tc>
        <w:tc>
          <w:tcPr>
            <w:tcW w:w="5240" w:type="dxa"/>
            <w:vAlign w:val="bottom"/>
            <w:tcBorders>
              <w:top w:val="single" w:sz="8" w:color="0000EE"/>
            </w:tcBorders>
            <w:gridSpan w:val="12"/>
          </w:tcPr>
          <w:p>
            <w:pPr>
              <w:spacing w:after="0"/>
              <w:rPr>
                <w:sz w:val="20"/>
                <w:szCs w:val="20"/>
                <w:color w:val="auto"/>
              </w:rPr>
            </w:pPr>
            <w:r>
              <w:rPr>
                <w:rFonts w:ascii="Arial" w:cs="Arial" w:eastAsia="Arial" w:hAnsi="Arial"/>
                <w:sz w:val="18"/>
                <w:szCs w:val="18"/>
                <w:color w:val="auto"/>
              </w:rPr>
              <w:t>Statement on Form S-1 filed February 2, 2021).</w:t>
            </w:r>
          </w:p>
        </w:tc>
        <w:tc>
          <w:tcPr>
            <w:tcW w:w="4640" w:type="dxa"/>
            <w:vAlign w:val="bottom"/>
            <w:gridSpan w:val="12"/>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360" w:type="dxa"/>
            <w:vAlign w:val="bottom"/>
          </w:tcPr>
          <w:p>
            <w:pPr>
              <w:jc w:val="right"/>
              <w:ind w:right="850"/>
              <w:spacing w:after="0" w:line="190" w:lineRule="exact"/>
              <w:rPr>
                <w:sz w:val="20"/>
                <w:szCs w:val="20"/>
                <w:color w:val="auto"/>
              </w:rPr>
            </w:pPr>
            <w:r>
              <w:rPr>
                <w:rFonts w:ascii="Arial" w:cs="Arial" w:eastAsia="Arial" w:hAnsi="Arial"/>
                <w:sz w:val="18"/>
                <w:szCs w:val="18"/>
                <w:color w:val="auto"/>
                <w:w w:val="88"/>
              </w:rPr>
              <w:t>10.16</w:t>
            </w:r>
          </w:p>
        </w:tc>
        <w:tc>
          <w:tcPr>
            <w:tcW w:w="9880" w:type="dxa"/>
            <w:vAlign w:val="bottom"/>
            <w:gridSpan w:val="24"/>
          </w:tcPr>
          <w:p>
            <w:pPr>
              <w:spacing w:after="0" w:line="190" w:lineRule="exact"/>
              <w:rPr>
                <w:rFonts w:ascii="Arial" w:cs="Arial" w:eastAsia="Arial" w:hAnsi="Arial"/>
                <w:sz w:val="18"/>
                <w:szCs w:val="18"/>
                <w:color w:val="0000EE"/>
                <w:w w:val="93"/>
              </w:rPr>
            </w:pPr>
            <w:hyperlink r:id="rId139">
              <w:r>
                <w:rPr>
                  <w:rFonts w:ascii="Arial" w:cs="Arial" w:eastAsia="Arial" w:hAnsi="Arial"/>
                  <w:sz w:val="18"/>
                  <w:szCs w:val="18"/>
                  <w:color w:val="0000EE"/>
                  <w:w w:val="93"/>
                </w:rPr>
                <w:t xml:space="preserve">Board Letter Agreement, dated January 26, 2021, between iPower Inc. and Danilo Cacciamatta </w:t>
              </w:r>
            </w:hyperlink>
            <w:r>
              <w:rPr>
                <w:rFonts w:ascii="Arial" w:cs="Arial" w:eastAsia="Arial" w:hAnsi="Arial"/>
                <w:sz w:val="18"/>
                <w:szCs w:val="18"/>
                <w:color w:val="000000"/>
                <w:w w:val="93"/>
              </w:rPr>
              <w:t>(incorporated</w:t>
            </w:r>
            <w:r>
              <w:rPr>
                <w:rFonts w:ascii="Arial" w:cs="Arial" w:eastAsia="Arial" w:hAnsi="Arial"/>
                <w:sz w:val="18"/>
                <w:szCs w:val="18"/>
                <w:color w:val="0000EE"/>
                <w:w w:val="93"/>
              </w:rPr>
              <w:t xml:space="preserve"> </w:t>
            </w:r>
            <w:r>
              <w:rPr>
                <w:rFonts w:ascii="Arial" w:cs="Arial" w:eastAsia="Arial" w:hAnsi="Arial"/>
                <w:sz w:val="18"/>
                <w:szCs w:val="18"/>
                <w:color w:val="000000"/>
                <w:w w:val="93"/>
              </w:rPr>
              <w:t>by reference to Exhibit</w:t>
            </w:r>
          </w:p>
        </w:tc>
        <w:tc>
          <w:tcPr>
            <w:tcW w:w="0" w:type="dxa"/>
            <w:vAlign w:val="bottom"/>
          </w:tcPr>
          <w:p>
            <w:pPr>
              <w:spacing w:after="0"/>
              <w:rPr>
                <w:sz w:val="1"/>
                <w:szCs w:val="1"/>
                <w:color w:val="auto"/>
              </w:rPr>
            </w:pPr>
          </w:p>
        </w:tc>
      </w:tr>
      <w:tr>
        <w:trPr>
          <w:trHeight w:val="222"/>
        </w:trPr>
        <w:tc>
          <w:tcPr>
            <w:tcW w:w="1360" w:type="dxa"/>
            <w:vAlign w:val="bottom"/>
          </w:tcPr>
          <w:p>
            <w:pPr>
              <w:spacing w:after="0"/>
              <w:rPr>
                <w:sz w:val="19"/>
                <w:szCs w:val="19"/>
                <w:color w:val="auto"/>
              </w:rPr>
            </w:pPr>
          </w:p>
        </w:tc>
        <w:tc>
          <w:tcPr>
            <w:tcW w:w="7060" w:type="dxa"/>
            <w:vAlign w:val="bottom"/>
            <w:tcBorders>
              <w:top w:val="single" w:sz="8" w:color="0000EE"/>
            </w:tcBorders>
            <w:gridSpan w:val="18"/>
          </w:tcPr>
          <w:p>
            <w:pPr>
              <w:spacing w:after="0"/>
              <w:rPr>
                <w:sz w:val="20"/>
                <w:szCs w:val="20"/>
                <w:color w:val="auto"/>
              </w:rPr>
            </w:pPr>
            <w:r>
              <w:rPr>
                <w:rFonts w:ascii="Arial" w:cs="Arial" w:eastAsia="Arial" w:hAnsi="Arial"/>
                <w:sz w:val="18"/>
                <w:szCs w:val="18"/>
                <w:color w:val="auto"/>
              </w:rPr>
              <w:t>10.15 to the Registration Statement on Form S-1 filed February 2, 2021).</w:t>
            </w:r>
          </w:p>
        </w:tc>
        <w:tc>
          <w:tcPr>
            <w:tcW w:w="282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360" w:type="dxa"/>
            <w:vAlign w:val="bottom"/>
          </w:tcPr>
          <w:p>
            <w:pPr>
              <w:jc w:val="right"/>
              <w:ind w:right="850"/>
              <w:spacing w:after="0" w:line="190" w:lineRule="exact"/>
              <w:rPr>
                <w:sz w:val="20"/>
                <w:szCs w:val="20"/>
                <w:color w:val="auto"/>
              </w:rPr>
            </w:pPr>
            <w:r>
              <w:rPr>
                <w:rFonts w:ascii="Arial" w:cs="Arial" w:eastAsia="Arial" w:hAnsi="Arial"/>
                <w:sz w:val="18"/>
                <w:szCs w:val="18"/>
                <w:color w:val="auto"/>
                <w:w w:val="88"/>
              </w:rPr>
              <w:t>10.17</w:t>
            </w:r>
          </w:p>
        </w:tc>
        <w:tc>
          <w:tcPr>
            <w:tcW w:w="9880" w:type="dxa"/>
            <w:vAlign w:val="bottom"/>
            <w:gridSpan w:val="24"/>
          </w:tcPr>
          <w:p>
            <w:pPr>
              <w:spacing w:after="0" w:line="190" w:lineRule="exact"/>
              <w:rPr>
                <w:rFonts w:ascii="Arial" w:cs="Arial" w:eastAsia="Arial" w:hAnsi="Arial"/>
                <w:sz w:val="18"/>
                <w:szCs w:val="18"/>
                <w:color w:val="0000EE"/>
                <w:w w:val="93"/>
              </w:rPr>
            </w:pPr>
            <w:hyperlink r:id="rId140">
              <w:r>
                <w:rPr>
                  <w:rFonts w:ascii="Arial" w:cs="Arial" w:eastAsia="Arial" w:hAnsi="Arial"/>
                  <w:sz w:val="18"/>
                  <w:szCs w:val="18"/>
                  <w:color w:val="0000EE"/>
                  <w:w w:val="93"/>
                </w:rPr>
                <w:t xml:space="preserve">Board Letter Agreement, dated January 26, 2021, between iPower Inc. and Bennet Tchaikovsky </w:t>
              </w:r>
            </w:hyperlink>
            <w:r>
              <w:rPr>
                <w:rFonts w:ascii="Arial" w:cs="Arial" w:eastAsia="Arial" w:hAnsi="Arial"/>
                <w:sz w:val="18"/>
                <w:szCs w:val="18"/>
                <w:color w:val="000000"/>
                <w:w w:val="93"/>
              </w:rPr>
              <w:t>(incorporated</w:t>
            </w:r>
            <w:r>
              <w:rPr>
                <w:rFonts w:ascii="Arial" w:cs="Arial" w:eastAsia="Arial" w:hAnsi="Arial"/>
                <w:sz w:val="18"/>
                <w:szCs w:val="18"/>
                <w:color w:val="0000EE"/>
                <w:w w:val="93"/>
              </w:rPr>
              <w:t xml:space="preserve"> </w:t>
            </w:r>
            <w:r>
              <w:rPr>
                <w:rFonts w:ascii="Arial" w:cs="Arial" w:eastAsia="Arial" w:hAnsi="Arial"/>
                <w:sz w:val="18"/>
                <w:szCs w:val="18"/>
                <w:color w:val="000000"/>
                <w:w w:val="93"/>
              </w:rPr>
              <w:t>by reference to Exhibit</w:t>
            </w:r>
          </w:p>
        </w:tc>
        <w:tc>
          <w:tcPr>
            <w:tcW w:w="0" w:type="dxa"/>
            <w:vAlign w:val="bottom"/>
          </w:tcPr>
          <w:p>
            <w:pPr>
              <w:spacing w:after="0"/>
              <w:rPr>
                <w:sz w:val="1"/>
                <w:szCs w:val="1"/>
                <w:color w:val="auto"/>
              </w:rPr>
            </w:pPr>
          </w:p>
        </w:tc>
      </w:tr>
      <w:tr>
        <w:trPr>
          <w:trHeight w:val="222"/>
        </w:trPr>
        <w:tc>
          <w:tcPr>
            <w:tcW w:w="1360" w:type="dxa"/>
            <w:vAlign w:val="bottom"/>
          </w:tcPr>
          <w:p>
            <w:pPr>
              <w:spacing w:after="0"/>
              <w:rPr>
                <w:sz w:val="19"/>
                <w:szCs w:val="19"/>
                <w:color w:val="auto"/>
              </w:rPr>
            </w:pPr>
          </w:p>
        </w:tc>
        <w:tc>
          <w:tcPr>
            <w:tcW w:w="7080" w:type="dxa"/>
            <w:vAlign w:val="bottom"/>
            <w:tcBorders>
              <w:top w:val="single" w:sz="8" w:color="0000EE"/>
            </w:tcBorders>
            <w:gridSpan w:val="19"/>
          </w:tcPr>
          <w:p>
            <w:pPr>
              <w:spacing w:after="0"/>
              <w:rPr>
                <w:sz w:val="20"/>
                <w:szCs w:val="20"/>
                <w:color w:val="auto"/>
              </w:rPr>
            </w:pPr>
            <w:r>
              <w:rPr>
                <w:rFonts w:ascii="Arial" w:cs="Arial" w:eastAsia="Arial" w:hAnsi="Arial"/>
                <w:sz w:val="18"/>
                <w:szCs w:val="18"/>
                <w:color w:val="auto"/>
              </w:rPr>
              <w:t>10.16 to the Registration Statement on Form S-1 filed February 2, 2021).</w:t>
            </w:r>
          </w:p>
        </w:tc>
        <w:tc>
          <w:tcPr>
            <w:tcW w:w="280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360" w:type="dxa"/>
            <w:vAlign w:val="bottom"/>
          </w:tcPr>
          <w:p>
            <w:pPr>
              <w:jc w:val="right"/>
              <w:ind w:right="850"/>
              <w:spacing w:after="0" w:line="190" w:lineRule="exact"/>
              <w:rPr>
                <w:sz w:val="20"/>
                <w:szCs w:val="20"/>
                <w:color w:val="auto"/>
              </w:rPr>
            </w:pPr>
            <w:r>
              <w:rPr>
                <w:rFonts w:ascii="Arial" w:cs="Arial" w:eastAsia="Arial" w:hAnsi="Arial"/>
                <w:sz w:val="18"/>
                <w:szCs w:val="18"/>
                <w:color w:val="auto"/>
                <w:w w:val="88"/>
              </w:rPr>
              <w:t>10.18</w:t>
            </w:r>
          </w:p>
        </w:tc>
        <w:tc>
          <w:tcPr>
            <w:tcW w:w="9880" w:type="dxa"/>
            <w:vAlign w:val="bottom"/>
            <w:gridSpan w:val="24"/>
          </w:tcPr>
          <w:p>
            <w:pPr>
              <w:spacing w:after="0" w:line="190" w:lineRule="exact"/>
              <w:rPr>
                <w:rFonts w:ascii="Arial" w:cs="Arial" w:eastAsia="Arial" w:hAnsi="Arial"/>
                <w:sz w:val="18"/>
                <w:szCs w:val="18"/>
                <w:color w:val="0000EE"/>
                <w:w w:val="92"/>
              </w:rPr>
            </w:pPr>
            <w:hyperlink r:id="rId141">
              <w:r>
                <w:rPr>
                  <w:rFonts w:ascii="Arial" w:cs="Arial" w:eastAsia="Arial" w:hAnsi="Arial"/>
                  <w:sz w:val="18"/>
                  <w:szCs w:val="18"/>
                  <w:color w:val="0000EE"/>
                  <w:w w:val="92"/>
                </w:rPr>
                <w:t xml:space="preserve">Form of Subscription Agreement for 6% Convertible Note and Warrants </w:t>
              </w:r>
            </w:hyperlink>
            <w:r>
              <w:rPr>
                <w:rFonts w:ascii="Arial" w:cs="Arial" w:eastAsia="Arial" w:hAnsi="Arial"/>
                <w:sz w:val="18"/>
                <w:szCs w:val="18"/>
                <w:color w:val="000000"/>
                <w:w w:val="92"/>
              </w:rPr>
              <w:t>(incorporated</w:t>
            </w:r>
            <w:r>
              <w:rPr>
                <w:rFonts w:ascii="Arial" w:cs="Arial" w:eastAsia="Arial" w:hAnsi="Arial"/>
                <w:sz w:val="18"/>
                <w:szCs w:val="18"/>
                <w:color w:val="0000EE"/>
                <w:w w:val="92"/>
              </w:rPr>
              <w:t xml:space="preserve"> </w:t>
            </w:r>
            <w:r>
              <w:rPr>
                <w:rFonts w:ascii="Arial" w:cs="Arial" w:eastAsia="Arial" w:hAnsi="Arial"/>
                <w:sz w:val="18"/>
                <w:szCs w:val="18"/>
                <w:color w:val="000000"/>
                <w:w w:val="92"/>
              </w:rPr>
              <w:t>by reference to exhibit 10.17 to the Registration</w:t>
            </w:r>
          </w:p>
        </w:tc>
        <w:tc>
          <w:tcPr>
            <w:tcW w:w="0" w:type="dxa"/>
            <w:vAlign w:val="bottom"/>
          </w:tcPr>
          <w:p>
            <w:pPr>
              <w:spacing w:after="0"/>
              <w:rPr>
                <w:sz w:val="1"/>
                <w:szCs w:val="1"/>
                <w:color w:val="auto"/>
              </w:rPr>
            </w:pPr>
          </w:p>
        </w:tc>
      </w:tr>
      <w:tr>
        <w:trPr>
          <w:trHeight w:val="222"/>
        </w:trPr>
        <w:tc>
          <w:tcPr>
            <w:tcW w:w="1360" w:type="dxa"/>
            <w:vAlign w:val="bottom"/>
          </w:tcPr>
          <w:p>
            <w:pPr>
              <w:spacing w:after="0"/>
              <w:rPr>
                <w:sz w:val="19"/>
                <w:szCs w:val="19"/>
                <w:color w:val="auto"/>
              </w:rPr>
            </w:pPr>
          </w:p>
        </w:tc>
        <w:tc>
          <w:tcPr>
            <w:tcW w:w="5280" w:type="dxa"/>
            <w:vAlign w:val="bottom"/>
            <w:tcBorders>
              <w:top w:val="single" w:sz="8" w:color="0000EE"/>
            </w:tcBorders>
            <w:gridSpan w:val="13"/>
          </w:tcPr>
          <w:p>
            <w:pPr>
              <w:spacing w:after="0"/>
              <w:rPr>
                <w:sz w:val="20"/>
                <w:szCs w:val="20"/>
                <w:color w:val="auto"/>
              </w:rPr>
            </w:pPr>
            <w:r>
              <w:rPr>
                <w:rFonts w:ascii="Arial" w:cs="Arial" w:eastAsia="Arial" w:hAnsi="Arial"/>
                <w:sz w:val="18"/>
                <w:szCs w:val="18"/>
                <w:color w:val="auto"/>
              </w:rPr>
              <w:t>Statement on Form S-1 filed February 2, 2021).</w:t>
            </w:r>
          </w:p>
        </w:tc>
        <w:tc>
          <w:tcPr>
            <w:tcW w:w="4600" w:type="dxa"/>
            <w:vAlign w:val="bottom"/>
            <w:gridSpan w:val="11"/>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360" w:type="dxa"/>
            <w:vAlign w:val="bottom"/>
          </w:tcPr>
          <w:p>
            <w:pPr>
              <w:jc w:val="right"/>
              <w:ind w:right="850"/>
              <w:spacing w:after="0" w:line="190" w:lineRule="exact"/>
              <w:rPr>
                <w:sz w:val="20"/>
                <w:szCs w:val="20"/>
                <w:color w:val="auto"/>
              </w:rPr>
            </w:pPr>
            <w:r>
              <w:rPr>
                <w:rFonts w:ascii="Arial" w:cs="Arial" w:eastAsia="Arial" w:hAnsi="Arial"/>
                <w:sz w:val="18"/>
                <w:szCs w:val="18"/>
                <w:color w:val="auto"/>
                <w:w w:val="88"/>
              </w:rPr>
              <w:t>10.19</w:t>
            </w:r>
          </w:p>
        </w:tc>
        <w:tc>
          <w:tcPr>
            <w:tcW w:w="9880" w:type="dxa"/>
            <w:vAlign w:val="bottom"/>
            <w:gridSpan w:val="24"/>
          </w:tcPr>
          <w:p>
            <w:pPr>
              <w:spacing w:after="0" w:line="190" w:lineRule="exact"/>
              <w:rPr>
                <w:rFonts w:ascii="Arial" w:cs="Arial" w:eastAsia="Arial" w:hAnsi="Arial"/>
                <w:sz w:val="18"/>
                <w:szCs w:val="18"/>
                <w:color w:val="0000EE"/>
                <w:w w:val="92"/>
              </w:rPr>
            </w:pPr>
            <w:hyperlink r:id="rId142">
              <w:r>
                <w:rPr>
                  <w:rFonts w:ascii="Arial" w:cs="Arial" w:eastAsia="Arial" w:hAnsi="Arial"/>
                  <w:sz w:val="18"/>
                  <w:szCs w:val="18"/>
                  <w:color w:val="0000EE"/>
                  <w:w w:val="92"/>
                </w:rPr>
                <w:t xml:space="preserve">Convertible Note, dated January 27, 2021, issued to Wiseman Capital Management LLC </w:t>
              </w:r>
            </w:hyperlink>
            <w:r>
              <w:rPr>
                <w:rFonts w:ascii="Arial" w:cs="Arial" w:eastAsia="Arial" w:hAnsi="Arial"/>
                <w:sz w:val="18"/>
                <w:szCs w:val="18"/>
                <w:color w:val="000000"/>
                <w:w w:val="92"/>
              </w:rPr>
              <w:t>(incorporated</w:t>
            </w:r>
            <w:r>
              <w:rPr>
                <w:rFonts w:ascii="Arial" w:cs="Arial" w:eastAsia="Arial" w:hAnsi="Arial"/>
                <w:sz w:val="18"/>
                <w:szCs w:val="18"/>
                <w:color w:val="0000EE"/>
                <w:w w:val="92"/>
              </w:rPr>
              <w:t xml:space="preserve"> </w:t>
            </w:r>
            <w:r>
              <w:rPr>
                <w:rFonts w:ascii="Arial" w:cs="Arial" w:eastAsia="Arial" w:hAnsi="Arial"/>
                <w:sz w:val="18"/>
                <w:szCs w:val="18"/>
                <w:color w:val="000000"/>
                <w:w w:val="92"/>
              </w:rPr>
              <w:t>by reference to Exhibit 10.18 to</w:t>
            </w:r>
          </w:p>
        </w:tc>
        <w:tc>
          <w:tcPr>
            <w:tcW w:w="0" w:type="dxa"/>
            <w:vAlign w:val="bottom"/>
          </w:tcPr>
          <w:p>
            <w:pPr>
              <w:spacing w:after="0"/>
              <w:rPr>
                <w:sz w:val="1"/>
                <w:szCs w:val="1"/>
                <w:color w:val="auto"/>
              </w:rPr>
            </w:pPr>
          </w:p>
        </w:tc>
      </w:tr>
      <w:tr>
        <w:trPr>
          <w:trHeight w:val="222"/>
        </w:trPr>
        <w:tc>
          <w:tcPr>
            <w:tcW w:w="1360" w:type="dxa"/>
            <w:vAlign w:val="bottom"/>
          </w:tcPr>
          <w:p>
            <w:pPr>
              <w:spacing w:after="0"/>
              <w:rPr>
                <w:sz w:val="19"/>
                <w:szCs w:val="19"/>
                <w:color w:val="auto"/>
              </w:rPr>
            </w:pPr>
          </w:p>
        </w:tc>
        <w:tc>
          <w:tcPr>
            <w:tcW w:w="6480" w:type="dxa"/>
            <w:vAlign w:val="bottom"/>
            <w:tcBorders>
              <w:top w:val="single" w:sz="8" w:color="0000EE"/>
            </w:tcBorders>
            <w:gridSpan w:val="17"/>
          </w:tcPr>
          <w:p>
            <w:pPr>
              <w:spacing w:after="0"/>
              <w:rPr>
                <w:sz w:val="20"/>
                <w:szCs w:val="20"/>
                <w:color w:val="auto"/>
              </w:rPr>
            </w:pPr>
            <w:r>
              <w:rPr>
                <w:rFonts w:ascii="Arial" w:cs="Arial" w:eastAsia="Arial" w:hAnsi="Arial"/>
                <w:sz w:val="18"/>
                <w:szCs w:val="18"/>
                <w:color w:val="auto"/>
              </w:rPr>
              <w:t>the Registration Statement on Form S-1 filed February 2, 2021).</w:t>
            </w:r>
          </w:p>
        </w:tc>
        <w:tc>
          <w:tcPr>
            <w:tcW w:w="340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360" w:type="dxa"/>
            <w:vAlign w:val="bottom"/>
          </w:tcPr>
          <w:p>
            <w:pPr>
              <w:jc w:val="right"/>
              <w:ind w:right="850"/>
              <w:spacing w:after="0" w:line="190" w:lineRule="exact"/>
              <w:rPr>
                <w:sz w:val="20"/>
                <w:szCs w:val="20"/>
                <w:color w:val="auto"/>
              </w:rPr>
            </w:pPr>
            <w:r>
              <w:rPr>
                <w:rFonts w:ascii="Arial" w:cs="Arial" w:eastAsia="Arial" w:hAnsi="Arial"/>
                <w:sz w:val="18"/>
                <w:szCs w:val="18"/>
                <w:color w:val="auto"/>
                <w:w w:val="88"/>
              </w:rPr>
              <w:t>10.20</w:t>
            </w:r>
          </w:p>
        </w:tc>
        <w:tc>
          <w:tcPr>
            <w:tcW w:w="9880" w:type="dxa"/>
            <w:vAlign w:val="bottom"/>
            <w:gridSpan w:val="24"/>
          </w:tcPr>
          <w:p>
            <w:pPr>
              <w:spacing w:after="0" w:line="190" w:lineRule="exact"/>
              <w:rPr>
                <w:rFonts w:ascii="Arial" w:cs="Arial" w:eastAsia="Arial" w:hAnsi="Arial"/>
                <w:sz w:val="18"/>
                <w:szCs w:val="18"/>
                <w:color w:val="0000EE"/>
                <w:w w:val="92"/>
              </w:rPr>
            </w:pPr>
            <w:hyperlink r:id="rId143">
              <w:r>
                <w:rPr>
                  <w:rFonts w:ascii="Arial" w:cs="Arial" w:eastAsia="Arial" w:hAnsi="Arial"/>
                  <w:sz w:val="18"/>
                  <w:szCs w:val="18"/>
                  <w:color w:val="0000EE"/>
                  <w:w w:val="92"/>
                </w:rPr>
                <w:t xml:space="preserve">Convertible Note, dated January 27, 2021, issued to Bright Century Investment LLC </w:t>
              </w:r>
            </w:hyperlink>
            <w:r>
              <w:rPr>
                <w:rFonts w:ascii="Arial" w:cs="Arial" w:eastAsia="Arial" w:hAnsi="Arial"/>
                <w:sz w:val="18"/>
                <w:szCs w:val="18"/>
                <w:color w:val="000000"/>
                <w:w w:val="92"/>
              </w:rPr>
              <w:t>(incorporated</w:t>
            </w:r>
            <w:r>
              <w:rPr>
                <w:rFonts w:ascii="Arial" w:cs="Arial" w:eastAsia="Arial" w:hAnsi="Arial"/>
                <w:sz w:val="18"/>
                <w:szCs w:val="18"/>
                <w:color w:val="0000EE"/>
                <w:w w:val="92"/>
              </w:rPr>
              <w:t xml:space="preserve"> </w:t>
            </w:r>
            <w:r>
              <w:rPr>
                <w:rFonts w:ascii="Arial" w:cs="Arial" w:eastAsia="Arial" w:hAnsi="Arial"/>
                <w:sz w:val="18"/>
                <w:szCs w:val="18"/>
                <w:color w:val="000000"/>
                <w:w w:val="92"/>
              </w:rPr>
              <w:t>by reference to Exhibit 10.19 to the</w:t>
            </w:r>
          </w:p>
        </w:tc>
        <w:tc>
          <w:tcPr>
            <w:tcW w:w="0" w:type="dxa"/>
            <w:vAlign w:val="bottom"/>
          </w:tcPr>
          <w:p>
            <w:pPr>
              <w:spacing w:after="0"/>
              <w:rPr>
                <w:sz w:val="1"/>
                <w:szCs w:val="1"/>
                <w:color w:val="auto"/>
              </w:rPr>
            </w:pPr>
          </w:p>
        </w:tc>
      </w:tr>
      <w:tr>
        <w:trPr>
          <w:trHeight w:val="222"/>
        </w:trPr>
        <w:tc>
          <w:tcPr>
            <w:tcW w:w="1360" w:type="dxa"/>
            <w:vAlign w:val="bottom"/>
          </w:tcPr>
          <w:p>
            <w:pPr>
              <w:spacing w:after="0"/>
              <w:rPr>
                <w:sz w:val="19"/>
                <w:szCs w:val="19"/>
                <w:color w:val="auto"/>
              </w:rPr>
            </w:pPr>
          </w:p>
        </w:tc>
        <w:tc>
          <w:tcPr>
            <w:tcW w:w="6180" w:type="dxa"/>
            <w:vAlign w:val="bottom"/>
            <w:tcBorders>
              <w:top w:val="single" w:sz="8" w:color="0000EE"/>
            </w:tcBorders>
            <w:gridSpan w:val="14"/>
          </w:tcPr>
          <w:p>
            <w:pPr>
              <w:spacing w:after="0"/>
              <w:rPr>
                <w:sz w:val="20"/>
                <w:szCs w:val="20"/>
                <w:color w:val="auto"/>
              </w:rPr>
            </w:pPr>
            <w:r>
              <w:rPr>
                <w:rFonts w:ascii="Arial" w:cs="Arial" w:eastAsia="Arial" w:hAnsi="Arial"/>
                <w:sz w:val="18"/>
                <w:szCs w:val="18"/>
                <w:color w:val="auto"/>
              </w:rPr>
              <w:t>Registration Statement on Form S-1 filed February 2, 2021).</w:t>
            </w:r>
          </w:p>
        </w:tc>
        <w:tc>
          <w:tcPr>
            <w:tcW w:w="3700" w:type="dxa"/>
            <w:vAlign w:val="bottom"/>
            <w:gridSpan w:val="10"/>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360" w:type="dxa"/>
            <w:vAlign w:val="bottom"/>
          </w:tcPr>
          <w:p>
            <w:pPr>
              <w:jc w:val="right"/>
              <w:ind w:right="850"/>
              <w:spacing w:after="0" w:line="190" w:lineRule="exact"/>
              <w:rPr>
                <w:sz w:val="20"/>
                <w:szCs w:val="20"/>
                <w:color w:val="auto"/>
              </w:rPr>
            </w:pPr>
            <w:r>
              <w:rPr>
                <w:rFonts w:ascii="Arial" w:cs="Arial" w:eastAsia="Arial" w:hAnsi="Arial"/>
                <w:sz w:val="18"/>
                <w:szCs w:val="18"/>
                <w:color w:val="auto"/>
                <w:w w:val="88"/>
              </w:rPr>
              <w:t>10.21</w:t>
            </w:r>
          </w:p>
        </w:tc>
        <w:tc>
          <w:tcPr>
            <w:tcW w:w="9880" w:type="dxa"/>
            <w:vAlign w:val="bottom"/>
            <w:gridSpan w:val="24"/>
          </w:tcPr>
          <w:p>
            <w:pPr>
              <w:spacing w:after="0" w:line="190" w:lineRule="exact"/>
              <w:rPr>
                <w:rFonts w:ascii="Arial" w:cs="Arial" w:eastAsia="Arial" w:hAnsi="Arial"/>
                <w:sz w:val="18"/>
                <w:szCs w:val="18"/>
                <w:color w:val="0000EE"/>
                <w:w w:val="93"/>
              </w:rPr>
            </w:pPr>
            <w:hyperlink r:id="rId144">
              <w:r>
                <w:rPr>
                  <w:rFonts w:ascii="Arial" w:cs="Arial" w:eastAsia="Arial" w:hAnsi="Arial"/>
                  <w:sz w:val="18"/>
                  <w:szCs w:val="18"/>
                  <w:color w:val="0000EE"/>
                  <w:w w:val="93"/>
                </w:rPr>
                <w:t xml:space="preserve">Board Letter Agreement, dated January 28, 2021, between iPower Inc. and Kevin Liles </w:t>
              </w:r>
            </w:hyperlink>
            <w:r>
              <w:rPr>
                <w:rFonts w:ascii="Arial" w:cs="Arial" w:eastAsia="Arial" w:hAnsi="Arial"/>
                <w:sz w:val="18"/>
                <w:szCs w:val="18"/>
                <w:color w:val="000000"/>
                <w:w w:val="93"/>
              </w:rPr>
              <w:t>(incorporated</w:t>
            </w:r>
            <w:r>
              <w:rPr>
                <w:rFonts w:ascii="Arial" w:cs="Arial" w:eastAsia="Arial" w:hAnsi="Arial"/>
                <w:sz w:val="18"/>
                <w:szCs w:val="18"/>
                <w:color w:val="0000EE"/>
                <w:w w:val="93"/>
              </w:rPr>
              <w:t xml:space="preserve"> </w:t>
            </w:r>
            <w:r>
              <w:rPr>
                <w:rFonts w:ascii="Arial" w:cs="Arial" w:eastAsia="Arial" w:hAnsi="Arial"/>
                <w:sz w:val="18"/>
                <w:szCs w:val="18"/>
                <w:color w:val="000000"/>
                <w:w w:val="93"/>
              </w:rPr>
              <w:t>by reference to Exhibit 10.20 to</w:t>
            </w:r>
          </w:p>
        </w:tc>
        <w:tc>
          <w:tcPr>
            <w:tcW w:w="0" w:type="dxa"/>
            <w:vAlign w:val="bottom"/>
          </w:tcPr>
          <w:p>
            <w:pPr>
              <w:spacing w:after="0"/>
              <w:rPr>
                <w:sz w:val="1"/>
                <w:szCs w:val="1"/>
                <w:color w:val="auto"/>
              </w:rPr>
            </w:pPr>
          </w:p>
        </w:tc>
      </w:tr>
      <w:tr>
        <w:trPr>
          <w:trHeight w:val="222"/>
        </w:trPr>
        <w:tc>
          <w:tcPr>
            <w:tcW w:w="1360" w:type="dxa"/>
            <w:vAlign w:val="bottom"/>
          </w:tcPr>
          <w:p>
            <w:pPr>
              <w:spacing w:after="0"/>
              <w:rPr>
                <w:sz w:val="19"/>
                <w:szCs w:val="19"/>
                <w:color w:val="auto"/>
              </w:rPr>
            </w:pPr>
          </w:p>
        </w:tc>
        <w:tc>
          <w:tcPr>
            <w:tcW w:w="6440" w:type="dxa"/>
            <w:vAlign w:val="bottom"/>
            <w:tcBorders>
              <w:top w:val="single" w:sz="8" w:color="0000EE"/>
            </w:tcBorders>
            <w:gridSpan w:val="16"/>
          </w:tcPr>
          <w:p>
            <w:pPr>
              <w:spacing w:after="0"/>
              <w:rPr>
                <w:sz w:val="20"/>
                <w:szCs w:val="20"/>
                <w:color w:val="auto"/>
              </w:rPr>
            </w:pPr>
            <w:r>
              <w:rPr>
                <w:rFonts w:ascii="Arial" w:cs="Arial" w:eastAsia="Arial" w:hAnsi="Arial"/>
                <w:sz w:val="18"/>
                <w:szCs w:val="18"/>
                <w:color w:val="auto"/>
              </w:rPr>
              <w:t>the Registration Statement on Form S-1 filed February 2, 2021).</w:t>
            </w:r>
          </w:p>
        </w:tc>
        <w:tc>
          <w:tcPr>
            <w:tcW w:w="344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360" w:type="dxa"/>
            <w:vAlign w:val="bottom"/>
          </w:tcPr>
          <w:p>
            <w:pPr>
              <w:jc w:val="right"/>
              <w:ind w:right="850"/>
              <w:spacing w:after="0" w:line="190" w:lineRule="exact"/>
              <w:rPr>
                <w:sz w:val="20"/>
                <w:szCs w:val="20"/>
                <w:color w:val="auto"/>
              </w:rPr>
            </w:pPr>
            <w:r>
              <w:rPr>
                <w:rFonts w:ascii="Arial" w:cs="Arial" w:eastAsia="Arial" w:hAnsi="Arial"/>
                <w:sz w:val="18"/>
                <w:szCs w:val="18"/>
                <w:color w:val="auto"/>
                <w:w w:val="88"/>
              </w:rPr>
              <w:t>10.22</w:t>
            </w:r>
          </w:p>
        </w:tc>
        <w:tc>
          <w:tcPr>
            <w:tcW w:w="9880" w:type="dxa"/>
            <w:vAlign w:val="bottom"/>
            <w:gridSpan w:val="24"/>
          </w:tcPr>
          <w:p>
            <w:pPr>
              <w:spacing w:after="0" w:line="190" w:lineRule="exact"/>
              <w:rPr>
                <w:rFonts w:ascii="Arial" w:cs="Arial" w:eastAsia="Arial" w:hAnsi="Arial"/>
                <w:sz w:val="18"/>
                <w:szCs w:val="18"/>
                <w:color w:val="0000EE"/>
                <w:w w:val="91"/>
              </w:rPr>
            </w:pPr>
            <w:hyperlink r:id="rId145">
              <w:r>
                <w:rPr>
                  <w:rFonts w:ascii="Arial" w:cs="Arial" w:eastAsia="Arial" w:hAnsi="Arial"/>
                  <w:sz w:val="18"/>
                  <w:szCs w:val="18"/>
                  <w:color w:val="0000EE"/>
                  <w:w w:val="91"/>
                </w:rPr>
                <w:t xml:space="preserve">Employment Agreement, dated January 29, 2021, between iPower Inc. and Kevin Vassily </w:t>
              </w:r>
            </w:hyperlink>
            <w:r>
              <w:rPr>
                <w:rFonts w:ascii="Arial" w:cs="Arial" w:eastAsia="Arial" w:hAnsi="Arial"/>
                <w:sz w:val="18"/>
                <w:szCs w:val="18"/>
                <w:color w:val="000000"/>
                <w:w w:val="91"/>
              </w:rPr>
              <w:t>(incorporated</w:t>
            </w:r>
            <w:r>
              <w:rPr>
                <w:rFonts w:ascii="Arial" w:cs="Arial" w:eastAsia="Arial" w:hAnsi="Arial"/>
                <w:sz w:val="18"/>
                <w:szCs w:val="18"/>
                <w:color w:val="0000EE"/>
                <w:w w:val="91"/>
              </w:rPr>
              <w:t xml:space="preserve"> </w:t>
            </w:r>
            <w:r>
              <w:rPr>
                <w:rFonts w:ascii="Arial" w:cs="Arial" w:eastAsia="Arial" w:hAnsi="Arial"/>
                <w:sz w:val="18"/>
                <w:szCs w:val="18"/>
                <w:color w:val="000000"/>
                <w:w w:val="91"/>
              </w:rPr>
              <w:t>by reference to Exhibit 10.21 to</w:t>
            </w:r>
          </w:p>
        </w:tc>
        <w:tc>
          <w:tcPr>
            <w:tcW w:w="0" w:type="dxa"/>
            <w:vAlign w:val="bottom"/>
          </w:tcPr>
          <w:p>
            <w:pPr>
              <w:spacing w:after="0"/>
              <w:rPr>
                <w:sz w:val="1"/>
                <w:szCs w:val="1"/>
                <w:color w:val="auto"/>
              </w:rPr>
            </w:pPr>
          </w:p>
        </w:tc>
      </w:tr>
      <w:tr>
        <w:trPr>
          <w:trHeight w:val="222"/>
        </w:trPr>
        <w:tc>
          <w:tcPr>
            <w:tcW w:w="1360" w:type="dxa"/>
            <w:vAlign w:val="bottom"/>
          </w:tcPr>
          <w:p>
            <w:pPr>
              <w:spacing w:after="0"/>
              <w:rPr>
                <w:sz w:val="19"/>
                <w:szCs w:val="19"/>
                <w:color w:val="auto"/>
              </w:rPr>
            </w:pPr>
          </w:p>
        </w:tc>
        <w:tc>
          <w:tcPr>
            <w:tcW w:w="6480" w:type="dxa"/>
            <w:vAlign w:val="bottom"/>
            <w:tcBorders>
              <w:top w:val="single" w:sz="8" w:color="0000EE"/>
            </w:tcBorders>
            <w:gridSpan w:val="17"/>
          </w:tcPr>
          <w:p>
            <w:pPr>
              <w:spacing w:after="0"/>
              <w:rPr>
                <w:sz w:val="20"/>
                <w:szCs w:val="20"/>
                <w:color w:val="auto"/>
              </w:rPr>
            </w:pPr>
            <w:r>
              <w:rPr>
                <w:rFonts w:ascii="Arial" w:cs="Arial" w:eastAsia="Arial" w:hAnsi="Arial"/>
                <w:sz w:val="18"/>
                <w:szCs w:val="18"/>
                <w:color w:val="auto"/>
              </w:rPr>
              <w:t>the Registration Statement on Form S-1 filed February 2, 2021).</w:t>
            </w:r>
          </w:p>
        </w:tc>
        <w:tc>
          <w:tcPr>
            <w:tcW w:w="340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360" w:type="dxa"/>
            <w:vAlign w:val="bottom"/>
          </w:tcPr>
          <w:p>
            <w:pPr>
              <w:jc w:val="right"/>
              <w:ind w:right="850"/>
              <w:spacing w:after="0" w:line="190" w:lineRule="exact"/>
              <w:rPr>
                <w:sz w:val="20"/>
                <w:szCs w:val="20"/>
                <w:color w:val="auto"/>
              </w:rPr>
            </w:pPr>
            <w:r>
              <w:rPr>
                <w:rFonts w:ascii="Arial" w:cs="Arial" w:eastAsia="Arial" w:hAnsi="Arial"/>
                <w:sz w:val="18"/>
                <w:szCs w:val="18"/>
                <w:color w:val="auto"/>
                <w:w w:val="88"/>
              </w:rPr>
              <w:t>10.23</w:t>
            </w:r>
          </w:p>
        </w:tc>
        <w:tc>
          <w:tcPr>
            <w:tcW w:w="9880" w:type="dxa"/>
            <w:vAlign w:val="bottom"/>
            <w:tcBorders>
              <w:bottom w:val="single" w:sz="8" w:color="0000EE"/>
            </w:tcBorders>
            <w:gridSpan w:val="24"/>
          </w:tcPr>
          <w:p>
            <w:pPr>
              <w:spacing w:after="0" w:line="190" w:lineRule="exact"/>
              <w:rPr>
                <w:rFonts w:ascii="Arial" w:cs="Arial" w:eastAsia="Arial" w:hAnsi="Arial"/>
                <w:sz w:val="18"/>
                <w:szCs w:val="18"/>
                <w:color w:val="0000EE"/>
                <w:w w:val="94"/>
              </w:rPr>
            </w:pPr>
            <w:hyperlink r:id="rId146">
              <w:r>
                <w:rPr>
                  <w:rFonts w:ascii="Arial" w:cs="Arial" w:eastAsia="Arial" w:hAnsi="Arial"/>
                  <w:sz w:val="18"/>
                  <w:szCs w:val="18"/>
                  <w:color w:val="0000EE"/>
                  <w:w w:val="94"/>
                </w:rPr>
                <w:t>Indemnification Agreement, dated as of April 27, 2021, by and among iPower Inc. and D.A. Davidson &amp; Co., Roth Capital Partners,</w:t>
              </w:r>
            </w:hyperlink>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9880" w:type="dxa"/>
            <w:vAlign w:val="bottom"/>
            <w:gridSpan w:val="24"/>
          </w:tcPr>
          <w:p>
            <w:pPr>
              <w:spacing w:after="0" w:line="196" w:lineRule="exact"/>
              <w:rPr>
                <w:rFonts w:ascii="Arial" w:cs="Arial" w:eastAsia="Arial" w:hAnsi="Arial"/>
                <w:sz w:val="18"/>
                <w:szCs w:val="18"/>
                <w:color w:val="0000EE"/>
                <w:w w:val="94"/>
              </w:rPr>
            </w:pPr>
            <w:hyperlink r:id="rId146">
              <w:r>
                <w:rPr>
                  <w:rFonts w:ascii="Arial" w:cs="Arial" w:eastAsia="Arial" w:hAnsi="Arial"/>
                  <w:sz w:val="18"/>
                  <w:szCs w:val="18"/>
                  <w:color w:val="0000EE"/>
                  <w:w w:val="94"/>
                </w:rPr>
                <w:t xml:space="preserve">LLC and US Tiger Securities, Inc. </w:t>
              </w:r>
              <w:r>
                <w:rPr>
                  <w:rFonts w:ascii="Arial" w:cs="Arial" w:eastAsia="Arial" w:hAnsi="Arial"/>
                  <w:sz w:val="18"/>
                  <w:szCs w:val="18"/>
                  <w:color w:val="000000"/>
                  <w:w w:val="94"/>
                </w:rPr>
                <w:t>(incorporated by reference to Exhibit 10.23 to Amendment No. 3 to the Registration Statement on</w:t>
              </w:r>
            </w:hyperlink>
          </w:p>
        </w:tc>
        <w:tc>
          <w:tcPr>
            <w:tcW w:w="0" w:type="dxa"/>
            <w:vAlign w:val="bottom"/>
          </w:tcPr>
          <w:p>
            <w:pPr>
              <w:spacing w:after="0"/>
              <w:rPr>
                <w:sz w:val="1"/>
                <w:szCs w:val="1"/>
                <w:color w:val="auto"/>
              </w:rPr>
            </w:pPr>
          </w:p>
        </w:tc>
      </w:tr>
      <w:tr>
        <w:trPr>
          <w:trHeight w:val="222"/>
        </w:trPr>
        <w:tc>
          <w:tcPr>
            <w:tcW w:w="1360" w:type="dxa"/>
            <w:vAlign w:val="bottom"/>
          </w:tcPr>
          <w:p>
            <w:pPr>
              <w:spacing w:after="0"/>
              <w:rPr>
                <w:sz w:val="19"/>
                <w:szCs w:val="19"/>
                <w:color w:val="auto"/>
              </w:rPr>
            </w:pPr>
          </w:p>
        </w:tc>
        <w:tc>
          <w:tcPr>
            <w:tcW w:w="254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auto"/>
              </w:rPr>
              <w:t>Form S-1 filed May 5, 2021).</w:t>
            </w:r>
          </w:p>
        </w:tc>
        <w:tc>
          <w:tcPr>
            <w:tcW w:w="7340" w:type="dxa"/>
            <w:vAlign w:val="bottom"/>
            <w:gridSpan w:val="16"/>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360" w:type="dxa"/>
            <w:vAlign w:val="bottom"/>
          </w:tcPr>
          <w:p>
            <w:pPr>
              <w:jc w:val="right"/>
              <w:ind w:right="850"/>
              <w:spacing w:after="0" w:line="190" w:lineRule="exact"/>
              <w:rPr>
                <w:sz w:val="20"/>
                <w:szCs w:val="20"/>
                <w:color w:val="auto"/>
              </w:rPr>
            </w:pPr>
            <w:r>
              <w:rPr>
                <w:rFonts w:ascii="Arial" w:cs="Arial" w:eastAsia="Arial" w:hAnsi="Arial"/>
                <w:sz w:val="18"/>
                <w:szCs w:val="18"/>
                <w:color w:val="auto"/>
                <w:w w:val="88"/>
              </w:rPr>
              <w:t>10.24</w:t>
            </w:r>
          </w:p>
        </w:tc>
        <w:tc>
          <w:tcPr>
            <w:tcW w:w="9880" w:type="dxa"/>
            <w:vAlign w:val="bottom"/>
            <w:gridSpan w:val="24"/>
          </w:tcPr>
          <w:p>
            <w:pPr>
              <w:spacing w:after="0" w:line="190" w:lineRule="exact"/>
              <w:rPr>
                <w:rFonts w:ascii="Arial" w:cs="Arial" w:eastAsia="Arial" w:hAnsi="Arial"/>
                <w:sz w:val="18"/>
                <w:szCs w:val="18"/>
                <w:color w:val="0000EE"/>
                <w:w w:val="96"/>
              </w:rPr>
            </w:pPr>
            <w:hyperlink r:id="rId147">
              <w:r>
                <w:rPr>
                  <w:rFonts w:ascii="Arial" w:cs="Arial" w:eastAsia="Arial" w:hAnsi="Arial"/>
                  <w:sz w:val="18"/>
                  <w:szCs w:val="18"/>
                  <w:color w:val="0000EE"/>
                  <w:w w:val="96"/>
                </w:rPr>
                <w:t xml:space="preserve">Indemnification and Lock-Up Agreement, dated as of April 27, 2021, entered into by Chenlong Tan </w:t>
              </w:r>
            </w:hyperlink>
            <w:r>
              <w:rPr>
                <w:rFonts w:ascii="Arial" w:cs="Arial" w:eastAsia="Arial" w:hAnsi="Arial"/>
                <w:sz w:val="18"/>
                <w:szCs w:val="18"/>
                <w:color w:val="000000"/>
                <w:w w:val="96"/>
              </w:rPr>
              <w:t>(incorporated</w:t>
            </w:r>
            <w:r>
              <w:rPr>
                <w:rFonts w:ascii="Arial" w:cs="Arial" w:eastAsia="Arial" w:hAnsi="Arial"/>
                <w:sz w:val="18"/>
                <w:szCs w:val="18"/>
                <w:color w:val="0000EE"/>
                <w:w w:val="96"/>
              </w:rPr>
              <w:t xml:space="preserve"> </w:t>
            </w:r>
            <w:r>
              <w:rPr>
                <w:rFonts w:ascii="Arial" w:cs="Arial" w:eastAsia="Arial" w:hAnsi="Arial"/>
                <w:sz w:val="18"/>
                <w:szCs w:val="18"/>
                <w:color w:val="000000"/>
                <w:w w:val="96"/>
              </w:rPr>
              <w:t>by reference to</w:t>
            </w:r>
          </w:p>
        </w:tc>
        <w:tc>
          <w:tcPr>
            <w:tcW w:w="0" w:type="dxa"/>
            <w:vAlign w:val="bottom"/>
          </w:tcPr>
          <w:p>
            <w:pPr>
              <w:spacing w:after="0"/>
              <w:rPr>
                <w:sz w:val="1"/>
                <w:szCs w:val="1"/>
                <w:color w:val="auto"/>
              </w:rPr>
            </w:pPr>
          </w:p>
        </w:tc>
      </w:tr>
      <w:tr>
        <w:trPr>
          <w:trHeight w:val="222"/>
        </w:trPr>
        <w:tc>
          <w:tcPr>
            <w:tcW w:w="1360" w:type="dxa"/>
            <w:vAlign w:val="bottom"/>
          </w:tcPr>
          <w:p>
            <w:pPr>
              <w:spacing w:after="0"/>
              <w:rPr>
                <w:sz w:val="19"/>
                <w:szCs w:val="19"/>
                <w:color w:val="auto"/>
              </w:rPr>
            </w:pPr>
          </w:p>
        </w:tc>
        <w:tc>
          <w:tcPr>
            <w:tcW w:w="7620" w:type="dxa"/>
            <w:vAlign w:val="bottom"/>
            <w:tcBorders>
              <w:top w:val="single" w:sz="8" w:color="0000EE"/>
            </w:tcBorders>
            <w:gridSpan w:val="20"/>
          </w:tcPr>
          <w:p>
            <w:pPr>
              <w:spacing w:after="0"/>
              <w:rPr>
                <w:sz w:val="20"/>
                <w:szCs w:val="20"/>
                <w:color w:val="auto"/>
              </w:rPr>
            </w:pPr>
            <w:r>
              <w:rPr>
                <w:rFonts w:ascii="Arial" w:cs="Arial" w:eastAsia="Arial" w:hAnsi="Arial"/>
                <w:sz w:val="18"/>
                <w:szCs w:val="18"/>
                <w:color w:val="auto"/>
                <w:w w:val="98"/>
              </w:rPr>
              <w:t>Exhibit 10.24 to Amendment No. 3 to the Registration Statement on Form S-1 filed May 5, 2021).</w:t>
            </w:r>
          </w:p>
        </w:tc>
        <w:tc>
          <w:tcPr>
            <w:tcW w:w="226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360" w:type="dxa"/>
            <w:vAlign w:val="bottom"/>
          </w:tcPr>
          <w:p>
            <w:pPr>
              <w:jc w:val="right"/>
              <w:ind w:right="850"/>
              <w:spacing w:after="0" w:line="190" w:lineRule="exact"/>
              <w:rPr>
                <w:sz w:val="20"/>
                <w:szCs w:val="20"/>
                <w:color w:val="auto"/>
              </w:rPr>
            </w:pPr>
            <w:r>
              <w:rPr>
                <w:rFonts w:ascii="Arial" w:cs="Arial" w:eastAsia="Arial" w:hAnsi="Arial"/>
                <w:sz w:val="18"/>
                <w:szCs w:val="18"/>
                <w:color w:val="auto"/>
                <w:w w:val="88"/>
              </w:rPr>
              <w:t>10.25</w:t>
            </w:r>
          </w:p>
        </w:tc>
        <w:tc>
          <w:tcPr>
            <w:tcW w:w="9880" w:type="dxa"/>
            <w:vAlign w:val="bottom"/>
            <w:gridSpan w:val="24"/>
          </w:tcPr>
          <w:p>
            <w:pPr>
              <w:spacing w:after="0" w:line="190" w:lineRule="exact"/>
              <w:rPr>
                <w:rFonts w:ascii="Arial" w:cs="Arial" w:eastAsia="Arial" w:hAnsi="Arial"/>
                <w:sz w:val="18"/>
                <w:szCs w:val="18"/>
                <w:color w:val="0000EE"/>
                <w:w w:val="92"/>
              </w:rPr>
            </w:pPr>
            <w:hyperlink r:id="rId148">
              <w:r>
                <w:rPr>
                  <w:rFonts w:ascii="Arial" w:cs="Arial" w:eastAsia="Arial" w:hAnsi="Arial"/>
                  <w:sz w:val="18"/>
                  <w:szCs w:val="18"/>
                  <w:color w:val="0000EE"/>
                  <w:w w:val="92"/>
                </w:rPr>
                <w:t xml:space="preserve">E Marketing Solutions Inc. Equity Purchase Agreement, dated May 18, 2021, between iPower Inc. and Shanshan Huang </w:t>
              </w:r>
            </w:hyperlink>
            <w:r>
              <w:rPr>
                <w:rFonts w:ascii="Arial" w:cs="Arial" w:eastAsia="Arial" w:hAnsi="Arial"/>
                <w:sz w:val="18"/>
                <w:szCs w:val="18"/>
                <w:color w:val="000000"/>
                <w:w w:val="92"/>
              </w:rPr>
              <w:t>(incorporated</w:t>
            </w:r>
          </w:p>
        </w:tc>
        <w:tc>
          <w:tcPr>
            <w:tcW w:w="0" w:type="dxa"/>
            <w:vAlign w:val="bottom"/>
          </w:tcPr>
          <w:p>
            <w:pPr>
              <w:spacing w:after="0"/>
              <w:rPr>
                <w:sz w:val="1"/>
                <w:szCs w:val="1"/>
                <w:color w:val="auto"/>
              </w:rPr>
            </w:pPr>
          </w:p>
        </w:tc>
      </w:tr>
      <w:tr>
        <w:trPr>
          <w:trHeight w:val="222"/>
        </w:trPr>
        <w:tc>
          <w:tcPr>
            <w:tcW w:w="1360" w:type="dxa"/>
            <w:vAlign w:val="bottom"/>
          </w:tcPr>
          <w:p>
            <w:pPr>
              <w:spacing w:after="0"/>
              <w:rPr>
                <w:sz w:val="19"/>
                <w:szCs w:val="19"/>
                <w:color w:val="auto"/>
              </w:rPr>
            </w:pPr>
          </w:p>
        </w:tc>
        <w:tc>
          <w:tcPr>
            <w:tcW w:w="8840" w:type="dxa"/>
            <w:vAlign w:val="bottom"/>
            <w:tcBorders>
              <w:top w:val="single" w:sz="8" w:color="0000EE"/>
            </w:tcBorders>
            <w:gridSpan w:val="22"/>
          </w:tcPr>
          <w:p>
            <w:pPr>
              <w:spacing w:after="0"/>
              <w:rPr>
                <w:sz w:val="20"/>
                <w:szCs w:val="20"/>
                <w:color w:val="auto"/>
              </w:rPr>
            </w:pPr>
            <w:r>
              <w:rPr>
                <w:rFonts w:ascii="Arial" w:cs="Arial" w:eastAsia="Arial" w:hAnsi="Arial"/>
                <w:sz w:val="18"/>
                <w:szCs w:val="18"/>
                <w:color w:val="auto"/>
              </w:rPr>
              <w:t>by reference to Exhibit 10.1 to the Current Report on Form 8-K filed May 21, 2021).</w:t>
            </w:r>
          </w:p>
        </w:tc>
        <w:tc>
          <w:tcPr>
            <w:tcW w:w="10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360" w:type="dxa"/>
            <w:vAlign w:val="bottom"/>
          </w:tcPr>
          <w:p>
            <w:pPr>
              <w:jc w:val="right"/>
              <w:ind w:right="850"/>
              <w:spacing w:after="0" w:line="190" w:lineRule="exact"/>
              <w:rPr>
                <w:sz w:val="20"/>
                <w:szCs w:val="20"/>
                <w:color w:val="auto"/>
              </w:rPr>
            </w:pPr>
            <w:r>
              <w:rPr>
                <w:rFonts w:ascii="Arial" w:cs="Arial" w:eastAsia="Arial" w:hAnsi="Arial"/>
                <w:sz w:val="18"/>
                <w:szCs w:val="18"/>
                <w:color w:val="auto"/>
                <w:w w:val="88"/>
              </w:rPr>
              <w:t>10.26</w:t>
            </w:r>
          </w:p>
        </w:tc>
        <w:tc>
          <w:tcPr>
            <w:tcW w:w="9880" w:type="dxa"/>
            <w:vAlign w:val="bottom"/>
            <w:gridSpan w:val="24"/>
          </w:tcPr>
          <w:p>
            <w:pPr>
              <w:spacing w:after="0" w:line="190" w:lineRule="exact"/>
              <w:rPr>
                <w:rFonts w:ascii="Arial" w:cs="Arial" w:eastAsia="Arial" w:hAnsi="Arial"/>
                <w:sz w:val="18"/>
                <w:szCs w:val="18"/>
                <w:color w:val="0000EE"/>
                <w:w w:val="91"/>
              </w:rPr>
            </w:pPr>
            <w:hyperlink r:id="rId149">
              <w:r>
                <w:rPr>
                  <w:rFonts w:ascii="Arial" w:cs="Arial" w:eastAsia="Arial" w:hAnsi="Arial"/>
                  <w:sz w:val="18"/>
                  <w:szCs w:val="18"/>
                  <w:color w:val="0000EE"/>
                  <w:w w:val="91"/>
                </w:rPr>
                <w:t xml:space="preserve">Global Products Marketing Inc. Equity Purchase Agreement, dated May 18, 2021, between iPower Inc. and Chenlong Tan </w:t>
              </w:r>
            </w:hyperlink>
            <w:r>
              <w:rPr>
                <w:rFonts w:ascii="Arial" w:cs="Arial" w:eastAsia="Arial" w:hAnsi="Arial"/>
                <w:sz w:val="18"/>
                <w:szCs w:val="18"/>
                <w:color w:val="000000"/>
                <w:w w:val="91"/>
              </w:rPr>
              <w:t>(incorporated</w:t>
            </w:r>
          </w:p>
        </w:tc>
        <w:tc>
          <w:tcPr>
            <w:tcW w:w="0" w:type="dxa"/>
            <w:vAlign w:val="bottom"/>
          </w:tcPr>
          <w:p>
            <w:pPr>
              <w:spacing w:after="0"/>
              <w:rPr>
                <w:sz w:val="1"/>
                <w:szCs w:val="1"/>
                <w:color w:val="auto"/>
              </w:rPr>
            </w:pPr>
          </w:p>
        </w:tc>
      </w:tr>
      <w:tr>
        <w:trPr>
          <w:trHeight w:val="226"/>
        </w:trPr>
        <w:tc>
          <w:tcPr>
            <w:tcW w:w="1360" w:type="dxa"/>
            <w:vAlign w:val="bottom"/>
            <w:vMerge w:val="restart"/>
          </w:tcPr>
          <w:p>
            <w:pPr>
              <w:jc w:val="right"/>
              <w:ind w:right="850"/>
              <w:spacing w:after="0"/>
              <w:rPr>
                <w:sz w:val="20"/>
                <w:szCs w:val="20"/>
                <w:color w:val="auto"/>
              </w:rPr>
            </w:pPr>
            <w:r>
              <w:rPr>
                <w:rFonts w:ascii="Arial" w:cs="Arial" w:eastAsia="Arial" w:hAnsi="Arial"/>
                <w:sz w:val="18"/>
                <w:szCs w:val="18"/>
                <w:color w:val="auto"/>
                <w:w w:val="88"/>
              </w:rPr>
              <w:t>10.27</w:t>
            </w:r>
          </w:p>
        </w:tc>
        <w:tc>
          <w:tcPr>
            <w:tcW w:w="8840" w:type="dxa"/>
            <w:vAlign w:val="bottom"/>
            <w:tcBorders>
              <w:top w:val="single" w:sz="8" w:color="0000EE"/>
            </w:tcBorders>
            <w:gridSpan w:val="22"/>
          </w:tcPr>
          <w:p>
            <w:pPr>
              <w:spacing w:after="0"/>
              <w:rPr>
                <w:sz w:val="20"/>
                <w:szCs w:val="20"/>
                <w:color w:val="auto"/>
              </w:rPr>
            </w:pPr>
            <w:r>
              <w:rPr>
                <w:rFonts w:ascii="Arial" w:cs="Arial" w:eastAsia="Arial" w:hAnsi="Arial"/>
                <w:sz w:val="18"/>
                <w:szCs w:val="18"/>
                <w:color w:val="auto"/>
              </w:rPr>
              <w:t>by reference to Exhibit 10.2 to the Current Report on Form 8-K filed May 21, 2021).</w:t>
            </w:r>
          </w:p>
        </w:tc>
        <w:tc>
          <w:tcPr>
            <w:tcW w:w="10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4800" w:type="dxa"/>
            <w:vAlign w:val="bottom"/>
            <w:gridSpan w:val="10"/>
            <w:vMerge w:val="restart"/>
          </w:tcPr>
          <w:p>
            <w:pPr>
              <w:spacing w:after="0"/>
              <w:rPr>
                <w:rFonts w:ascii="Arial" w:cs="Arial" w:eastAsia="Arial" w:hAnsi="Arial"/>
                <w:sz w:val="18"/>
                <w:szCs w:val="18"/>
                <w:color w:val="0000EE"/>
                <w:w w:val="89"/>
              </w:rPr>
            </w:pPr>
            <w:hyperlink r:id="rId150">
              <w:r>
                <w:rPr>
                  <w:rFonts w:ascii="Arial" w:cs="Arial" w:eastAsia="Arial" w:hAnsi="Arial"/>
                  <w:sz w:val="18"/>
                  <w:szCs w:val="18"/>
                  <w:color w:val="0000EE"/>
                  <w:w w:val="89"/>
                </w:rPr>
                <w:t>Lease Agreement, dated July 28, 2021, between iPower Inc. and 9</w:t>
              </w:r>
            </w:hyperlink>
          </w:p>
        </w:tc>
        <w:tc>
          <w:tcPr>
            <w:tcW w:w="160" w:type="dxa"/>
            <w:vAlign w:val="bottom"/>
            <w:tcBorders>
              <w:bottom w:val="single" w:sz="8" w:color="0000EE"/>
            </w:tcBorders>
          </w:tcPr>
          <w:p>
            <w:pPr>
              <w:spacing w:after="0" w:line="139" w:lineRule="exact"/>
              <w:rPr>
                <w:rFonts w:ascii="Arial" w:cs="Arial" w:eastAsia="Arial" w:hAnsi="Arial"/>
                <w:sz w:val="15"/>
                <w:szCs w:val="15"/>
                <w:color w:val="0000EE"/>
              </w:rPr>
            </w:pPr>
            <w:hyperlink r:id="rId150">
              <w:r>
                <w:rPr>
                  <w:rFonts w:ascii="Arial" w:cs="Arial" w:eastAsia="Arial" w:hAnsi="Arial"/>
                  <w:sz w:val="15"/>
                  <w:szCs w:val="15"/>
                  <w:color w:val="0000EE"/>
                </w:rPr>
                <w:t>th</w:t>
              </w:r>
            </w:hyperlink>
          </w:p>
        </w:tc>
        <w:tc>
          <w:tcPr>
            <w:tcW w:w="4920" w:type="dxa"/>
            <w:vAlign w:val="bottom"/>
            <w:gridSpan w:val="13"/>
            <w:vMerge w:val="restart"/>
          </w:tcPr>
          <w:p>
            <w:pPr>
              <w:spacing w:after="0"/>
              <w:rPr>
                <w:rFonts w:ascii="Arial" w:cs="Arial" w:eastAsia="Arial" w:hAnsi="Arial"/>
                <w:sz w:val="18"/>
                <w:szCs w:val="18"/>
                <w:color w:val="0000EE"/>
                <w:w w:val="92"/>
              </w:rPr>
            </w:pPr>
            <w:hyperlink r:id="rId150">
              <w:r>
                <w:rPr>
                  <w:rFonts w:ascii="Arial" w:cs="Arial" w:eastAsia="Arial" w:hAnsi="Arial"/>
                  <w:sz w:val="18"/>
                  <w:szCs w:val="18"/>
                  <w:color w:val="0000EE"/>
                  <w:w w:val="92"/>
                </w:rPr>
                <w:t xml:space="preserve">and Vineyard LLC </w:t>
              </w:r>
            </w:hyperlink>
            <w:r>
              <w:rPr>
                <w:rFonts w:ascii="Arial" w:cs="Arial" w:eastAsia="Arial" w:hAnsi="Arial"/>
                <w:sz w:val="18"/>
                <w:szCs w:val="18"/>
                <w:color w:val="000000"/>
                <w:w w:val="92"/>
              </w:rPr>
              <w:t>(incorporated</w:t>
            </w:r>
            <w:r>
              <w:rPr>
                <w:rFonts w:ascii="Arial" w:cs="Arial" w:eastAsia="Arial" w:hAnsi="Arial"/>
                <w:sz w:val="18"/>
                <w:szCs w:val="18"/>
                <w:color w:val="0000EE"/>
                <w:w w:val="92"/>
              </w:rPr>
              <w:t xml:space="preserve"> </w:t>
            </w:r>
            <w:r>
              <w:rPr>
                <w:rFonts w:ascii="Arial" w:cs="Arial" w:eastAsia="Arial" w:hAnsi="Arial"/>
                <w:sz w:val="18"/>
                <w:szCs w:val="18"/>
                <w:color w:val="000000"/>
                <w:w w:val="92"/>
              </w:rPr>
              <w:t>by reference to Exhibit 10.1 to the</w:t>
            </w:r>
          </w:p>
        </w:tc>
        <w:tc>
          <w:tcPr>
            <w:tcW w:w="0" w:type="dxa"/>
            <w:vAlign w:val="bottom"/>
          </w:tcPr>
          <w:p>
            <w:pPr>
              <w:spacing w:after="0"/>
              <w:rPr>
                <w:sz w:val="1"/>
                <w:szCs w:val="1"/>
                <w:color w:val="auto"/>
              </w:rPr>
            </w:pPr>
          </w:p>
        </w:tc>
      </w:tr>
      <w:tr>
        <w:trPr>
          <w:trHeight w:val="48"/>
        </w:trPr>
        <w:tc>
          <w:tcPr>
            <w:tcW w:w="1360" w:type="dxa"/>
            <w:vAlign w:val="bottom"/>
            <w:vMerge w:val="continue"/>
          </w:tcPr>
          <w:p>
            <w:pPr>
              <w:spacing w:after="0"/>
              <w:rPr>
                <w:sz w:val="4"/>
                <w:szCs w:val="4"/>
                <w:color w:val="auto"/>
              </w:rPr>
            </w:pPr>
          </w:p>
        </w:tc>
        <w:tc>
          <w:tcPr>
            <w:tcW w:w="4800" w:type="dxa"/>
            <w:vAlign w:val="bottom"/>
            <w:gridSpan w:val="10"/>
            <w:vMerge w:val="continue"/>
          </w:tcPr>
          <w:p>
            <w:pPr>
              <w:spacing w:after="0"/>
              <w:rPr>
                <w:sz w:val="4"/>
                <w:szCs w:val="4"/>
                <w:color w:val="auto"/>
              </w:rPr>
            </w:pPr>
          </w:p>
        </w:tc>
        <w:tc>
          <w:tcPr>
            <w:tcW w:w="160" w:type="dxa"/>
            <w:vAlign w:val="bottom"/>
          </w:tcPr>
          <w:p>
            <w:pPr>
              <w:spacing w:after="0"/>
              <w:rPr>
                <w:sz w:val="4"/>
                <w:szCs w:val="4"/>
                <w:color w:val="auto"/>
              </w:rPr>
            </w:pPr>
          </w:p>
        </w:tc>
        <w:tc>
          <w:tcPr>
            <w:tcW w:w="4920" w:type="dxa"/>
            <w:vAlign w:val="bottom"/>
            <w:gridSpan w:val="1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1360" w:type="dxa"/>
            <w:vAlign w:val="bottom"/>
          </w:tcPr>
          <w:p>
            <w:pPr>
              <w:spacing w:after="0"/>
              <w:rPr>
                <w:sz w:val="19"/>
                <w:szCs w:val="19"/>
                <w:color w:val="auto"/>
              </w:rPr>
            </w:pPr>
          </w:p>
        </w:tc>
        <w:tc>
          <w:tcPr>
            <w:tcW w:w="480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auto"/>
              </w:rPr>
              <w:t>Current Report filed August 2, 2021).</w:t>
            </w:r>
          </w:p>
        </w:tc>
        <w:tc>
          <w:tcPr>
            <w:tcW w:w="160" w:type="dxa"/>
            <w:vAlign w:val="bottom"/>
          </w:tcPr>
          <w:p>
            <w:pPr>
              <w:spacing w:after="0"/>
              <w:rPr>
                <w:sz w:val="19"/>
                <w:szCs w:val="19"/>
                <w:color w:val="auto"/>
              </w:rPr>
            </w:pPr>
          </w:p>
        </w:tc>
        <w:tc>
          <w:tcPr>
            <w:tcW w:w="1340" w:type="dxa"/>
            <w:vAlign w:val="bottom"/>
            <w:tcBorders>
              <w:top w:val="single" w:sz="8" w:color="0000EE"/>
            </w:tcBorders>
            <w:gridSpan w:val="4"/>
          </w:tcPr>
          <w:p>
            <w:pPr>
              <w:spacing w:after="0"/>
              <w:rPr>
                <w:sz w:val="19"/>
                <w:szCs w:val="19"/>
                <w:color w:val="auto"/>
              </w:rPr>
            </w:pPr>
          </w:p>
        </w:tc>
        <w:tc>
          <w:tcPr>
            <w:tcW w:w="358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360" w:type="dxa"/>
            <w:vAlign w:val="bottom"/>
          </w:tcPr>
          <w:p>
            <w:pPr>
              <w:jc w:val="right"/>
              <w:ind w:right="850"/>
              <w:spacing w:after="0" w:line="190" w:lineRule="exact"/>
              <w:rPr>
                <w:sz w:val="20"/>
                <w:szCs w:val="20"/>
                <w:color w:val="auto"/>
              </w:rPr>
            </w:pPr>
            <w:r>
              <w:rPr>
                <w:rFonts w:ascii="Arial" w:cs="Arial" w:eastAsia="Arial" w:hAnsi="Arial"/>
                <w:sz w:val="18"/>
                <w:szCs w:val="18"/>
                <w:color w:val="auto"/>
                <w:w w:val="88"/>
              </w:rPr>
              <w:t>10.28</w:t>
            </w:r>
          </w:p>
        </w:tc>
        <w:tc>
          <w:tcPr>
            <w:tcW w:w="9880" w:type="dxa"/>
            <w:vAlign w:val="bottom"/>
            <w:gridSpan w:val="24"/>
          </w:tcPr>
          <w:p>
            <w:pPr>
              <w:spacing w:after="0" w:line="190" w:lineRule="exact"/>
              <w:rPr>
                <w:rFonts w:ascii="Arial" w:cs="Arial" w:eastAsia="Arial" w:hAnsi="Arial"/>
                <w:sz w:val="18"/>
                <w:szCs w:val="18"/>
                <w:color w:val="0000EE"/>
                <w:w w:val="94"/>
              </w:rPr>
            </w:pPr>
            <w:hyperlink r:id="rId151">
              <w:r>
                <w:rPr>
                  <w:rFonts w:ascii="Arial" w:cs="Arial" w:eastAsia="Arial" w:hAnsi="Arial"/>
                  <w:sz w:val="18"/>
                  <w:szCs w:val="18"/>
                  <w:color w:val="0000EE"/>
                  <w:w w:val="94"/>
                </w:rPr>
                <w:t>Form of Credit Agreement, dated as of November 12, 2021, between iPower Inc., its subsidiaries and JPMorgan Chase Bank, N.A.</w:t>
              </w:r>
            </w:hyperlink>
          </w:p>
        </w:tc>
        <w:tc>
          <w:tcPr>
            <w:tcW w:w="0" w:type="dxa"/>
            <w:vAlign w:val="bottom"/>
          </w:tcPr>
          <w:p>
            <w:pPr>
              <w:spacing w:after="0"/>
              <w:rPr>
                <w:sz w:val="1"/>
                <w:szCs w:val="1"/>
                <w:color w:val="auto"/>
              </w:rPr>
            </w:pPr>
          </w:p>
        </w:tc>
      </w:tr>
      <w:tr>
        <w:trPr>
          <w:trHeight w:val="222"/>
        </w:trPr>
        <w:tc>
          <w:tcPr>
            <w:tcW w:w="1360" w:type="dxa"/>
            <w:vAlign w:val="bottom"/>
          </w:tcPr>
          <w:p>
            <w:pPr>
              <w:spacing w:after="0"/>
              <w:rPr>
                <w:sz w:val="19"/>
                <w:szCs w:val="19"/>
                <w:color w:val="auto"/>
              </w:rPr>
            </w:pPr>
          </w:p>
        </w:tc>
        <w:tc>
          <w:tcPr>
            <w:tcW w:w="9860" w:type="dxa"/>
            <w:vAlign w:val="bottom"/>
            <w:tcBorders>
              <w:top w:val="single" w:sz="8" w:color="0000EE"/>
            </w:tcBorders>
            <w:gridSpan w:val="23"/>
          </w:tcPr>
          <w:p>
            <w:pPr>
              <w:spacing w:after="0"/>
              <w:rPr>
                <w:sz w:val="20"/>
                <w:szCs w:val="20"/>
                <w:color w:val="auto"/>
              </w:rPr>
            </w:pPr>
            <w:r>
              <w:rPr>
                <w:rFonts w:ascii="Arial" w:cs="Arial" w:eastAsia="Arial" w:hAnsi="Arial"/>
                <w:sz w:val="18"/>
                <w:szCs w:val="18"/>
                <w:color w:val="auto"/>
              </w:rPr>
              <w:t>(incorporated by reference to Exhibit 10.1 to the Quarterly Report on Form 10-Q filed November 15, 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360" w:type="dxa"/>
            <w:vAlign w:val="bottom"/>
          </w:tcPr>
          <w:p>
            <w:pPr>
              <w:jc w:val="right"/>
              <w:ind w:right="850"/>
              <w:spacing w:after="0" w:line="190" w:lineRule="exact"/>
              <w:rPr>
                <w:sz w:val="20"/>
                <w:szCs w:val="20"/>
                <w:color w:val="auto"/>
              </w:rPr>
            </w:pPr>
            <w:r>
              <w:rPr>
                <w:rFonts w:ascii="Arial" w:cs="Arial" w:eastAsia="Arial" w:hAnsi="Arial"/>
                <w:sz w:val="18"/>
                <w:szCs w:val="18"/>
                <w:color w:val="auto"/>
                <w:w w:val="88"/>
              </w:rPr>
              <w:t>10.29</w:t>
            </w:r>
          </w:p>
        </w:tc>
        <w:tc>
          <w:tcPr>
            <w:tcW w:w="9880" w:type="dxa"/>
            <w:vAlign w:val="bottom"/>
            <w:tcBorders>
              <w:bottom w:val="single" w:sz="8" w:color="0000EE"/>
            </w:tcBorders>
            <w:gridSpan w:val="24"/>
          </w:tcPr>
          <w:p>
            <w:pPr>
              <w:spacing w:after="0" w:line="190" w:lineRule="exact"/>
              <w:rPr>
                <w:rFonts w:ascii="Arial" w:cs="Arial" w:eastAsia="Arial" w:hAnsi="Arial"/>
                <w:sz w:val="18"/>
                <w:szCs w:val="18"/>
                <w:color w:val="0000EE"/>
                <w:w w:val="93"/>
              </w:rPr>
            </w:pPr>
            <w:hyperlink r:id="rId152">
              <w:r>
                <w:rPr>
                  <w:rFonts w:ascii="Arial" w:cs="Arial" w:eastAsia="Arial" w:hAnsi="Arial"/>
                  <w:sz w:val="18"/>
                  <w:szCs w:val="18"/>
                  <w:color w:val="0000EE"/>
                  <w:w w:val="93"/>
                </w:rPr>
                <w:t>Form of Trademark Security Agreement, dated as of November 12, 2021, between iPower Inc., its subsidiaries and JPMorgan Chase</w:t>
              </w:r>
            </w:hyperlink>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9880" w:type="dxa"/>
            <w:vAlign w:val="bottom"/>
            <w:gridSpan w:val="24"/>
          </w:tcPr>
          <w:p>
            <w:pPr>
              <w:spacing w:after="0" w:line="196" w:lineRule="exact"/>
              <w:rPr>
                <w:rFonts w:ascii="Arial" w:cs="Arial" w:eastAsia="Arial" w:hAnsi="Arial"/>
                <w:sz w:val="18"/>
                <w:szCs w:val="18"/>
                <w:color w:val="0000EE"/>
              </w:rPr>
            </w:pPr>
            <w:hyperlink r:id="rId152">
              <w:r>
                <w:rPr>
                  <w:rFonts w:ascii="Arial" w:cs="Arial" w:eastAsia="Arial" w:hAnsi="Arial"/>
                  <w:sz w:val="18"/>
                  <w:szCs w:val="18"/>
                  <w:color w:val="0000EE"/>
                </w:rPr>
                <w:t xml:space="preserve">Bank, N.A. </w:t>
              </w:r>
              <w:r>
                <w:rPr>
                  <w:rFonts w:ascii="Arial" w:cs="Arial" w:eastAsia="Arial" w:hAnsi="Arial"/>
                  <w:sz w:val="18"/>
                  <w:szCs w:val="18"/>
                  <w:color w:val="000000"/>
                </w:rPr>
                <w:t>(incorporated by reference to Exhibit 10.2 to the Quarterly Report on Form 10-Q filed November 15, 2021).</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24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jc w:val="right"/>
              <w:ind w:right="850"/>
              <w:spacing w:after="0" w:line="196" w:lineRule="exact"/>
              <w:rPr>
                <w:sz w:val="20"/>
                <w:szCs w:val="20"/>
                <w:color w:val="auto"/>
              </w:rPr>
            </w:pPr>
            <w:r>
              <w:rPr>
                <w:rFonts w:ascii="Arial" w:cs="Arial" w:eastAsia="Arial" w:hAnsi="Arial"/>
                <w:sz w:val="18"/>
                <w:szCs w:val="18"/>
                <w:color w:val="auto"/>
                <w:w w:val="88"/>
              </w:rPr>
              <w:t>10.30</w:t>
            </w:r>
          </w:p>
        </w:tc>
        <w:tc>
          <w:tcPr>
            <w:tcW w:w="9880" w:type="dxa"/>
            <w:vAlign w:val="bottom"/>
            <w:tcBorders>
              <w:bottom w:val="single" w:sz="8" w:color="0000EE"/>
            </w:tcBorders>
            <w:gridSpan w:val="24"/>
          </w:tcPr>
          <w:p>
            <w:pPr>
              <w:spacing w:after="0" w:line="196" w:lineRule="exact"/>
              <w:rPr>
                <w:rFonts w:ascii="Arial" w:cs="Arial" w:eastAsia="Arial" w:hAnsi="Arial"/>
                <w:sz w:val="18"/>
                <w:szCs w:val="18"/>
                <w:color w:val="0000EE"/>
                <w:w w:val="92"/>
              </w:rPr>
            </w:pPr>
            <w:hyperlink r:id="rId153">
              <w:r>
                <w:rPr>
                  <w:rFonts w:ascii="Arial" w:cs="Arial" w:eastAsia="Arial" w:hAnsi="Arial"/>
                  <w:sz w:val="18"/>
                  <w:szCs w:val="18"/>
                  <w:color w:val="0000EE"/>
                  <w:w w:val="92"/>
                </w:rPr>
                <w:t>Form of Pledge and Security Agreement, dated as of November 12, 2021, between iPower Inc., its subsidiaries and JPMorgan Chase</w:t>
              </w:r>
            </w:hyperlink>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9880" w:type="dxa"/>
            <w:vAlign w:val="bottom"/>
            <w:gridSpan w:val="24"/>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 xml:space="preserve">Bank, N.A. </w:t>
              </w:r>
              <w:r>
                <w:rPr>
                  <w:rFonts w:ascii="Arial" w:cs="Arial" w:eastAsia="Arial" w:hAnsi="Arial"/>
                  <w:sz w:val="18"/>
                  <w:szCs w:val="18"/>
                  <w:color w:val="000000"/>
                </w:rPr>
                <w:t>(incorporated by reference to Exhibit 10.3 to the Quarterly Report on Form 10-Q filed November 15, 2021).</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24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jc w:val="right"/>
              <w:ind w:right="850"/>
              <w:spacing w:after="0" w:line="196" w:lineRule="exact"/>
              <w:rPr>
                <w:sz w:val="20"/>
                <w:szCs w:val="20"/>
                <w:color w:val="auto"/>
              </w:rPr>
            </w:pPr>
            <w:r>
              <w:rPr>
                <w:rFonts w:ascii="Arial" w:cs="Arial" w:eastAsia="Arial" w:hAnsi="Arial"/>
                <w:sz w:val="18"/>
                <w:szCs w:val="18"/>
                <w:color w:val="auto"/>
                <w:w w:val="88"/>
              </w:rPr>
              <w:t>10.31</w:t>
            </w:r>
          </w:p>
        </w:tc>
        <w:tc>
          <w:tcPr>
            <w:tcW w:w="9880" w:type="dxa"/>
            <w:vAlign w:val="bottom"/>
            <w:gridSpan w:val="24"/>
          </w:tcPr>
          <w:p>
            <w:pPr>
              <w:spacing w:after="0" w:line="196" w:lineRule="exact"/>
              <w:rPr>
                <w:rFonts w:ascii="Arial" w:cs="Arial" w:eastAsia="Arial" w:hAnsi="Arial"/>
                <w:sz w:val="18"/>
                <w:szCs w:val="18"/>
                <w:color w:val="0000EE"/>
                <w:w w:val="97"/>
              </w:rPr>
            </w:pPr>
            <w:hyperlink r:id="rId154">
              <w:r>
                <w:rPr>
                  <w:rFonts w:ascii="Arial" w:cs="Arial" w:eastAsia="Arial" w:hAnsi="Arial"/>
                  <w:sz w:val="18"/>
                  <w:szCs w:val="18"/>
                  <w:color w:val="0000EE"/>
                  <w:w w:val="97"/>
                </w:rPr>
                <w:t xml:space="preserve">Joint Venture Agreement </w:t>
              </w:r>
            </w:hyperlink>
            <w:r>
              <w:rPr>
                <w:rFonts w:ascii="Arial" w:cs="Arial" w:eastAsia="Arial" w:hAnsi="Arial"/>
                <w:sz w:val="18"/>
                <w:szCs w:val="18"/>
                <w:color w:val="000000"/>
                <w:w w:val="97"/>
              </w:rPr>
              <w:t>(incorporated</w:t>
            </w:r>
            <w:r>
              <w:rPr>
                <w:rFonts w:ascii="Arial" w:cs="Arial" w:eastAsia="Arial" w:hAnsi="Arial"/>
                <w:sz w:val="18"/>
                <w:szCs w:val="18"/>
                <w:color w:val="0000EE"/>
                <w:w w:val="97"/>
              </w:rPr>
              <w:t xml:space="preserve"> </w:t>
            </w:r>
            <w:r>
              <w:rPr>
                <w:rFonts w:ascii="Arial" w:cs="Arial" w:eastAsia="Arial" w:hAnsi="Arial"/>
                <w:sz w:val="18"/>
                <w:szCs w:val="18"/>
                <w:color w:val="000000"/>
                <w:w w:val="97"/>
              </w:rPr>
              <w:t>by Reference to Exhibit 10.1 to the Current Report on Form 8-K filed January 20, 2022).</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24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jc w:val="right"/>
              <w:ind w:right="850"/>
              <w:spacing w:after="0" w:line="196" w:lineRule="exact"/>
              <w:rPr>
                <w:sz w:val="20"/>
                <w:szCs w:val="20"/>
                <w:color w:val="auto"/>
              </w:rPr>
            </w:pPr>
            <w:r>
              <w:rPr>
                <w:rFonts w:ascii="Arial" w:cs="Arial" w:eastAsia="Arial" w:hAnsi="Arial"/>
                <w:sz w:val="18"/>
                <w:szCs w:val="18"/>
                <w:color w:val="auto"/>
                <w:w w:val="88"/>
              </w:rPr>
              <w:t>10.32</w:t>
            </w:r>
          </w:p>
        </w:tc>
        <w:tc>
          <w:tcPr>
            <w:tcW w:w="9880" w:type="dxa"/>
            <w:vAlign w:val="bottom"/>
            <w:gridSpan w:val="24"/>
          </w:tcPr>
          <w:p>
            <w:pPr>
              <w:spacing w:after="0" w:line="196" w:lineRule="exact"/>
              <w:rPr>
                <w:rFonts w:ascii="Arial" w:cs="Arial" w:eastAsia="Arial" w:hAnsi="Arial"/>
                <w:sz w:val="18"/>
                <w:szCs w:val="18"/>
                <w:color w:val="0000EE"/>
                <w:w w:val="93"/>
              </w:rPr>
            </w:pPr>
            <w:hyperlink r:id="rId155">
              <w:r>
                <w:rPr>
                  <w:rFonts w:ascii="Arial" w:cs="Arial" w:eastAsia="Arial" w:hAnsi="Arial"/>
                  <w:sz w:val="18"/>
                  <w:szCs w:val="18"/>
                  <w:color w:val="0000EE"/>
                  <w:w w:val="93"/>
                </w:rPr>
                <w:t xml:space="preserve">Box Harmony LLC Agreement </w:t>
              </w:r>
            </w:hyperlink>
            <w:r>
              <w:rPr>
                <w:rFonts w:ascii="Arial" w:cs="Arial" w:eastAsia="Arial" w:hAnsi="Arial"/>
                <w:sz w:val="18"/>
                <w:szCs w:val="18"/>
                <w:color w:val="000000"/>
                <w:w w:val="93"/>
              </w:rPr>
              <w:t>(incorporated</w:t>
            </w:r>
            <w:r>
              <w:rPr>
                <w:rFonts w:ascii="Arial" w:cs="Arial" w:eastAsia="Arial" w:hAnsi="Arial"/>
                <w:sz w:val="18"/>
                <w:szCs w:val="18"/>
                <w:color w:val="0000EE"/>
                <w:w w:val="93"/>
              </w:rPr>
              <w:t xml:space="preserve"> </w:t>
            </w:r>
            <w:r>
              <w:rPr>
                <w:rFonts w:ascii="Arial" w:cs="Arial" w:eastAsia="Arial" w:hAnsi="Arial"/>
                <w:sz w:val="18"/>
                <w:szCs w:val="18"/>
                <w:color w:val="000000"/>
                <w:w w:val="93"/>
              </w:rPr>
              <w:t>by Reference to Exhibit 10.2 to the Current Report on Form 8-K filed January 20, 2022).</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24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jc w:val="right"/>
              <w:ind w:right="850"/>
              <w:spacing w:after="0" w:line="196" w:lineRule="exact"/>
              <w:rPr>
                <w:sz w:val="20"/>
                <w:szCs w:val="20"/>
                <w:color w:val="auto"/>
              </w:rPr>
            </w:pPr>
            <w:r>
              <w:rPr>
                <w:rFonts w:ascii="Arial" w:cs="Arial" w:eastAsia="Arial" w:hAnsi="Arial"/>
                <w:sz w:val="18"/>
                <w:szCs w:val="18"/>
                <w:color w:val="auto"/>
                <w:w w:val="88"/>
              </w:rPr>
              <w:t>10.33</w:t>
            </w:r>
          </w:p>
        </w:tc>
        <w:tc>
          <w:tcPr>
            <w:tcW w:w="9880" w:type="dxa"/>
            <w:vAlign w:val="bottom"/>
            <w:gridSpan w:val="24"/>
          </w:tcPr>
          <w:p>
            <w:pPr>
              <w:spacing w:after="0" w:line="196" w:lineRule="exact"/>
              <w:rPr>
                <w:rFonts w:ascii="Arial" w:cs="Arial" w:eastAsia="Arial" w:hAnsi="Arial"/>
                <w:sz w:val="18"/>
                <w:szCs w:val="18"/>
                <w:color w:val="0000EE"/>
                <w:w w:val="94"/>
              </w:rPr>
            </w:pPr>
            <w:hyperlink r:id="rId156">
              <w:r>
                <w:rPr>
                  <w:rFonts w:ascii="Arial" w:cs="Arial" w:eastAsia="Arial" w:hAnsi="Arial"/>
                  <w:sz w:val="18"/>
                  <w:szCs w:val="18"/>
                  <w:color w:val="0000EE"/>
                  <w:w w:val="94"/>
                </w:rPr>
                <w:t xml:space="preserve">Facility and Use Access Agreement </w:t>
              </w:r>
            </w:hyperlink>
            <w:r>
              <w:rPr>
                <w:rFonts w:ascii="Arial" w:cs="Arial" w:eastAsia="Arial" w:hAnsi="Arial"/>
                <w:sz w:val="18"/>
                <w:szCs w:val="18"/>
                <w:color w:val="000000"/>
                <w:w w:val="94"/>
              </w:rPr>
              <w:t>(incorporated</w:t>
            </w:r>
            <w:r>
              <w:rPr>
                <w:rFonts w:ascii="Arial" w:cs="Arial" w:eastAsia="Arial" w:hAnsi="Arial"/>
                <w:sz w:val="18"/>
                <w:szCs w:val="18"/>
                <w:color w:val="0000EE"/>
                <w:w w:val="94"/>
              </w:rPr>
              <w:t xml:space="preserve"> </w:t>
            </w:r>
            <w:r>
              <w:rPr>
                <w:rFonts w:ascii="Arial" w:cs="Arial" w:eastAsia="Arial" w:hAnsi="Arial"/>
                <w:sz w:val="18"/>
                <w:szCs w:val="18"/>
                <w:color w:val="000000"/>
                <w:w w:val="94"/>
              </w:rPr>
              <w:t>by Reference to Exhibit 10.3 to the Current Report on Form 8-K filed January 20,</w:t>
            </w:r>
          </w:p>
        </w:tc>
        <w:tc>
          <w:tcPr>
            <w:tcW w:w="0" w:type="dxa"/>
            <w:vAlign w:val="bottom"/>
          </w:tcPr>
          <w:p>
            <w:pPr>
              <w:spacing w:after="0"/>
              <w:rPr>
                <w:sz w:val="1"/>
                <w:szCs w:val="1"/>
                <w:color w:val="auto"/>
              </w:rPr>
            </w:pPr>
          </w:p>
        </w:tc>
      </w:tr>
      <w:tr>
        <w:trPr>
          <w:trHeight w:val="222"/>
        </w:trPr>
        <w:tc>
          <w:tcPr>
            <w:tcW w:w="1360" w:type="dxa"/>
            <w:vAlign w:val="bottom"/>
          </w:tcPr>
          <w:p>
            <w:pPr>
              <w:spacing w:after="0"/>
              <w:rPr>
                <w:sz w:val="19"/>
                <w:szCs w:val="19"/>
                <w:color w:val="auto"/>
              </w:rPr>
            </w:pPr>
          </w:p>
        </w:tc>
        <w:tc>
          <w:tcPr>
            <w:tcW w:w="82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0000EE"/>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360" w:type="dxa"/>
            <w:vAlign w:val="bottom"/>
          </w:tcPr>
          <w:p>
            <w:pPr>
              <w:jc w:val="right"/>
              <w:ind w:right="850"/>
              <w:spacing w:after="0" w:line="190" w:lineRule="exact"/>
              <w:rPr>
                <w:sz w:val="20"/>
                <w:szCs w:val="20"/>
                <w:color w:val="auto"/>
              </w:rPr>
            </w:pPr>
            <w:r>
              <w:rPr>
                <w:rFonts w:ascii="Arial" w:cs="Arial" w:eastAsia="Arial" w:hAnsi="Arial"/>
                <w:sz w:val="18"/>
                <w:szCs w:val="18"/>
                <w:color w:val="auto"/>
                <w:w w:val="88"/>
              </w:rPr>
              <w:t>10.34</w:t>
            </w:r>
          </w:p>
        </w:tc>
        <w:tc>
          <w:tcPr>
            <w:tcW w:w="9880" w:type="dxa"/>
            <w:vAlign w:val="bottom"/>
            <w:gridSpan w:val="24"/>
          </w:tcPr>
          <w:p>
            <w:pPr>
              <w:spacing w:after="0" w:line="190" w:lineRule="exact"/>
              <w:rPr>
                <w:rFonts w:ascii="Arial" w:cs="Arial" w:eastAsia="Arial" w:hAnsi="Arial"/>
                <w:sz w:val="18"/>
                <w:szCs w:val="18"/>
                <w:color w:val="0000EE"/>
                <w:w w:val="99"/>
              </w:rPr>
            </w:pPr>
            <w:hyperlink r:id="rId157">
              <w:r>
                <w:rPr>
                  <w:rFonts w:ascii="Arial" w:cs="Arial" w:eastAsia="Arial" w:hAnsi="Arial"/>
                  <w:sz w:val="18"/>
                  <w:szCs w:val="18"/>
                  <w:color w:val="0000EE"/>
                  <w:w w:val="99"/>
                </w:rPr>
                <w:t xml:space="preserve">Consulting Agreement </w:t>
              </w:r>
            </w:hyperlink>
            <w:r>
              <w:rPr>
                <w:rFonts w:ascii="Arial" w:cs="Arial" w:eastAsia="Arial" w:hAnsi="Arial"/>
                <w:sz w:val="18"/>
                <w:szCs w:val="18"/>
                <w:color w:val="000000"/>
                <w:w w:val="99"/>
              </w:rPr>
              <w:t>(incorporated</w:t>
            </w:r>
            <w:r>
              <w:rPr>
                <w:rFonts w:ascii="Arial" w:cs="Arial" w:eastAsia="Arial" w:hAnsi="Arial"/>
                <w:sz w:val="18"/>
                <w:szCs w:val="18"/>
                <w:color w:val="0000EE"/>
                <w:w w:val="99"/>
              </w:rPr>
              <w:t xml:space="preserve"> </w:t>
            </w:r>
            <w:r>
              <w:rPr>
                <w:rFonts w:ascii="Arial" w:cs="Arial" w:eastAsia="Arial" w:hAnsi="Arial"/>
                <w:sz w:val="18"/>
                <w:szCs w:val="18"/>
                <w:color w:val="000000"/>
                <w:w w:val="99"/>
              </w:rPr>
              <w:t>by Reference to Exhibit 10.4 to the Current Report on Form 8-K filed January 20, 2022).</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40" w:type="dxa"/>
            <w:vAlign w:val="bottom"/>
            <w:gridSpan w:val="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jc w:val="right"/>
              <w:ind w:right="850"/>
              <w:spacing w:after="0" w:line="196" w:lineRule="exact"/>
              <w:rPr>
                <w:sz w:val="20"/>
                <w:szCs w:val="20"/>
                <w:color w:val="auto"/>
              </w:rPr>
            </w:pPr>
            <w:r>
              <w:rPr>
                <w:rFonts w:ascii="Arial" w:cs="Arial" w:eastAsia="Arial" w:hAnsi="Arial"/>
                <w:sz w:val="18"/>
                <w:szCs w:val="18"/>
                <w:color w:val="auto"/>
                <w:w w:val="88"/>
              </w:rPr>
              <w:t>10.35</w:t>
            </w:r>
          </w:p>
        </w:tc>
        <w:tc>
          <w:tcPr>
            <w:tcW w:w="9880" w:type="dxa"/>
            <w:vAlign w:val="bottom"/>
            <w:gridSpan w:val="24"/>
          </w:tcPr>
          <w:p>
            <w:pPr>
              <w:spacing w:after="0" w:line="196" w:lineRule="exact"/>
              <w:rPr>
                <w:rFonts w:ascii="Arial" w:cs="Arial" w:eastAsia="Arial" w:hAnsi="Arial"/>
                <w:sz w:val="18"/>
                <w:szCs w:val="18"/>
                <w:color w:val="0000EE"/>
              </w:rPr>
            </w:pPr>
            <w:hyperlink r:id="rId158">
              <w:r>
                <w:rPr>
                  <w:rFonts w:ascii="Arial" w:cs="Arial" w:eastAsia="Arial" w:hAnsi="Arial"/>
                  <w:sz w:val="18"/>
                  <w:szCs w:val="18"/>
                  <w:color w:val="0000EE"/>
                </w:rPr>
                <w:t xml:space="preserve">License Agreement </w:t>
              </w:r>
            </w:hyperlink>
            <w:r>
              <w:rPr>
                <w:rFonts w:ascii="Arial" w:cs="Arial" w:eastAsia="Arial" w:hAnsi="Arial"/>
                <w:sz w:val="18"/>
                <w:szCs w:val="18"/>
                <w:color w:val="000000"/>
              </w:rPr>
              <w:t>(incorporated</w:t>
            </w:r>
            <w:r>
              <w:rPr>
                <w:rFonts w:ascii="Arial" w:cs="Arial" w:eastAsia="Arial" w:hAnsi="Arial"/>
                <w:sz w:val="18"/>
                <w:szCs w:val="18"/>
                <w:color w:val="0000EE"/>
              </w:rPr>
              <w:t xml:space="preserve"> </w:t>
            </w:r>
            <w:r>
              <w:rPr>
                <w:rFonts w:ascii="Arial" w:cs="Arial" w:eastAsia="Arial" w:hAnsi="Arial"/>
                <w:sz w:val="18"/>
                <w:szCs w:val="18"/>
                <w:color w:val="000000"/>
              </w:rPr>
              <w:t>by Reference to Exhibit 10.5 to the Current Report on Form 8-K filed January 20, 2022).</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380" w:type="dxa"/>
            <w:vAlign w:val="bottom"/>
            <w:gridSpan w:val="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jc w:val="right"/>
              <w:ind w:right="850"/>
              <w:spacing w:after="0" w:line="196" w:lineRule="exact"/>
              <w:rPr>
                <w:sz w:val="20"/>
                <w:szCs w:val="20"/>
                <w:color w:val="auto"/>
              </w:rPr>
            </w:pPr>
            <w:r>
              <w:rPr>
                <w:rFonts w:ascii="Arial" w:cs="Arial" w:eastAsia="Arial" w:hAnsi="Arial"/>
                <w:sz w:val="18"/>
                <w:szCs w:val="18"/>
                <w:color w:val="auto"/>
                <w:w w:val="88"/>
              </w:rPr>
              <w:t>10.36</w:t>
            </w:r>
          </w:p>
        </w:tc>
        <w:tc>
          <w:tcPr>
            <w:tcW w:w="9880" w:type="dxa"/>
            <w:vAlign w:val="bottom"/>
            <w:gridSpan w:val="24"/>
          </w:tcPr>
          <w:p>
            <w:pPr>
              <w:spacing w:after="0" w:line="196" w:lineRule="exact"/>
              <w:rPr>
                <w:rFonts w:ascii="Arial" w:cs="Arial" w:eastAsia="Arial" w:hAnsi="Arial"/>
                <w:sz w:val="18"/>
                <w:szCs w:val="18"/>
                <w:color w:val="0000EE"/>
              </w:rPr>
            </w:pPr>
            <w:hyperlink r:id="rId159">
              <w:r>
                <w:rPr>
                  <w:rFonts w:ascii="Arial" w:cs="Arial" w:eastAsia="Arial" w:hAnsi="Arial"/>
                  <w:sz w:val="18"/>
                  <w:szCs w:val="18"/>
                  <w:color w:val="0000EE"/>
                </w:rPr>
                <w:t xml:space="preserve">Director Offer Letter </w:t>
              </w:r>
            </w:hyperlink>
            <w:r>
              <w:rPr>
                <w:rFonts w:ascii="Arial" w:cs="Arial" w:eastAsia="Arial" w:hAnsi="Arial"/>
                <w:sz w:val="18"/>
                <w:szCs w:val="18"/>
                <w:color w:val="000000"/>
              </w:rPr>
              <w:t>(incorporated</w:t>
            </w:r>
            <w:r>
              <w:rPr>
                <w:rFonts w:ascii="Arial" w:cs="Arial" w:eastAsia="Arial" w:hAnsi="Arial"/>
                <w:sz w:val="18"/>
                <w:szCs w:val="18"/>
                <w:color w:val="0000EE"/>
              </w:rPr>
              <w:t xml:space="preserve"> </w:t>
            </w:r>
            <w:r>
              <w:rPr>
                <w:rFonts w:ascii="Arial" w:cs="Arial" w:eastAsia="Arial" w:hAnsi="Arial"/>
                <w:sz w:val="18"/>
                <w:szCs w:val="18"/>
                <w:color w:val="000000"/>
              </w:rPr>
              <w:t>by Reference to Exhibit 10.6 to the Current Report on Form 8-K filed January 20, 2022).</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10.37</w:t>
            </w:r>
          </w:p>
        </w:tc>
        <w:tc>
          <w:tcPr>
            <w:tcW w:w="9880" w:type="dxa"/>
            <w:vAlign w:val="bottom"/>
            <w:gridSpan w:val="13"/>
          </w:tcPr>
          <w:p>
            <w:pPr>
              <w:spacing w:after="0"/>
              <w:rPr>
                <w:rFonts w:ascii="Arial" w:cs="Arial" w:eastAsia="Arial" w:hAnsi="Arial"/>
                <w:sz w:val="18"/>
                <w:szCs w:val="18"/>
                <w:color w:val="0000EE"/>
                <w:w w:val="95"/>
              </w:rPr>
            </w:pPr>
            <w:hyperlink r:id="rId161">
              <w:r>
                <w:rPr>
                  <w:rFonts w:ascii="Arial" w:cs="Arial" w:eastAsia="Arial" w:hAnsi="Arial"/>
                  <w:sz w:val="18"/>
                  <w:szCs w:val="18"/>
                  <w:color w:val="0000EE"/>
                  <w:w w:val="95"/>
                </w:rPr>
                <w:t xml:space="preserve">Joint Venture Agreement, dated February 10, 2022, between iPower Inc., Bro Angel LLC, Jie Shan and Bing </w:t>
              </w:r>
            </w:hyperlink>
            <w:r>
              <w:rPr>
                <w:rFonts w:ascii="Arial" w:cs="Arial" w:eastAsia="Arial" w:hAnsi="Arial"/>
                <w:sz w:val="18"/>
                <w:szCs w:val="18"/>
                <w:color w:val="000000"/>
                <w:w w:val="95"/>
              </w:rPr>
              <w:t>Luo</w:t>
            </w:r>
            <w:r>
              <w:rPr>
                <w:rFonts w:ascii="Arial" w:cs="Arial" w:eastAsia="Arial" w:hAnsi="Arial"/>
                <w:sz w:val="18"/>
                <w:szCs w:val="18"/>
                <w:color w:val="0000EE"/>
                <w:w w:val="95"/>
              </w:rPr>
              <w:t xml:space="preserve"> </w:t>
            </w:r>
            <w:r>
              <w:rPr>
                <w:rFonts w:ascii="Arial" w:cs="Arial" w:eastAsia="Arial" w:hAnsi="Arial"/>
                <w:sz w:val="18"/>
                <w:szCs w:val="18"/>
                <w:color w:val="000000"/>
                <w:w w:val="95"/>
              </w:rPr>
              <w:t>(incorporated by</w:t>
            </w:r>
          </w:p>
        </w:tc>
      </w:tr>
      <w:tr>
        <w:trPr>
          <w:trHeight w:val="222"/>
        </w:trPr>
        <w:tc>
          <w:tcPr>
            <w:tcW w:w="1360" w:type="dxa"/>
            <w:vAlign w:val="bottom"/>
          </w:tcPr>
          <w:p>
            <w:pPr>
              <w:spacing w:after="0"/>
              <w:rPr>
                <w:sz w:val="19"/>
                <w:szCs w:val="19"/>
                <w:color w:val="auto"/>
              </w:rPr>
            </w:pPr>
          </w:p>
        </w:tc>
        <w:tc>
          <w:tcPr>
            <w:tcW w:w="822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auto"/>
              </w:rPr>
              <w:t>Reference to Exhibit 10.1 to the Current Report on Form 8-K filed February 14, 2022).</w:t>
            </w:r>
          </w:p>
        </w:tc>
        <w:tc>
          <w:tcPr>
            <w:tcW w:w="1660" w:type="dxa"/>
            <w:vAlign w:val="bottom"/>
            <w:gridSpan w:val="3"/>
          </w:tcPr>
          <w:p>
            <w:pPr>
              <w:spacing w:after="0"/>
              <w:rPr>
                <w:sz w:val="19"/>
                <w:szCs w:val="19"/>
                <w:color w:val="auto"/>
              </w:rPr>
            </w:pPr>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10.38</w:t>
            </w:r>
          </w:p>
        </w:tc>
        <w:tc>
          <w:tcPr>
            <w:tcW w:w="9880" w:type="dxa"/>
            <w:vAlign w:val="bottom"/>
            <w:tcBorders>
              <w:bottom w:val="single" w:sz="8" w:color="0000EE"/>
            </w:tcBorders>
            <w:gridSpan w:val="13"/>
          </w:tcPr>
          <w:p>
            <w:pPr>
              <w:spacing w:after="0" w:line="190" w:lineRule="exact"/>
              <w:rPr>
                <w:rFonts w:ascii="Arial" w:cs="Arial" w:eastAsia="Arial" w:hAnsi="Arial"/>
                <w:sz w:val="18"/>
                <w:szCs w:val="18"/>
                <w:color w:val="0000EE"/>
                <w:w w:val="92"/>
              </w:rPr>
            </w:pPr>
            <w:hyperlink r:id="rId162">
              <w:r>
                <w:rPr>
                  <w:rFonts w:ascii="Arial" w:cs="Arial" w:eastAsia="Arial" w:hAnsi="Arial"/>
                  <w:sz w:val="18"/>
                  <w:szCs w:val="18"/>
                  <w:color w:val="0000EE"/>
                  <w:w w:val="92"/>
                </w:rPr>
                <w:t>Amended &amp; Restated Limited Liability Company Operating Agreement of Global Social Media LLC, dated February 10, 2022, between</w:t>
              </w:r>
            </w:hyperlink>
          </w:p>
        </w:tc>
      </w:tr>
      <w:tr>
        <w:trPr>
          <w:trHeight w:val="196"/>
        </w:trPr>
        <w:tc>
          <w:tcPr>
            <w:tcW w:w="1360" w:type="dxa"/>
            <w:vAlign w:val="bottom"/>
          </w:tcPr>
          <w:p>
            <w:pPr>
              <w:spacing w:after="0"/>
              <w:rPr>
                <w:sz w:val="17"/>
                <w:szCs w:val="17"/>
                <w:color w:val="auto"/>
              </w:rPr>
            </w:pPr>
          </w:p>
        </w:tc>
        <w:tc>
          <w:tcPr>
            <w:tcW w:w="9880" w:type="dxa"/>
            <w:vAlign w:val="bottom"/>
            <w:gridSpan w:val="13"/>
          </w:tcPr>
          <w:p>
            <w:pPr>
              <w:spacing w:after="0" w:line="196" w:lineRule="exact"/>
              <w:rPr>
                <w:rFonts w:ascii="Arial" w:cs="Arial" w:eastAsia="Arial" w:hAnsi="Arial"/>
                <w:sz w:val="18"/>
                <w:szCs w:val="18"/>
                <w:color w:val="0000EE"/>
                <w:w w:val="94"/>
              </w:rPr>
            </w:pPr>
            <w:hyperlink r:id="rId162">
              <w:r>
                <w:rPr>
                  <w:rFonts w:ascii="Arial" w:cs="Arial" w:eastAsia="Arial" w:hAnsi="Arial"/>
                  <w:sz w:val="18"/>
                  <w:szCs w:val="18"/>
                  <w:color w:val="0000EE"/>
                  <w:w w:val="94"/>
                </w:rPr>
                <w:t xml:space="preserve">Global Social Media LLC, iPower Inc., and Bro Angel LLC </w:t>
              </w:r>
              <w:r>
                <w:rPr>
                  <w:rFonts w:ascii="Arial" w:cs="Arial" w:eastAsia="Arial" w:hAnsi="Arial"/>
                  <w:sz w:val="18"/>
                  <w:szCs w:val="18"/>
                  <w:color w:val="000000"/>
                  <w:w w:val="94"/>
                </w:rPr>
                <w:t>(incorporated by Reference to Exhibit 10.2 to the Current Report on Form</w:t>
              </w:r>
            </w:hyperlink>
          </w:p>
        </w:tc>
      </w:tr>
      <w:tr>
        <w:trPr>
          <w:trHeight w:val="222"/>
        </w:trPr>
        <w:tc>
          <w:tcPr>
            <w:tcW w:w="1360" w:type="dxa"/>
            <w:vAlign w:val="bottom"/>
          </w:tcPr>
          <w:p>
            <w:pPr>
              <w:spacing w:after="0"/>
              <w:rPr>
                <w:sz w:val="19"/>
                <w:szCs w:val="19"/>
                <w:color w:val="auto"/>
              </w:rPr>
            </w:pPr>
          </w:p>
        </w:tc>
        <w:tc>
          <w:tcPr>
            <w:tcW w:w="440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8-K filed February 14, 2022).</w:t>
            </w:r>
          </w:p>
        </w:tc>
        <w:tc>
          <w:tcPr>
            <w:tcW w:w="5480" w:type="dxa"/>
            <w:vAlign w:val="bottom"/>
            <w:gridSpan w:val="9"/>
          </w:tcPr>
          <w:p>
            <w:pPr>
              <w:spacing w:after="0"/>
              <w:rPr>
                <w:sz w:val="19"/>
                <w:szCs w:val="19"/>
                <w:color w:val="auto"/>
              </w:rPr>
            </w:pPr>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10.39</w:t>
            </w:r>
          </w:p>
        </w:tc>
        <w:tc>
          <w:tcPr>
            <w:tcW w:w="9880" w:type="dxa"/>
            <w:vAlign w:val="bottom"/>
            <w:tcBorders>
              <w:bottom w:val="single" w:sz="8" w:color="0000EE"/>
            </w:tcBorders>
            <w:gridSpan w:val="13"/>
          </w:tcPr>
          <w:p>
            <w:pPr>
              <w:spacing w:after="0" w:line="190" w:lineRule="exact"/>
              <w:rPr>
                <w:rFonts w:ascii="Arial" w:cs="Arial" w:eastAsia="Arial" w:hAnsi="Arial"/>
                <w:sz w:val="18"/>
                <w:szCs w:val="18"/>
                <w:color w:val="0000EE"/>
              </w:rPr>
            </w:pPr>
            <w:hyperlink r:id="rId163">
              <w:r>
                <w:rPr>
                  <w:rFonts w:ascii="Arial" w:cs="Arial" w:eastAsia="Arial" w:hAnsi="Arial"/>
                  <w:sz w:val="18"/>
                  <w:szCs w:val="18"/>
                  <w:color w:val="0000EE"/>
                </w:rPr>
                <w:t>Intellectual Property License Agreement, dated February 10, 2022, between Bro Angel LLC and Global Social Media LLC</w:t>
              </w:r>
            </w:hyperlink>
          </w:p>
        </w:tc>
      </w:tr>
      <w:tr>
        <w:trPr>
          <w:trHeight w:val="222"/>
        </w:trPr>
        <w:tc>
          <w:tcPr>
            <w:tcW w:w="1360" w:type="dxa"/>
            <w:vAlign w:val="bottom"/>
          </w:tcPr>
          <w:p>
            <w:pPr>
              <w:spacing w:after="0"/>
              <w:rPr>
                <w:sz w:val="19"/>
                <w:szCs w:val="19"/>
                <w:color w:val="auto"/>
              </w:rPr>
            </w:pPr>
          </w:p>
        </w:tc>
        <w:tc>
          <w:tcPr>
            <w:tcW w:w="9880" w:type="dxa"/>
            <w:vAlign w:val="bottom"/>
            <w:gridSpan w:val="13"/>
          </w:tcPr>
          <w:p>
            <w:pPr>
              <w:spacing w:after="0"/>
              <w:rPr>
                <w:sz w:val="20"/>
                <w:szCs w:val="20"/>
                <w:color w:val="auto"/>
              </w:rPr>
            </w:pPr>
            <w:r>
              <w:rPr>
                <w:rFonts w:ascii="Arial" w:cs="Arial" w:eastAsia="Arial" w:hAnsi="Arial"/>
                <w:sz w:val="18"/>
                <w:szCs w:val="18"/>
                <w:color w:val="auto"/>
              </w:rPr>
              <w:t>(incorporated by Reference to Exhibit 10.3 to the Current Report on Form 8-K filed February 14, 2022).</w:t>
            </w:r>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10.40</w:t>
            </w:r>
          </w:p>
        </w:tc>
        <w:tc>
          <w:tcPr>
            <w:tcW w:w="9880" w:type="dxa"/>
            <w:vAlign w:val="bottom"/>
            <w:tcBorders>
              <w:bottom w:val="single" w:sz="8" w:color="0000EE"/>
            </w:tcBorders>
            <w:gridSpan w:val="13"/>
          </w:tcPr>
          <w:p>
            <w:pPr>
              <w:spacing w:after="0" w:line="190" w:lineRule="exact"/>
              <w:rPr>
                <w:rFonts w:ascii="Arial" w:cs="Arial" w:eastAsia="Arial" w:hAnsi="Arial"/>
                <w:sz w:val="18"/>
                <w:szCs w:val="18"/>
                <w:color w:val="0000EE"/>
                <w:w w:val="93"/>
              </w:rPr>
            </w:pPr>
            <w:hyperlink r:id="rId164">
              <w:r>
                <w:rPr>
                  <w:rFonts w:ascii="Arial" w:cs="Arial" w:eastAsia="Arial" w:hAnsi="Arial"/>
                  <w:sz w:val="18"/>
                  <w:szCs w:val="18"/>
                  <w:color w:val="0000EE"/>
                  <w:w w:val="93"/>
                </w:rPr>
                <w:t>Share Transfer Agreement, dated February 15, 2022, between iPower Inc., White Cherry Limited, Li Zanyu, Xie Jing, Anivia Limited,</w:t>
              </w:r>
            </w:hyperlink>
          </w:p>
        </w:tc>
      </w:tr>
      <w:tr>
        <w:trPr>
          <w:trHeight w:val="196"/>
        </w:trPr>
        <w:tc>
          <w:tcPr>
            <w:tcW w:w="1360" w:type="dxa"/>
            <w:vAlign w:val="bottom"/>
          </w:tcPr>
          <w:p>
            <w:pPr>
              <w:spacing w:after="0"/>
              <w:rPr>
                <w:sz w:val="17"/>
                <w:szCs w:val="17"/>
                <w:color w:val="auto"/>
              </w:rPr>
            </w:pPr>
          </w:p>
        </w:tc>
        <w:tc>
          <w:tcPr>
            <w:tcW w:w="988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r:id="rId164">
              <w:r>
                <w:rPr>
                  <w:rFonts w:ascii="Arial" w:cs="Arial" w:eastAsia="Arial" w:hAnsi="Arial"/>
                  <w:sz w:val="18"/>
                  <w:szCs w:val="18"/>
                  <w:color w:val="0000EE"/>
                  <w:w w:val="94"/>
                </w:rPr>
                <w:t>Fly Elephant Limited, Dayou Renzai (Shenzhen) Technology Co., Ltd. and Daheshou (Shenzhen) Information Technology Co., Ltd.</w:t>
              </w:r>
            </w:hyperlink>
          </w:p>
        </w:tc>
      </w:tr>
      <w:tr>
        <w:trPr>
          <w:trHeight w:val="222"/>
        </w:trPr>
        <w:tc>
          <w:tcPr>
            <w:tcW w:w="1360" w:type="dxa"/>
            <w:vAlign w:val="bottom"/>
          </w:tcPr>
          <w:p>
            <w:pPr>
              <w:spacing w:after="0"/>
              <w:rPr>
                <w:sz w:val="19"/>
                <w:szCs w:val="19"/>
                <w:color w:val="auto"/>
              </w:rPr>
            </w:pPr>
          </w:p>
        </w:tc>
        <w:tc>
          <w:tcPr>
            <w:tcW w:w="9880" w:type="dxa"/>
            <w:vAlign w:val="bottom"/>
            <w:gridSpan w:val="13"/>
          </w:tcPr>
          <w:p>
            <w:pPr>
              <w:spacing w:after="0"/>
              <w:rPr>
                <w:sz w:val="20"/>
                <w:szCs w:val="20"/>
                <w:color w:val="auto"/>
              </w:rPr>
            </w:pPr>
            <w:r>
              <w:rPr>
                <w:rFonts w:ascii="Arial" w:cs="Arial" w:eastAsia="Arial" w:hAnsi="Arial"/>
                <w:sz w:val="18"/>
                <w:szCs w:val="18"/>
                <w:color w:val="auto"/>
              </w:rPr>
              <w:t>(incorporated by Reference to Exhibit 10.1 to the Current Report on Form 8-K filed February 22, 2022).</w:t>
            </w:r>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10.41</w:t>
            </w:r>
          </w:p>
        </w:tc>
        <w:tc>
          <w:tcPr>
            <w:tcW w:w="9880" w:type="dxa"/>
            <w:vAlign w:val="bottom"/>
            <w:gridSpan w:val="13"/>
          </w:tcPr>
          <w:p>
            <w:pPr>
              <w:spacing w:after="0" w:line="190" w:lineRule="exact"/>
              <w:rPr>
                <w:rFonts w:ascii="Arial" w:cs="Arial" w:eastAsia="Arial" w:hAnsi="Arial"/>
                <w:sz w:val="18"/>
                <w:szCs w:val="18"/>
                <w:color w:val="0000EE"/>
                <w:w w:val="91"/>
              </w:rPr>
            </w:pPr>
            <w:hyperlink r:id="rId165">
              <w:r>
                <w:rPr>
                  <w:rFonts w:ascii="Arial" w:cs="Arial" w:eastAsia="Arial" w:hAnsi="Arial"/>
                  <w:sz w:val="18"/>
                  <w:szCs w:val="18"/>
                  <w:u w:val="single" w:color="auto"/>
                  <w:color w:val="0000EE"/>
                  <w:w w:val="91"/>
                </w:rPr>
                <w:t>$</w:t>
              </w:r>
              <w:r>
                <w:rPr>
                  <w:rFonts w:ascii="Arial" w:cs="Arial" w:eastAsia="Arial" w:hAnsi="Arial"/>
                  <w:sz w:val="18"/>
                  <w:szCs w:val="18"/>
                  <w:color w:val="0000EE"/>
                  <w:w w:val="91"/>
                </w:rPr>
                <w:t xml:space="preserve">3,500,000 Promissory Note, dated February 15, 2022, from iPower, Inc. to White Cherry Limited </w:t>
              </w:r>
            </w:hyperlink>
            <w:r>
              <w:rPr>
                <w:rFonts w:ascii="Arial" w:cs="Arial" w:eastAsia="Arial" w:hAnsi="Arial"/>
                <w:sz w:val="18"/>
                <w:szCs w:val="18"/>
                <w:color w:val="000000"/>
                <w:w w:val="91"/>
              </w:rPr>
              <w:t>(incorporated</w:t>
            </w:r>
            <w:r>
              <w:rPr>
                <w:rFonts w:ascii="Arial" w:cs="Arial" w:eastAsia="Arial" w:hAnsi="Arial"/>
                <w:sz w:val="18"/>
                <w:szCs w:val="18"/>
                <w:color w:val="0000EE"/>
                <w:w w:val="91"/>
              </w:rPr>
              <w:t xml:space="preserve"> </w:t>
            </w:r>
            <w:r>
              <w:rPr>
                <w:rFonts w:ascii="Arial" w:cs="Arial" w:eastAsia="Arial" w:hAnsi="Arial"/>
                <w:sz w:val="18"/>
                <w:szCs w:val="18"/>
                <w:color w:val="000000"/>
                <w:w w:val="91"/>
              </w:rPr>
              <w:t>by Reference to Exhibit</w:t>
            </w:r>
          </w:p>
        </w:tc>
      </w:tr>
      <w:tr>
        <w:trPr>
          <w:trHeight w:val="222"/>
        </w:trPr>
        <w:tc>
          <w:tcPr>
            <w:tcW w:w="1360" w:type="dxa"/>
            <w:vAlign w:val="bottom"/>
          </w:tcPr>
          <w:p>
            <w:pPr>
              <w:spacing w:after="0"/>
              <w:rPr>
                <w:sz w:val="19"/>
                <w:szCs w:val="19"/>
                <w:color w:val="auto"/>
              </w:rPr>
            </w:pPr>
          </w:p>
        </w:tc>
        <w:tc>
          <w:tcPr>
            <w:tcW w:w="710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auto"/>
              </w:rPr>
              <w:t>10.2 to the Current Report on Form 8-K filed February 22, 2022).</w:t>
            </w:r>
          </w:p>
        </w:tc>
        <w:tc>
          <w:tcPr>
            <w:tcW w:w="2780" w:type="dxa"/>
            <w:vAlign w:val="bottom"/>
            <w:gridSpan w:val="4"/>
          </w:tcPr>
          <w:p>
            <w:pPr>
              <w:spacing w:after="0"/>
              <w:rPr>
                <w:sz w:val="19"/>
                <w:szCs w:val="19"/>
                <w:color w:val="auto"/>
              </w:rPr>
            </w:pPr>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10.42</w:t>
            </w:r>
          </w:p>
        </w:tc>
        <w:tc>
          <w:tcPr>
            <w:tcW w:w="9880" w:type="dxa"/>
            <w:vAlign w:val="bottom"/>
            <w:tcBorders>
              <w:bottom w:val="single" w:sz="8" w:color="0000EE"/>
            </w:tcBorders>
            <w:gridSpan w:val="13"/>
          </w:tcPr>
          <w:p>
            <w:pPr>
              <w:spacing w:after="0" w:line="190" w:lineRule="exact"/>
              <w:rPr>
                <w:rFonts w:ascii="Arial" w:cs="Arial" w:eastAsia="Arial" w:hAnsi="Arial"/>
                <w:sz w:val="18"/>
                <w:szCs w:val="18"/>
                <w:color w:val="0000EE"/>
                <w:w w:val="93"/>
              </w:rPr>
            </w:pPr>
            <w:hyperlink r:id="rId166">
              <w:r>
                <w:rPr>
                  <w:rFonts w:ascii="Arial" w:cs="Arial" w:eastAsia="Arial" w:hAnsi="Arial"/>
                  <w:sz w:val="18"/>
                  <w:szCs w:val="18"/>
                  <w:color w:val="0000EE"/>
                  <w:w w:val="93"/>
                </w:rPr>
                <w:t>Exclusive Business Cooperation Agreement, dated December 15, 2021, between Dayaorenzai (Shenzhen) Technology Co., Ltd. and</w:t>
              </w:r>
            </w:hyperlink>
          </w:p>
        </w:tc>
      </w:tr>
      <w:tr>
        <w:trPr>
          <w:trHeight w:val="196"/>
        </w:trPr>
        <w:tc>
          <w:tcPr>
            <w:tcW w:w="1360" w:type="dxa"/>
            <w:vAlign w:val="bottom"/>
          </w:tcPr>
          <w:p>
            <w:pPr>
              <w:spacing w:after="0"/>
              <w:rPr>
                <w:sz w:val="17"/>
                <w:szCs w:val="17"/>
                <w:color w:val="auto"/>
              </w:rPr>
            </w:pPr>
          </w:p>
        </w:tc>
        <w:tc>
          <w:tcPr>
            <w:tcW w:w="9880" w:type="dxa"/>
            <w:vAlign w:val="bottom"/>
            <w:gridSpan w:val="13"/>
          </w:tcPr>
          <w:p>
            <w:pPr>
              <w:spacing w:after="0" w:line="196" w:lineRule="exact"/>
              <w:rPr>
                <w:rFonts w:ascii="Arial" w:cs="Arial" w:eastAsia="Arial" w:hAnsi="Arial"/>
                <w:sz w:val="18"/>
                <w:szCs w:val="18"/>
                <w:color w:val="0000EE"/>
                <w:w w:val="92"/>
              </w:rPr>
            </w:pPr>
            <w:hyperlink r:id="rId166">
              <w:r>
                <w:rPr>
                  <w:rFonts w:ascii="Arial" w:cs="Arial" w:eastAsia="Arial" w:hAnsi="Arial"/>
                  <w:sz w:val="18"/>
                  <w:szCs w:val="18"/>
                  <w:color w:val="0000EE"/>
                  <w:w w:val="92"/>
                </w:rPr>
                <w:t xml:space="preserve">Daheshou (Shenzhen) Information Technology Co., Ltd. </w:t>
              </w:r>
              <w:r>
                <w:rPr>
                  <w:rFonts w:ascii="Arial" w:cs="Arial" w:eastAsia="Arial" w:hAnsi="Arial"/>
                  <w:sz w:val="18"/>
                  <w:szCs w:val="18"/>
                  <w:color w:val="000000"/>
                  <w:w w:val="92"/>
                </w:rPr>
                <w:t>(incorporated by Reference to Exhibit 10.3 to the Current Report on Form 8-K</w:t>
              </w:r>
            </w:hyperlink>
          </w:p>
        </w:tc>
      </w:tr>
      <w:tr>
        <w:trPr>
          <w:trHeight w:val="222"/>
        </w:trPr>
        <w:tc>
          <w:tcPr>
            <w:tcW w:w="1360" w:type="dxa"/>
            <w:vAlign w:val="bottom"/>
          </w:tcPr>
          <w:p>
            <w:pPr>
              <w:spacing w:after="0"/>
              <w:rPr>
                <w:sz w:val="19"/>
                <w:szCs w:val="19"/>
                <w:color w:val="auto"/>
              </w:rPr>
            </w:pPr>
          </w:p>
        </w:tc>
        <w:tc>
          <w:tcPr>
            <w:tcW w:w="408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filed February 22, 2022).</w:t>
            </w:r>
          </w:p>
        </w:tc>
        <w:tc>
          <w:tcPr>
            <w:tcW w:w="5800" w:type="dxa"/>
            <w:vAlign w:val="bottom"/>
            <w:gridSpan w:val="11"/>
          </w:tcPr>
          <w:p>
            <w:pPr>
              <w:spacing w:after="0"/>
              <w:rPr>
                <w:sz w:val="19"/>
                <w:szCs w:val="19"/>
                <w:color w:val="auto"/>
              </w:rPr>
            </w:pPr>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10.43</w:t>
            </w:r>
          </w:p>
        </w:tc>
        <w:tc>
          <w:tcPr>
            <w:tcW w:w="9880" w:type="dxa"/>
            <w:vAlign w:val="bottom"/>
            <w:gridSpan w:val="13"/>
          </w:tcPr>
          <w:p>
            <w:pPr>
              <w:spacing w:after="0" w:line="190" w:lineRule="exact"/>
              <w:rPr>
                <w:rFonts w:ascii="Arial" w:cs="Arial" w:eastAsia="Arial" w:hAnsi="Arial"/>
                <w:sz w:val="18"/>
                <w:szCs w:val="18"/>
                <w:color w:val="0000EE"/>
                <w:w w:val="94"/>
              </w:rPr>
            </w:pPr>
            <w:hyperlink r:id="rId167">
              <w:r>
                <w:rPr>
                  <w:rFonts w:ascii="Arial" w:cs="Arial" w:eastAsia="Arial" w:hAnsi="Arial"/>
                  <w:sz w:val="18"/>
                  <w:szCs w:val="18"/>
                  <w:color w:val="0000EE"/>
                  <w:w w:val="94"/>
                </w:rPr>
                <w:t>Exclusive Equity Interest Pledge Agreement, dated December 15, 2021, between Dayao Renzai (Shenzhen) Technology Co., Ltd.,</w:t>
              </w:r>
            </w:hyperlink>
          </w:p>
        </w:tc>
      </w:tr>
      <w:tr>
        <w:trPr>
          <w:trHeight w:val="20"/>
        </w:trPr>
        <w:tc>
          <w:tcPr>
            <w:tcW w:w="1360" w:type="dxa"/>
            <w:vAlign w:val="bottom"/>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180" w:type="dxa"/>
            <w:vAlign w:val="bottom"/>
            <w:gridSpan w:val="3"/>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9880" w:type="dxa"/>
            <w:vAlign w:val="bottom"/>
            <w:gridSpan w:val="13"/>
          </w:tcPr>
          <w:p>
            <w:pPr>
              <w:spacing w:after="0" w:line="196" w:lineRule="exact"/>
              <w:rPr>
                <w:rFonts w:ascii="Arial" w:cs="Arial" w:eastAsia="Arial" w:hAnsi="Arial"/>
                <w:sz w:val="18"/>
                <w:szCs w:val="18"/>
                <w:color w:val="0000EE"/>
                <w:w w:val="91"/>
              </w:rPr>
            </w:pPr>
            <w:hyperlink r:id="rId167">
              <w:r>
                <w:rPr>
                  <w:rFonts w:ascii="Arial" w:cs="Arial" w:eastAsia="Arial" w:hAnsi="Arial"/>
                  <w:sz w:val="18"/>
                  <w:szCs w:val="18"/>
                  <w:color w:val="0000EE"/>
                  <w:w w:val="91"/>
                </w:rPr>
                <w:t xml:space="preserve">Daheshou (Shenzhen) Information Technology Co., Ltd. and its equity holders </w:t>
              </w:r>
              <w:r>
                <w:rPr>
                  <w:rFonts w:ascii="Arial" w:cs="Arial" w:eastAsia="Arial" w:hAnsi="Arial"/>
                  <w:sz w:val="18"/>
                  <w:szCs w:val="18"/>
                  <w:color w:val="000000"/>
                  <w:w w:val="91"/>
                </w:rPr>
                <w:t>(incorporated by Reference to Exhibit 10.4 to the Current</w:t>
              </w:r>
            </w:hyperlink>
          </w:p>
        </w:tc>
      </w:tr>
      <w:tr>
        <w:trPr>
          <w:trHeight w:val="222"/>
        </w:trPr>
        <w:tc>
          <w:tcPr>
            <w:tcW w:w="1360" w:type="dxa"/>
            <w:vAlign w:val="bottom"/>
          </w:tcPr>
          <w:p>
            <w:pPr>
              <w:spacing w:after="0"/>
              <w:rPr>
                <w:sz w:val="19"/>
                <w:szCs w:val="19"/>
                <w:color w:val="auto"/>
              </w:rPr>
            </w:pPr>
          </w:p>
        </w:tc>
        <w:tc>
          <w:tcPr>
            <w:tcW w:w="566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auto"/>
              </w:rPr>
              <w:t>Report on Form 8-K filed February 22, 2022).</w:t>
            </w:r>
          </w:p>
        </w:tc>
        <w:tc>
          <w:tcPr>
            <w:tcW w:w="4220" w:type="dxa"/>
            <w:vAlign w:val="bottom"/>
            <w:gridSpan w:val="5"/>
          </w:tcPr>
          <w:p>
            <w:pPr>
              <w:spacing w:after="0"/>
              <w:rPr>
                <w:sz w:val="19"/>
                <w:szCs w:val="19"/>
                <w:color w:val="auto"/>
              </w:rPr>
            </w:pPr>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10.44</w:t>
            </w:r>
          </w:p>
        </w:tc>
        <w:tc>
          <w:tcPr>
            <w:tcW w:w="9880" w:type="dxa"/>
            <w:vAlign w:val="bottom"/>
            <w:tcBorders>
              <w:bottom w:val="single" w:sz="8" w:color="0000EE"/>
            </w:tcBorders>
            <w:gridSpan w:val="13"/>
          </w:tcPr>
          <w:p>
            <w:pPr>
              <w:spacing w:after="0" w:line="190" w:lineRule="exact"/>
              <w:rPr>
                <w:rFonts w:ascii="Arial" w:cs="Arial" w:eastAsia="Arial" w:hAnsi="Arial"/>
                <w:sz w:val="18"/>
                <w:szCs w:val="18"/>
                <w:color w:val="0000EE"/>
                <w:w w:val="98"/>
              </w:rPr>
            </w:pPr>
            <w:hyperlink r:id="rId168">
              <w:r>
                <w:rPr>
                  <w:rFonts w:ascii="Arial" w:cs="Arial" w:eastAsia="Arial" w:hAnsi="Arial"/>
                  <w:sz w:val="18"/>
                  <w:szCs w:val="18"/>
                  <w:color w:val="0000EE"/>
                  <w:w w:val="98"/>
                </w:rPr>
                <w:t>Exclusive Option Agreement, dated December 15, 2021, between Dayao Renzai (Shenzhen) Technology Co., Ltd., Daheshou</w:t>
              </w:r>
            </w:hyperlink>
          </w:p>
        </w:tc>
      </w:tr>
      <w:tr>
        <w:trPr>
          <w:trHeight w:val="196"/>
        </w:trPr>
        <w:tc>
          <w:tcPr>
            <w:tcW w:w="1360" w:type="dxa"/>
            <w:vAlign w:val="bottom"/>
          </w:tcPr>
          <w:p>
            <w:pPr>
              <w:spacing w:after="0"/>
              <w:rPr>
                <w:sz w:val="17"/>
                <w:szCs w:val="17"/>
                <w:color w:val="auto"/>
              </w:rPr>
            </w:pPr>
          </w:p>
        </w:tc>
        <w:tc>
          <w:tcPr>
            <w:tcW w:w="9880" w:type="dxa"/>
            <w:vAlign w:val="bottom"/>
            <w:gridSpan w:val="13"/>
          </w:tcPr>
          <w:p>
            <w:pPr>
              <w:spacing w:after="0" w:line="196" w:lineRule="exact"/>
              <w:rPr>
                <w:rFonts w:ascii="Arial" w:cs="Arial" w:eastAsia="Arial" w:hAnsi="Arial"/>
                <w:sz w:val="18"/>
                <w:szCs w:val="18"/>
                <w:color w:val="0000EE"/>
                <w:w w:val="91"/>
              </w:rPr>
            </w:pPr>
            <w:hyperlink r:id="rId168">
              <w:r>
                <w:rPr>
                  <w:rFonts w:ascii="Arial" w:cs="Arial" w:eastAsia="Arial" w:hAnsi="Arial"/>
                  <w:sz w:val="18"/>
                  <w:szCs w:val="18"/>
                  <w:color w:val="0000EE"/>
                  <w:w w:val="91"/>
                </w:rPr>
                <w:t xml:space="preserve">(Shenzhen) Information Technology Co., Ltd. and its equity holders </w:t>
              </w:r>
              <w:r>
                <w:rPr>
                  <w:rFonts w:ascii="Arial" w:cs="Arial" w:eastAsia="Arial" w:hAnsi="Arial"/>
                  <w:sz w:val="18"/>
                  <w:szCs w:val="18"/>
                  <w:color w:val="000000"/>
                  <w:w w:val="91"/>
                </w:rPr>
                <w:t>(incorporated by Reference to Exhibit 10.5 to the Current Report on</w:t>
              </w:r>
            </w:hyperlink>
          </w:p>
        </w:tc>
      </w:tr>
      <w:tr>
        <w:trPr>
          <w:trHeight w:val="222"/>
        </w:trPr>
        <w:tc>
          <w:tcPr>
            <w:tcW w:w="1360" w:type="dxa"/>
            <w:vAlign w:val="bottom"/>
          </w:tcPr>
          <w:p>
            <w:pPr>
              <w:spacing w:after="0"/>
              <w:rPr>
                <w:sz w:val="19"/>
                <w:szCs w:val="19"/>
                <w:color w:val="auto"/>
              </w:rPr>
            </w:pPr>
          </w:p>
        </w:tc>
        <w:tc>
          <w:tcPr>
            <w:tcW w:w="490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Form 8-K filed February 22, 2022).</w:t>
            </w:r>
          </w:p>
        </w:tc>
        <w:tc>
          <w:tcPr>
            <w:tcW w:w="4980" w:type="dxa"/>
            <w:vAlign w:val="bottom"/>
            <w:gridSpan w:val="7"/>
          </w:tcPr>
          <w:p>
            <w:pPr>
              <w:spacing w:after="0"/>
              <w:rPr>
                <w:sz w:val="19"/>
                <w:szCs w:val="19"/>
                <w:color w:val="auto"/>
              </w:rPr>
            </w:pPr>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10.45</w:t>
            </w:r>
          </w:p>
        </w:tc>
        <w:tc>
          <w:tcPr>
            <w:tcW w:w="9880" w:type="dxa"/>
            <w:vAlign w:val="bottom"/>
            <w:gridSpan w:val="13"/>
          </w:tcPr>
          <w:p>
            <w:pPr>
              <w:spacing w:after="0" w:line="190" w:lineRule="exact"/>
              <w:rPr>
                <w:rFonts w:ascii="Arial" w:cs="Arial" w:eastAsia="Arial" w:hAnsi="Arial"/>
                <w:sz w:val="18"/>
                <w:szCs w:val="18"/>
                <w:color w:val="0000EE"/>
                <w:w w:val="91"/>
              </w:rPr>
            </w:pPr>
            <w:hyperlink r:id="rId169">
              <w:r>
                <w:rPr>
                  <w:rFonts w:ascii="Arial" w:cs="Arial" w:eastAsia="Arial" w:hAnsi="Arial"/>
                  <w:sz w:val="18"/>
                  <w:szCs w:val="18"/>
                  <w:color w:val="0000EE"/>
                  <w:w w:val="91"/>
                </w:rPr>
                <w:t xml:space="preserve">Power of Attorney of Li Zanyu, dated December 15, 2021 </w:t>
              </w:r>
            </w:hyperlink>
            <w:r>
              <w:rPr>
                <w:rFonts w:ascii="Arial" w:cs="Arial" w:eastAsia="Arial" w:hAnsi="Arial"/>
                <w:sz w:val="18"/>
                <w:szCs w:val="18"/>
                <w:color w:val="000000"/>
                <w:w w:val="91"/>
              </w:rPr>
              <w:t>(incorporated</w:t>
            </w:r>
            <w:r>
              <w:rPr>
                <w:rFonts w:ascii="Arial" w:cs="Arial" w:eastAsia="Arial" w:hAnsi="Arial"/>
                <w:sz w:val="18"/>
                <w:szCs w:val="18"/>
                <w:color w:val="0000EE"/>
                <w:w w:val="91"/>
              </w:rPr>
              <w:t xml:space="preserve"> </w:t>
            </w:r>
            <w:r>
              <w:rPr>
                <w:rFonts w:ascii="Arial" w:cs="Arial" w:eastAsia="Arial" w:hAnsi="Arial"/>
                <w:sz w:val="18"/>
                <w:szCs w:val="18"/>
                <w:color w:val="000000"/>
                <w:w w:val="91"/>
              </w:rPr>
              <w:t>by Reference to Exhibit 10.6 to the Current Report on Form 8-K</w:t>
            </w:r>
          </w:p>
        </w:tc>
      </w:tr>
      <w:tr>
        <w:trPr>
          <w:trHeight w:val="222"/>
        </w:trPr>
        <w:tc>
          <w:tcPr>
            <w:tcW w:w="1360" w:type="dxa"/>
            <w:vAlign w:val="bottom"/>
          </w:tcPr>
          <w:p>
            <w:pPr>
              <w:spacing w:after="0"/>
              <w:rPr>
                <w:sz w:val="19"/>
                <w:szCs w:val="19"/>
                <w:color w:val="auto"/>
              </w:rPr>
            </w:pPr>
          </w:p>
        </w:tc>
        <w:tc>
          <w:tcPr>
            <w:tcW w:w="418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filed February 22, 2022).</w:t>
            </w:r>
          </w:p>
        </w:tc>
        <w:tc>
          <w:tcPr>
            <w:tcW w:w="5700" w:type="dxa"/>
            <w:vAlign w:val="bottom"/>
            <w:gridSpan w:val="10"/>
          </w:tcPr>
          <w:p>
            <w:pPr>
              <w:spacing w:after="0"/>
              <w:rPr>
                <w:sz w:val="19"/>
                <w:szCs w:val="19"/>
                <w:color w:val="auto"/>
              </w:rPr>
            </w:pPr>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10.46</w:t>
            </w:r>
          </w:p>
        </w:tc>
        <w:tc>
          <w:tcPr>
            <w:tcW w:w="9880" w:type="dxa"/>
            <w:vAlign w:val="bottom"/>
            <w:gridSpan w:val="13"/>
          </w:tcPr>
          <w:p>
            <w:pPr>
              <w:spacing w:after="0" w:line="190" w:lineRule="exact"/>
              <w:rPr>
                <w:rFonts w:ascii="Arial" w:cs="Arial" w:eastAsia="Arial" w:hAnsi="Arial"/>
                <w:sz w:val="18"/>
                <w:szCs w:val="18"/>
                <w:color w:val="0000EE"/>
                <w:w w:val="93"/>
              </w:rPr>
            </w:pPr>
            <w:hyperlink r:id="rId170">
              <w:r>
                <w:rPr>
                  <w:rFonts w:ascii="Arial" w:cs="Arial" w:eastAsia="Arial" w:hAnsi="Arial"/>
                  <w:sz w:val="18"/>
                  <w:szCs w:val="18"/>
                  <w:color w:val="0000EE"/>
                  <w:w w:val="93"/>
                </w:rPr>
                <w:t xml:space="preserve">JP Morgan Chase Consent Agreement, dated February 16, 2022 </w:t>
              </w:r>
            </w:hyperlink>
            <w:r>
              <w:rPr>
                <w:rFonts w:ascii="Arial" w:cs="Arial" w:eastAsia="Arial" w:hAnsi="Arial"/>
                <w:sz w:val="18"/>
                <w:szCs w:val="18"/>
                <w:color w:val="000000"/>
                <w:w w:val="93"/>
              </w:rPr>
              <w:t>(incorporated</w:t>
            </w:r>
            <w:r>
              <w:rPr>
                <w:rFonts w:ascii="Arial" w:cs="Arial" w:eastAsia="Arial" w:hAnsi="Arial"/>
                <w:sz w:val="18"/>
                <w:szCs w:val="18"/>
                <w:color w:val="0000EE"/>
                <w:w w:val="93"/>
              </w:rPr>
              <w:t xml:space="preserve"> </w:t>
            </w:r>
            <w:r>
              <w:rPr>
                <w:rFonts w:ascii="Arial" w:cs="Arial" w:eastAsia="Arial" w:hAnsi="Arial"/>
                <w:sz w:val="18"/>
                <w:szCs w:val="18"/>
                <w:color w:val="000000"/>
                <w:w w:val="93"/>
              </w:rPr>
              <w:t>by Reference to Exhibit 10.7 to the Current Report on</w:t>
            </w:r>
          </w:p>
        </w:tc>
      </w:tr>
      <w:tr>
        <w:trPr>
          <w:trHeight w:val="222"/>
        </w:trPr>
        <w:tc>
          <w:tcPr>
            <w:tcW w:w="1360" w:type="dxa"/>
            <w:vAlign w:val="bottom"/>
          </w:tcPr>
          <w:p>
            <w:pPr>
              <w:spacing w:after="0"/>
              <w:rPr>
                <w:sz w:val="19"/>
                <w:szCs w:val="19"/>
                <w:color w:val="auto"/>
              </w:rPr>
            </w:pPr>
          </w:p>
        </w:tc>
        <w:tc>
          <w:tcPr>
            <w:tcW w:w="472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Form 8-K filed February 22, 2022).</w:t>
            </w:r>
          </w:p>
        </w:tc>
        <w:tc>
          <w:tcPr>
            <w:tcW w:w="5160" w:type="dxa"/>
            <w:vAlign w:val="bottom"/>
            <w:gridSpan w:val="8"/>
          </w:tcPr>
          <w:p>
            <w:pPr>
              <w:spacing w:after="0"/>
              <w:rPr>
                <w:sz w:val="19"/>
                <w:szCs w:val="19"/>
                <w:color w:val="auto"/>
              </w:rPr>
            </w:pPr>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10.47</w:t>
            </w:r>
          </w:p>
        </w:tc>
        <w:tc>
          <w:tcPr>
            <w:tcW w:w="9880" w:type="dxa"/>
            <w:vAlign w:val="bottom"/>
            <w:gridSpan w:val="13"/>
          </w:tcPr>
          <w:p>
            <w:pPr>
              <w:spacing w:after="0" w:line="190" w:lineRule="exact"/>
              <w:rPr>
                <w:rFonts w:ascii="Arial" w:cs="Arial" w:eastAsia="Arial" w:hAnsi="Arial"/>
                <w:sz w:val="18"/>
                <w:szCs w:val="18"/>
                <w:color w:val="0000EE"/>
                <w:w w:val="94"/>
              </w:rPr>
            </w:pPr>
            <w:hyperlink r:id="rId171">
              <w:r>
                <w:rPr>
                  <w:rFonts w:ascii="Arial" w:cs="Arial" w:eastAsia="Arial" w:hAnsi="Arial"/>
                  <w:sz w:val="18"/>
                  <w:szCs w:val="18"/>
                  <w:color w:val="0000EE"/>
                  <w:w w:val="94"/>
                </w:rPr>
                <w:t xml:space="preserve">Amendment to Pledge and Security Agreement, dated February 16, 2022 </w:t>
              </w:r>
            </w:hyperlink>
            <w:r>
              <w:rPr>
                <w:rFonts w:ascii="Arial" w:cs="Arial" w:eastAsia="Arial" w:hAnsi="Arial"/>
                <w:sz w:val="18"/>
                <w:szCs w:val="18"/>
                <w:color w:val="000000"/>
                <w:w w:val="94"/>
              </w:rPr>
              <w:t>(incorporated</w:t>
            </w:r>
            <w:r>
              <w:rPr>
                <w:rFonts w:ascii="Arial" w:cs="Arial" w:eastAsia="Arial" w:hAnsi="Arial"/>
                <w:sz w:val="18"/>
                <w:szCs w:val="18"/>
                <w:color w:val="0000EE"/>
                <w:w w:val="94"/>
              </w:rPr>
              <w:t xml:space="preserve"> </w:t>
            </w:r>
            <w:r>
              <w:rPr>
                <w:rFonts w:ascii="Arial" w:cs="Arial" w:eastAsia="Arial" w:hAnsi="Arial"/>
                <w:sz w:val="18"/>
                <w:szCs w:val="18"/>
                <w:color w:val="000000"/>
                <w:w w:val="94"/>
              </w:rPr>
              <w:t>by Reference to Exhibit 10.8 to the Current</w:t>
            </w:r>
          </w:p>
        </w:tc>
      </w:tr>
      <w:tr>
        <w:trPr>
          <w:trHeight w:val="222"/>
        </w:trPr>
        <w:tc>
          <w:tcPr>
            <w:tcW w:w="1360" w:type="dxa"/>
            <w:vAlign w:val="bottom"/>
          </w:tcPr>
          <w:p>
            <w:pPr>
              <w:spacing w:after="0"/>
              <w:rPr>
                <w:sz w:val="19"/>
                <w:szCs w:val="19"/>
                <w:color w:val="auto"/>
              </w:rPr>
            </w:pPr>
          </w:p>
        </w:tc>
        <w:tc>
          <w:tcPr>
            <w:tcW w:w="546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Report on Form 8-K filed February 22, 2022).</w:t>
            </w:r>
          </w:p>
        </w:tc>
        <w:tc>
          <w:tcPr>
            <w:tcW w:w="4420" w:type="dxa"/>
            <w:vAlign w:val="bottom"/>
            <w:gridSpan w:val="6"/>
          </w:tcPr>
          <w:p>
            <w:pPr>
              <w:spacing w:after="0"/>
              <w:rPr>
                <w:sz w:val="19"/>
                <w:szCs w:val="19"/>
                <w:color w:val="auto"/>
              </w:rPr>
            </w:pPr>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10.48</w:t>
            </w:r>
          </w:p>
        </w:tc>
        <w:tc>
          <w:tcPr>
            <w:tcW w:w="9880" w:type="dxa"/>
            <w:vAlign w:val="bottom"/>
            <w:gridSpan w:val="13"/>
          </w:tcPr>
          <w:p>
            <w:pPr>
              <w:spacing w:after="0" w:line="190" w:lineRule="exact"/>
              <w:rPr>
                <w:rFonts w:ascii="Arial" w:cs="Arial" w:eastAsia="Arial" w:hAnsi="Arial"/>
                <w:sz w:val="18"/>
                <w:szCs w:val="18"/>
                <w:color w:val="0000EE"/>
                <w:w w:val="92"/>
              </w:rPr>
            </w:pPr>
            <w:hyperlink r:id="rId172">
              <w:r>
                <w:rPr>
                  <w:rFonts w:ascii="Arial" w:cs="Arial" w:eastAsia="Arial" w:hAnsi="Arial"/>
                  <w:sz w:val="18"/>
                  <w:szCs w:val="18"/>
                  <w:color w:val="0000EE"/>
                  <w:w w:val="92"/>
                </w:rPr>
                <w:t xml:space="preserve">Employment Contract, dated February 15, 2022, between Dayao Renzai (Shenzhen) Technology Co., Ltd. and Li Zanyu </w:t>
              </w:r>
            </w:hyperlink>
            <w:r>
              <w:rPr>
                <w:rFonts w:ascii="Arial" w:cs="Arial" w:eastAsia="Arial" w:hAnsi="Arial"/>
                <w:sz w:val="18"/>
                <w:szCs w:val="18"/>
                <w:color w:val="000000"/>
                <w:w w:val="92"/>
              </w:rPr>
              <w:t>(incorporated</w:t>
            </w:r>
          </w:p>
        </w:tc>
      </w:tr>
      <w:tr>
        <w:trPr>
          <w:trHeight w:val="222"/>
        </w:trPr>
        <w:tc>
          <w:tcPr>
            <w:tcW w:w="1360" w:type="dxa"/>
            <w:vAlign w:val="bottom"/>
          </w:tcPr>
          <w:p>
            <w:pPr>
              <w:spacing w:after="0"/>
              <w:rPr>
                <w:sz w:val="19"/>
                <w:szCs w:val="19"/>
                <w:color w:val="auto"/>
              </w:rPr>
            </w:pPr>
          </w:p>
        </w:tc>
        <w:tc>
          <w:tcPr>
            <w:tcW w:w="8840" w:type="dxa"/>
            <w:vAlign w:val="bottom"/>
            <w:tcBorders>
              <w:top w:val="single" w:sz="8" w:color="0000EE"/>
            </w:tcBorders>
            <w:gridSpan w:val="11"/>
          </w:tcPr>
          <w:p>
            <w:pPr>
              <w:spacing w:after="0"/>
              <w:rPr>
                <w:sz w:val="20"/>
                <w:szCs w:val="20"/>
                <w:color w:val="auto"/>
              </w:rPr>
            </w:pPr>
            <w:r>
              <w:rPr>
                <w:rFonts w:ascii="Arial" w:cs="Arial" w:eastAsia="Arial" w:hAnsi="Arial"/>
                <w:sz w:val="18"/>
                <w:szCs w:val="18"/>
                <w:color w:val="auto"/>
              </w:rPr>
              <w:t>by Reference to Exhibit 10.9 to the Current Report on Form 8-K filed February 22, 2022).</w:t>
            </w:r>
          </w:p>
        </w:tc>
        <w:tc>
          <w:tcPr>
            <w:tcW w:w="1040" w:type="dxa"/>
            <w:vAlign w:val="bottom"/>
            <w:gridSpan w:val="2"/>
          </w:tcPr>
          <w:p>
            <w:pPr>
              <w:spacing w:after="0"/>
              <w:rPr>
                <w:sz w:val="19"/>
                <w:szCs w:val="19"/>
                <w:color w:val="auto"/>
              </w:rPr>
            </w:pPr>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14.1</w:t>
            </w:r>
          </w:p>
        </w:tc>
        <w:tc>
          <w:tcPr>
            <w:tcW w:w="9880" w:type="dxa"/>
            <w:vAlign w:val="bottom"/>
            <w:gridSpan w:val="13"/>
          </w:tcPr>
          <w:p>
            <w:pPr>
              <w:spacing w:after="0" w:line="190" w:lineRule="exact"/>
              <w:rPr>
                <w:rFonts w:ascii="Arial" w:cs="Arial" w:eastAsia="Arial" w:hAnsi="Arial"/>
                <w:sz w:val="18"/>
                <w:szCs w:val="18"/>
                <w:color w:val="0000EE"/>
                <w:w w:val="92"/>
              </w:rPr>
            </w:pPr>
            <w:hyperlink r:id="rId173">
              <w:r>
                <w:rPr>
                  <w:rFonts w:ascii="Arial" w:cs="Arial" w:eastAsia="Arial" w:hAnsi="Arial"/>
                  <w:sz w:val="18"/>
                  <w:szCs w:val="18"/>
                  <w:color w:val="0000EE"/>
                  <w:w w:val="92"/>
                </w:rPr>
                <w:t xml:space="preserve">Code of Business Conduct and Ethics </w:t>
              </w:r>
            </w:hyperlink>
            <w:r>
              <w:rPr>
                <w:rFonts w:ascii="Arial" w:cs="Arial" w:eastAsia="Arial" w:hAnsi="Arial"/>
                <w:sz w:val="18"/>
                <w:szCs w:val="18"/>
                <w:color w:val="000000"/>
                <w:w w:val="92"/>
              </w:rPr>
              <w:t>(incorporated</w:t>
            </w:r>
            <w:r>
              <w:rPr>
                <w:rFonts w:ascii="Arial" w:cs="Arial" w:eastAsia="Arial" w:hAnsi="Arial"/>
                <w:sz w:val="18"/>
                <w:szCs w:val="18"/>
                <w:color w:val="0000EE"/>
                <w:w w:val="92"/>
              </w:rPr>
              <w:t xml:space="preserve"> </w:t>
            </w:r>
            <w:r>
              <w:rPr>
                <w:rFonts w:ascii="Arial" w:cs="Arial" w:eastAsia="Arial" w:hAnsi="Arial"/>
                <w:sz w:val="18"/>
                <w:szCs w:val="18"/>
                <w:color w:val="000000"/>
                <w:w w:val="92"/>
              </w:rPr>
              <w:t>by reference to Exhibit 14.1 to Amendment No. 1 to the Registration Statement on</w:t>
            </w:r>
          </w:p>
        </w:tc>
      </w:tr>
      <w:tr>
        <w:trPr>
          <w:trHeight w:val="237"/>
        </w:trPr>
        <w:tc>
          <w:tcPr>
            <w:tcW w:w="1360" w:type="dxa"/>
            <w:vAlign w:val="bottom"/>
          </w:tcPr>
          <w:p>
            <w:pPr>
              <w:spacing w:after="0"/>
              <w:rPr>
                <w:sz w:val="20"/>
                <w:szCs w:val="20"/>
                <w:color w:val="auto"/>
              </w:rPr>
            </w:pPr>
          </w:p>
        </w:tc>
        <w:tc>
          <w:tcPr>
            <w:tcW w:w="276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Form S-1 filed April 15, 2021).</w:t>
            </w:r>
          </w:p>
        </w:tc>
        <w:tc>
          <w:tcPr>
            <w:tcW w:w="7120" w:type="dxa"/>
            <w:vAlign w:val="bottom"/>
            <w:gridSpan w:val="12"/>
          </w:tcPr>
          <w:p>
            <w:pPr>
              <w:spacing w:after="0"/>
              <w:rPr>
                <w:sz w:val="20"/>
                <w:szCs w:val="20"/>
                <w:color w:val="auto"/>
              </w:rPr>
            </w:pPr>
          </w:p>
        </w:tc>
      </w:tr>
    </w:tbl>
    <w:p>
      <w:pPr>
        <w:ind w:left="1360" w:hanging="1352"/>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0000EE"/>
        </w:rPr>
        <w:t>Subsidiaries</w:t>
      </w:r>
    </w:p>
    <w:tbl>
      <w:tblPr>
        <w:tblLayout w:type="fixed"/>
        <w:tblInd w:w="0" w:type="dxa"/>
        <w:tblCellMar>
          <w:top w:w="0" w:type="dxa"/>
          <w:left w:w="0" w:type="dxa"/>
          <w:bottom w:w="0" w:type="dxa"/>
          <w:right w:w="0" w:type="dxa"/>
        </w:tblCellMar>
      </w:tblPr>
      <w:tr>
        <w:trPr>
          <w:trHeight w:val="185"/>
        </w:trPr>
        <w:tc>
          <w:tcPr>
            <w:tcW w:w="1360" w:type="dxa"/>
            <w:vAlign w:val="bottom"/>
          </w:tcPr>
          <w:p>
            <w:pPr>
              <w:spacing w:after="0" w:line="184" w:lineRule="exact"/>
              <w:rPr>
                <w:sz w:val="20"/>
                <w:szCs w:val="20"/>
                <w:color w:val="auto"/>
              </w:rPr>
            </w:pPr>
            <w:r>
              <w:rPr>
                <w:rFonts w:ascii="Arial" w:cs="Arial" w:eastAsia="Arial" w:hAnsi="Arial"/>
                <w:sz w:val="18"/>
                <w:szCs w:val="18"/>
                <w:color w:val="auto"/>
              </w:rPr>
              <w:t>23.1</w:t>
            </w:r>
          </w:p>
        </w:tc>
        <w:tc>
          <w:tcPr>
            <w:tcW w:w="4320" w:type="dxa"/>
            <w:vAlign w:val="bottom"/>
            <w:tcBorders>
              <w:bottom w:val="single" w:sz="8" w:color="0000EE"/>
            </w:tcBorders>
            <w:gridSpan w:val="2"/>
          </w:tcPr>
          <w:p>
            <w:pPr>
              <w:spacing w:after="0" w:line="184" w:lineRule="exact"/>
              <w:rPr>
                <w:sz w:val="20"/>
                <w:szCs w:val="20"/>
                <w:color w:val="auto"/>
              </w:rPr>
            </w:pPr>
            <w:r>
              <w:rPr>
                <w:rFonts w:ascii="Arial" w:cs="Arial" w:eastAsia="Arial" w:hAnsi="Arial"/>
                <w:sz w:val="18"/>
                <w:szCs w:val="18"/>
                <w:color w:val="0000EE"/>
                <w:w w:val="90"/>
              </w:rPr>
              <w:t>Consent of Independent Registered Public Accounting Firm</w:t>
            </w:r>
          </w:p>
        </w:tc>
        <w:tc>
          <w:tcPr>
            <w:tcW w:w="5560" w:type="dxa"/>
            <w:vAlign w:val="bottom"/>
            <w:gridSpan w:val="3"/>
          </w:tcPr>
          <w:p>
            <w:pPr>
              <w:spacing w:after="0"/>
              <w:rPr>
                <w:sz w:val="16"/>
                <w:szCs w:val="16"/>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718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1"/>
              </w:rPr>
              <w:t>Certification of Chief Executive Officer pursuant to Section 302 of the Sarbanes-Oxley Act of 2002</w:t>
            </w:r>
          </w:p>
        </w:tc>
        <w:tc>
          <w:tcPr>
            <w:tcW w:w="2700" w:type="dxa"/>
            <w:vAlign w:val="bottom"/>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9880" w:type="dxa"/>
            <w:vAlign w:val="bottom"/>
            <w:gridSpan w:val="5"/>
          </w:tcPr>
          <w:p>
            <w:pPr>
              <w:spacing w:after="0" w:line="196" w:lineRule="exact"/>
              <w:rPr>
                <w:sz w:val="20"/>
                <w:szCs w:val="20"/>
                <w:color w:val="auto"/>
              </w:rPr>
            </w:pPr>
            <w:r>
              <w:rPr>
                <w:rFonts w:ascii="Arial" w:cs="Arial" w:eastAsia="Arial" w:hAnsi="Arial"/>
                <w:sz w:val="18"/>
                <w:szCs w:val="18"/>
                <w:color w:val="0000EE"/>
              </w:rPr>
              <w:t>Certification of Chief Financial Officer pursuant to Section 302 of the Sarbanes-Oxley Act of 2002</w:t>
            </w:r>
          </w:p>
        </w:tc>
      </w:tr>
      <w:tr>
        <w:trPr>
          <w:trHeight w:val="20"/>
        </w:trPr>
        <w:tc>
          <w:tcPr>
            <w:tcW w:w="1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260" w:type="dxa"/>
            <w:vAlign w:val="bottom"/>
            <w:gridSpan w:val="2"/>
            <w:shd w:val="clear" w:color="auto" w:fill="0000EE"/>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988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1"/>
              </w:rPr>
              <w:t>Certification of Chief Executive Officer Pursuant to 18 U.S.C. Section 1350, As Adopted Pursuant to Section 906 of the Sarbanes-Oxley</w:t>
            </w:r>
          </w:p>
        </w:tc>
      </w:tr>
      <w:tr>
        <w:trPr>
          <w:trHeight w:val="196"/>
        </w:trPr>
        <w:tc>
          <w:tcPr>
            <w:tcW w:w="1360" w:type="dxa"/>
            <w:vAlign w:val="bottom"/>
          </w:tcPr>
          <w:p>
            <w:pPr>
              <w:spacing w:after="0"/>
              <w:rPr>
                <w:sz w:val="17"/>
                <w:szCs w:val="17"/>
                <w:color w:val="auto"/>
              </w:rPr>
            </w:pPr>
          </w:p>
        </w:tc>
        <w:tc>
          <w:tcPr>
            <w:tcW w:w="86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2"/>
              </w:rPr>
              <w:t>Act of 2002</w:t>
            </w:r>
          </w:p>
        </w:tc>
        <w:tc>
          <w:tcPr>
            <w:tcW w:w="9020" w:type="dxa"/>
            <w:vAlign w:val="bottom"/>
            <w:gridSpan w:val="4"/>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988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2"/>
              </w:rPr>
              <w:t>Certification of Chief Financial Officer Pursuant to 18 U.S.C. Section 1350, As Adopted Pursuant to Section 906 of the Sarbanes-Oxley</w:t>
            </w:r>
          </w:p>
        </w:tc>
      </w:tr>
      <w:tr>
        <w:trPr>
          <w:trHeight w:val="196"/>
        </w:trPr>
        <w:tc>
          <w:tcPr>
            <w:tcW w:w="1360" w:type="dxa"/>
            <w:vAlign w:val="bottom"/>
          </w:tcPr>
          <w:p>
            <w:pPr>
              <w:spacing w:after="0"/>
              <w:rPr>
                <w:sz w:val="17"/>
                <w:szCs w:val="17"/>
                <w:color w:val="auto"/>
              </w:rPr>
            </w:pPr>
          </w:p>
        </w:tc>
        <w:tc>
          <w:tcPr>
            <w:tcW w:w="86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2"/>
              </w:rPr>
              <w:t>Act of 2002</w:t>
            </w:r>
          </w:p>
        </w:tc>
        <w:tc>
          <w:tcPr>
            <w:tcW w:w="9020" w:type="dxa"/>
            <w:vAlign w:val="bottom"/>
            <w:gridSpan w:val="4"/>
          </w:tcPr>
          <w:p>
            <w:pPr>
              <w:spacing w:after="0"/>
              <w:rPr>
                <w:sz w:val="17"/>
                <w:szCs w:val="17"/>
                <w:color w:val="auto"/>
              </w:rPr>
            </w:pPr>
          </w:p>
        </w:tc>
      </w:tr>
      <w:tr>
        <w:trPr>
          <w:trHeight w:val="222"/>
        </w:trPr>
        <w:tc>
          <w:tcPr>
            <w:tcW w:w="1360" w:type="dxa"/>
            <w:vAlign w:val="bottom"/>
          </w:tcPr>
          <w:p>
            <w:pPr>
              <w:spacing w:after="0"/>
              <w:rPr>
                <w:sz w:val="20"/>
                <w:szCs w:val="20"/>
                <w:color w:val="auto"/>
              </w:rPr>
            </w:pPr>
            <w:r>
              <w:rPr>
                <w:rFonts w:ascii="Arial" w:cs="Arial" w:eastAsia="Arial" w:hAnsi="Arial"/>
                <w:sz w:val="18"/>
                <w:szCs w:val="18"/>
                <w:color w:val="auto"/>
              </w:rPr>
              <w:t>101.INS</w:t>
            </w:r>
          </w:p>
        </w:tc>
        <w:tc>
          <w:tcPr>
            <w:tcW w:w="9880" w:type="dxa"/>
            <w:vAlign w:val="bottom"/>
            <w:gridSpan w:val="5"/>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XBRL tags are embedded</w:t>
            </w:r>
          </w:p>
        </w:tc>
      </w:tr>
      <w:tr>
        <w:trPr>
          <w:trHeight w:val="216"/>
        </w:trPr>
        <w:tc>
          <w:tcPr>
            <w:tcW w:w="1360" w:type="dxa"/>
            <w:vAlign w:val="bottom"/>
          </w:tcPr>
          <w:p>
            <w:pPr>
              <w:spacing w:after="0"/>
              <w:rPr>
                <w:sz w:val="18"/>
                <w:szCs w:val="18"/>
                <w:color w:val="auto"/>
              </w:rPr>
            </w:pPr>
          </w:p>
        </w:tc>
        <w:tc>
          <w:tcPr>
            <w:tcW w:w="9880" w:type="dxa"/>
            <w:vAlign w:val="bottom"/>
            <w:gridSpan w:val="5"/>
          </w:tcPr>
          <w:p>
            <w:pPr>
              <w:spacing w:after="0"/>
              <w:rPr>
                <w:sz w:val="20"/>
                <w:szCs w:val="20"/>
                <w:color w:val="auto"/>
              </w:rPr>
            </w:pPr>
            <w:r>
              <w:rPr>
                <w:rFonts w:ascii="Arial" w:cs="Arial" w:eastAsia="Arial" w:hAnsi="Arial"/>
                <w:sz w:val="18"/>
                <w:szCs w:val="18"/>
                <w:color w:val="auto"/>
              </w:rPr>
              <w:t>within the Inline XBRL document.</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101.SCH</w:t>
            </w:r>
          </w:p>
        </w:tc>
        <w:tc>
          <w:tcPr>
            <w:tcW w:w="9880" w:type="dxa"/>
            <w:vAlign w:val="bottom"/>
            <w:gridSpan w:val="5"/>
          </w:tcPr>
          <w:p>
            <w:pPr>
              <w:spacing w:after="0"/>
              <w:rPr>
                <w:sz w:val="20"/>
                <w:szCs w:val="20"/>
                <w:color w:val="auto"/>
              </w:rPr>
            </w:pPr>
            <w:r>
              <w:rPr>
                <w:rFonts w:ascii="Arial" w:cs="Arial" w:eastAsia="Arial" w:hAnsi="Arial"/>
                <w:sz w:val="18"/>
                <w:szCs w:val="18"/>
                <w:color w:val="auto"/>
              </w:rPr>
              <w:t>Inline XBRL Taxonomy Schema Document</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101.CAL</w:t>
            </w:r>
          </w:p>
        </w:tc>
        <w:tc>
          <w:tcPr>
            <w:tcW w:w="9880" w:type="dxa"/>
            <w:vAlign w:val="bottom"/>
            <w:gridSpan w:val="5"/>
          </w:tcPr>
          <w:p>
            <w:pPr>
              <w:spacing w:after="0"/>
              <w:rPr>
                <w:sz w:val="20"/>
                <w:szCs w:val="20"/>
                <w:color w:val="auto"/>
              </w:rPr>
            </w:pPr>
            <w:r>
              <w:rPr>
                <w:rFonts w:ascii="Arial" w:cs="Arial" w:eastAsia="Arial" w:hAnsi="Arial"/>
                <w:sz w:val="18"/>
                <w:szCs w:val="18"/>
                <w:color w:val="auto"/>
              </w:rPr>
              <w:t>Inline XBRL Taxonomy Calculation Linkbase Document</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101.DEF</w:t>
            </w:r>
          </w:p>
        </w:tc>
        <w:tc>
          <w:tcPr>
            <w:tcW w:w="9880" w:type="dxa"/>
            <w:vAlign w:val="bottom"/>
            <w:gridSpan w:val="5"/>
          </w:tcPr>
          <w:p>
            <w:pPr>
              <w:spacing w:after="0"/>
              <w:rPr>
                <w:sz w:val="20"/>
                <w:szCs w:val="20"/>
                <w:color w:val="auto"/>
              </w:rPr>
            </w:pPr>
            <w:r>
              <w:rPr>
                <w:rFonts w:ascii="Arial" w:cs="Arial" w:eastAsia="Arial" w:hAnsi="Arial"/>
                <w:sz w:val="18"/>
                <w:szCs w:val="18"/>
                <w:color w:val="auto"/>
              </w:rPr>
              <w:t>Inline XBRL Taxonomy Definition Linkbase Document</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101.LAB</w:t>
            </w:r>
          </w:p>
        </w:tc>
        <w:tc>
          <w:tcPr>
            <w:tcW w:w="9880" w:type="dxa"/>
            <w:vAlign w:val="bottom"/>
            <w:gridSpan w:val="5"/>
          </w:tcPr>
          <w:p>
            <w:pPr>
              <w:spacing w:after="0"/>
              <w:rPr>
                <w:sz w:val="20"/>
                <w:szCs w:val="20"/>
                <w:color w:val="auto"/>
              </w:rPr>
            </w:pPr>
            <w:r>
              <w:rPr>
                <w:rFonts w:ascii="Arial" w:cs="Arial" w:eastAsia="Arial" w:hAnsi="Arial"/>
                <w:sz w:val="18"/>
                <w:szCs w:val="18"/>
                <w:color w:val="auto"/>
              </w:rPr>
              <w:t>Inline XBRL Taxonomy Label Linkbase Document</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101.PRE</w:t>
            </w:r>
          </w:p>
        </w:tc>
        <w:tc>
          <w:tcPr>
            <w:tcW w:w="9880" w:type="dxa"/>
            <w:vAlign w:val="bottom"/>
            <w:gridSpan w:val="5"/>
          </w:tcPr>
          <w:p>
            <w:pPr>
              <w:spacing w:after="0"/>
              <w:rPr>
                <w:sz w:val="20"/>
                <w:szCs w:val="20"/>
                <w:color w:val="auto"/>
              </w:rPr>
            </w:pPr>
            <w:r>
              <w:rPr>
                <w:rFonts w:ascii="Arial" w:cs="Arial" w:eastAsia="Arial" w:hAnsi="Arial"/>
                <w:sz w:val="18"/>
                <w:szCs w:val="18"/>
                <w:color w:val="auto"/>
              </w:rPr>
              <w:t>Inline XBRL Taxonomy Presentation Linkbase Document</w:t>
            </w:r>
          </w:p>
        </w:tc>
      </w:tr>
    </w:tbl>
    <w:p>
      <w:pPr>
        <w:ind w:left="1360" w:hanging="1352"/>
        <w:spacing w:after="0"/>
        <w:tabs>
          <w:tab w:leader="none" w:pos="1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82"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amendment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7340" w:type="dxa"/>
            <w:vAlign w:val="bottom"/>
            <w:gridSpan w:val="2"/>
          </w:tcPr>
          <w:p>
            <w:pPr>
              <w:ind w:left="2020"/>
              <w:spacing w:after="0"/>
              <w:rPr>
                <w:sz w:val="20"/>
                <w:szCs w:val="20"/>
                <w:color w:val="auto"/>
              </w:rPr>
            </w:pPr>
            <w:r>
              <w:rPr>
                <w:rFonts w:ascii="Arial" w:cs="Arial" w:eastAsia="Arial" w:hAnsi="Arial"/>
                <w:sz w:val="18"/>
                <w:szCs w:val="18"/>
                <w:color w:val="auto"/>
              </w:rPr>
              <w:t>iPOWER INC.</w:t>
            </w:r>
          </w:p>
        </w:tc>
      </w:tr>
      <w:tr>
        <w:trPr>
          <w:trHeight w:val="230"/>
        </w:trPr>
        <w:tc>
          <w:tcPr>
            <w:tcW w:w="3900" w:type="dxa"/>
            <w:vAlign w:val="bottom"/>
          </w:tcPr>
          <w:p>
            <w:pPr>
              <w:spacing w:after="0"/>
              <w:rPr>
                <w:sz w:val="20"/>
                <w:szCs w:val="20"/>
                <w:color w:val="auto"/>
              </w:rPr>
            </w:pPr>
          </w:p>
        </w:tc>
        <w:tc>
          <w:tcPr>
            <w:tcW w:w="7340" w:type="dxa"/>
            <w:vAlign w:val="bottom"/>
            <w:gridSpan w:val="2"/>
          </w:tcPr>
          <w:p>
            <w:pPr>
              <w:ind w:left="2020"/>
              <w:spacing w:after="0"/>
              <w:rPr>
                <w:sz w:val="20"/>
                <w:szCs w:val="20"/>
                <w:color w:val="auto"/>
              </w:rPr>
            </w:pPr>
            <w:r>
              <w:rPr>
                <w:rFonts w:ascii="Arial" w:cs="Arial" w:eastAsia="Arial" w:hAnsi="Arial"/>
                <w:sz w:val="18"/>
                <w:szCs w:val="18"/>
                <w:color w:val="auto"/>
              </w:rPr>
              <w:t>(Registrant)</w:t>
            </w:r>
          </w:p>
        </w:tc>
      </w:tr>
      <w:tr>
        <w:trPr>
          <w:trHeight w:val="432"/>
        </w:trPr>
        <w:tc>
          <w:tcPr>
            <w:tcW w:w="3900" w:type="dxa"/>
            <w:vAlign w:val="bottom"/>
          </w:tcPr>
          <w:p>
            <w:pPr>
              <w:spacing w:after="0"/>
              <w:rPr>
                <w:sz w:val="24"/>
                <w:szCs w:val="24"/>
                <w:color w:val="auto"/>
              </w:rPr>
            </w:pPr>
          </w:p>
        </w:tc>
        <w:tc>
          <w:tcPr>
            <w:tcW w:w="7340" w:type="dxa"/>
            <w:vAlign w:val="bottom"/>
            <w:gridSpan w:val="2"/>
          </w:tcPr>
          <w:p>
            <w:pPr>
              <w:ind w:left="202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i w:val="1"/>
                <w:iCs w:val="1"/>
                <w:color w:val="auto"/>
              </w:rPr>
              <w:t>/s/ Chenlong Tan</w:t>
            </w:r>
          </w:p>
        </w:tc>
      </w:tr>
      <w:tr>
        <w:trPr>
          <w:trHeight w:val="195"/>
        </w:trPr>
        <w:tc>
          <w:tcPr>
            <w:tcW w:w="39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Chenlong Tan</w:t>
            </w:r>
          </w:p>
        </w:tc>
      </w:tr>
      <w:tr>
        <w:trPr>
          <w:trHeight w:val="216"/>
        </w:trPr>
        <w:tc>
          <w:tcPr>
            <w:tcW w:w="39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i w:val="1"/>
                <w:iCs w:val="1"/>
                <w:color w:val="auto"/>
              </w:rPr>
              <w:t>Chairman of the Board,</w:t>
            </w:r>
          </w:p>
        </w:tc>
      </w:tr>
      <w:tr>
        <w:trPr>
          <w:trHeight w:val="216"/>
        </w:trPr>
        <w:tc>
          <w:tcPr>
            <w:tcW w:w="39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i w:val="1"/>
                <w:iCs w:val="1"/>
                <w:color w:val="auto"/>
              </w:rPr>
              <w:t>Chief Executive Officer and President</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Date: September 28, 2022</w:t>
            </w:r>
          </w:p>
        </w:tc>
        <w:tc>
          <w:tcPr>
            <w:tcW w:w="23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0" w:lineRule="exact"/>
        <w:rPr>
          <w:sz w:val="20"/>
          <w:szCs w:val="20"/>
          <w:color w:val="auto"/>
        </w:rPr>
      </w:pPr>
    </w:p>
    <w:p>
      <w:pPr>
        <w:spacing w:after="0" w:line="21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Signature</w:t>
            </w:r>
          </w:p>
        </w:tc>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Title</w:t>
            </w:r>
          </w:p>
        </w:tc>
        <w:tc>
          <w:tcPr>
            <w:tcW w:w="5580" w:type="dxa"/>
            <w:vAlign w:val="bottom"/>
          </w:tcPr>
          <w:p>
            <w:pPr>
              <w:spacing w:after="0"/>
              <w:rPr>
                <w:sz w:val="17"/>
                <w:szCs w:val="17"/>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Date</w:t>
            </w:r>
          </w:p>
        </w:tc>
        <w:tc>
          <w:tcPr>
            <w:tcW w:w="1080" w:type="dxa"/>
            <w:vAlign w:val="bottom"/>
          </w:tcPr>
          <w:p>
            <w:pPr>
              <w:spacing w:after="0"/>
              <w:rPr>
                <w:sz w:val="17"/>
                <w:szCs w:val="17"/>
                <w:color w:val="auto"/>
              </w:rPr>
            </w:pPr>
          </w:p>
        </w:tc>
      </w:tr>
      <w:tr>
        <w:trPr>
          <w:trHeight w:val="453"/>
        </w:trPr>
        <w:tc>
          <w:tcPr>
            <w:tcW w:w="2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Chenlong Tan</w:t>
            </w:r>
          </w:p>
        </w:tc>
        <w:tc>
          <w:tcPr>
            <w:tcW w:w="1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1440" w:type="dxa"/>
            <w:vAlign w:val="bottom"/>
            <w:gridSpan w:val="2"/>
          </w:tcPr>
          <w:p>
            <w:pPr>
              <w:spacing w:after="0"/>
              <w:rPr>
                <w:sz w:val="20"/>
                <w:szCs w:val="20"/>
                <w:color w:val="auto"/>
              </w:rPr>
            </w:pPr>
            <w:r>
              <w:rPr>
                <w:rFonts w:ascii="Arial" w:cs="Arial" w:eastAsia="Arial" w:hAnsi="Arial"/>
                <w:sz w:val="18"/>
                <w:szCs w:val="18"/>
                <w:color w:val="auto"/>
                <w:w w:val="87"/>
              </w:rPr>
              <w:t>September 28, 2022</w:t>
            </w:r>
          </w:p>
        </w:tc>
      </w:tr>
      <w:tr>
        <w:trPr>
          <w:trHeight w:val="195"/>
        </w:trPr>
        <w:tc>
          <w:tcPr>
            <w:tcW w:w="2940" w:type="dxa"/>
            <w:vAlign w:val="bottom"/>
            <w:gridSpan w:val="2"/>
          </w:tcPr>
          <w:p>
            <w:pPr>
              <w:spacing w:after="0" w:line="195" w:lineRule="exact"/>
              <w:rPr>
                <w:sz w:val="20"/>
                <w:szCs w:val="20"/>
                <w:color w:val="auto"/>
              </w:rPr>
            </w:pPr>
            <w:r>
              <w:rPr>
                <w:rFonts w:ascii="Arial" w:cs="Arial" w:eastAsia="Arial" w:hAnsi="Arial"/>
                <w:sz w:val="18"/>
                <w:szCs w:val="18"/>
                <w:color w:val="auto"/>
              </w:rPr>
              <w:t>Chenlong Tan</w:t>
            </w:r>
          </w:p>
        </w:tc>
        <w:tc>
          <w:tcPr>
            <w:tcW w:w="120" w:type="dxa"/>
            <w:vAlign w:val="bottom"/>
          </w:tcPr>
          <w:p>
            <w:pPr>
              <w:spacing w:after="0"/>
              <w:rPr>
                <w:sz w:val="16"/>
                <w:szCs w:val="16"/>
                <w:color w:val="auto"/>
              </w:rPr>
            </w:pPr>
          </w:p>
        </w:tc>
        <w:tc>
          <w:tcPr>
            <w:tcW w:w="5940" w:type="dxa"/>
            <w:vAlign w:val="bottom"/>
            <w:gridSpan w:val="2"/>
          </w:tcPr>
          <w:p>
            <w:pPr>
              <w:spacing w:after="0" w:line="195" w:lineRule="exact"/>
              <w:rPr>
                <w:sz w:val="20"/>
                <w:szCs w:val="20"/>
                <w:color w:val="auto"/>
              </w:rPr>
            </w:pPr>
            <w:r>
              <w:rPr>
                <w:rFonts w:ascii="Arial" w:cs="Arial" w:eastAsia="Arial" w:hAnsi="Arial"/>
                <w:sz w:val="18"/>
                <w:szCs w:val="18"/>
                <w:color w:val="auto"/>
              </w:rPr>
              <w:t>Chief Executive Officer and President</w:t>
            </w: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0"/>
        </w:trPr>
        <w:tc>
          <w:tcPr>
            <w:tcW w:w="7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32"/>
        </w:trPr>
        <w:tc>
          <w:tcPr>
            <w:tcW w:w="2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Kevin Vassily</w:t>
            </w:r>
          </w:p>
        </w:tc>
        <w:tc>
          <w:tcPr>
            <w:tcW w:w="1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1440" w:type="dxa"/>
            <w:vAlign w:val="bottom"/>
            <w:gridSpan w:val="2"/>
          </w:tcPr>
          <w:p>
            <w:pPr>
              <w:spacing w:after="0"/>
              <w:rPr>
                <w:sz w:val="20"/>
                <w:szCs w:val="20"/>
                <w:color w:val="auto"/>
              </w:rPr>
            </w:pPr>
            <w:r>
              <w:rPr>
                <w:rFonts w:ascii="Arial" w:cs="Arial" w:eastAsia="Arial" w:hAnsi="Arial"/>
                <w:sz w:val="18"/>
                <w:szCs w:val="18"/>
                <w:color w:val="auto"/>
                <w:w w:val="87"/>
              </w:rPr>
              <w:t>September 28, 2022</w:t>
            </w:r>
          </w:p>
        </w:tc>
      </w:tr>
      <w:tr>
        <w:trPr>
          <w:trHeight w:val="224"/>
        </w:trPr>
        <w:tc>
          <w:tcPr>
            <w:tcW w:w="2940" w:type="dxa"/>
            <w:vAlign w:val="bottom"/>
            <w:gridSpan w:val="2"/>
          </w:tcPr>
          <w:p>
            <w:pPr>
              <w:spacing w:after="0"/>
              <w:rPr>
                <w:sz w:val="20"/>
                <w:szCs w:val="20"/>
                <w:color w:val="auto"/>
              </w:rPr>
            </w:pPr>
            <w:r>
              <w:rPr>
                <w:rFonts w:ascii="Arial" w:cs="Arial" w:eastAsia="Arial" w:hAnsi="Arial"/>
                <w:sz w:val="18"/>
                <w:szCs w:val="18"/>
                <w:color w:val="auto"/>
              </w:rPr>
              <w:t>Kevin Vassily</w:t>
            </w:r>
          </w:p>
        </w:tc>
        <w:tc>
          <w:tcPr>
            <w:tcW w:w="120" w:type="dxa"/>
            <w:vAlign w:val="bottom"/>
          </w:tcPr>
          <w:p>
            <w:pPr>
              <w:spacing w:after="0"/>
              <w:rPr>
                <w:sz w:val="19"/>
                <w:szCs w:val="19"/>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18"/>
        </w:trPr>
        <w:tc>
          <w:tcPr>
            <w:tcW w:w="2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Bennet Tchaikovsky</w:t>
            </w:r>
          </w:p>
        </w:tc>
        <w:tc>
          <w:tcPr>
            <w:tcW w:w="1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440" w:type="dxa"/>
            <w:vAlign w:val="bottom"/>
            <w:gridSpan w:val="2"/>
          </w:tcPr>
          <w:p>
            <w:pPr>
              <w:spacing w:after="0"/>
              <w:rPr>
                <w:sz w:val="20"/>
                <w:szCs w:val="20"/>
                <w:color w:val="auto"/>
              </w:rPr>
            </w:pPr>
            <w:r>
              <w:rPr>
                <w:rFonts w:ascii="Arial" w:cs="Arial" w:eastAsia="Arial" w:hAnsi="Arial"/>
                <w:sz w:val="18"/>
                <w:szCs w:val="18"/>
                <w:color w:val="auto"/>
                <w:w w:val="87"/>
              </w:rPr>
              <w:t>September 28, 2022</w:t>
            </w:r>
          </w:p>
        </w:tc>
      </w:tr>
      <w:tr>
        <w:trPr>
          <w:trHeight w:val="224"/>
        </w:trPr>
        <w:tc>
          <w:tcPr>
            <w:tcW w:w="2940" w:type="dxa"/>
            <w:vAlign w:val="bottom"/>
            <w:gridSpan w:val="2"/>
          </w:tcPr>
          <w:p>
            <w:pPr>
              <w:spacing w:after="0"/>
              <w:rPr>
                <w:sz w:val="20"/>
                <w:szCs w:val="20"/>
                <w:color w:val="auto"/>
              </w:rPr>
            </w:pPr>
            <w:r>
              <w:rPr>
                <w:rFonts w:ascii="Arial" w:cs="Arial" w:eastAsia="Arial" w:hAnsi="Arial"/>
                <w:sz w:val="18"/>
                <w:szCs w:val="18"/>
                <w:color w:val="auto"/>
              </w:rPr>
              <w:t>Bennet Tchaikovsky</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18"/>
        </w:trPr>
        <w:tc>
          <w:tcPr>
            <w:tcW w:w="2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Kevin Lies</w:t>
            </w:r>
          </w:p>
        </w:tc>
        <w:tc>
          <w:tcPr>
            <w:tcW w:w="1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440" w:type="dxa"/>
            <w:vAlign w:val="bottom"/>
            <w:gridSpan w:val="2"/>
          </w:tcPr>
          <w:p>
            <w:pPr>
              <w:spacing w:after="0"/>
              <w:rPr>
                <w:sz w:val="20"/>
                <w:szCs w:val="20"/>
                <w:color w:val="auto"/>
              </w:rPr>
            </w:pPr>
            <w:r>
              <w:rPr>
                <w:rFonts w:ascii="Arial" w:cs="Arial" w:eastAsia="Arial" w:hAnsi="Arial"/>
                <w:sz w:val="18"/>
                <w:szCs w:val="18"/>
                <w:color w:val="auto"/>
                <w:w w:val="87"/>
              </w:rPr>
              <w:t>September 28, 2022</w:t>
            </w:r>
          </w:p>
        </w:tc>
      </w:tr>
      <w:tr>
        <w:trPr>
          <w:trHeight w:val="224"/>
        </w:trPr>
        <w:tc>
          <w:tcPr>
            <w:tcW w:w="2940" w:type="dxa"/>
            <w:vAlign w:val="bottom"/>
            <w:gridSpan w:val="2"/>
          </w:tcPr>
          <w:p>
            <w:pPr>
              <w:spacing w:after="0"/>
              <w:rPr>
                <w:sz w:val="20"/>
                <w:szCs w:val="20"/>
                <w:color w:val="auto"/>
              </w:rPr>
            </w:pPr>
            <w:r>
              <w:rPr>
                <w:rFonts w:ascii="Arial" w:cs="Arial" w:eastAsia="Arial" w:hAnsi="Arial"/>
                <w:sz w:val="18"/>
                <w:szCs w:val="18"/>
                <w:color w:val="auto"/>
              </w:rPr>
              <w:t>Kevin Liles</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18"/>
        </w:trPr>
        <w:tc>
          <w:tcPr>
            <w:tcW w:w="2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Hanxi Li</w:t>
            </w:r>
          </w:p>
        </w:tc>
        <w:tc>
          <w:tcPr>
            <w:tcW w:w="1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440" w:type="dxa"/>
            <w:vAlign w:val="bottom"/>
            <w:gridSpan w:val="2"/>
          </w:tcPr>
          <w:p>
            <w:pPr>
              <w:spacing w:after="0"/>
              <w:rPr>
                <w:sz w:val="20"/>
                <w:szCs w:val="20"/>
                <w:color w:val="auto"/>
              </w:rPr>
            </w:pPr>
            <w:r>
              <w:rPr>
                <w:rFonts w:ascii="Arial" w:cs="Arial" w:eastAsia="Arial" w:hAnsi="Arial"/>
                <w:sz w:val="18"/>
                <w:szCs w:val="18"/>
                <w:color w:val="auto"/>
                <w:w w:val="87"/>
              </w:rPr>
              <w:t>September 28, 2022</w:t>
            </w:r>
          </w:p>
        </w:tc>
      </w:tr>
      <w:tr>
        <w:trPr>
          <w:trHeight w:val="224"/>
        </w:trPr>
        <w:tc>
          <w:tcPr>
            <w:tcW w:w="2940" w:type="dxa"/>
            <w:vAlign w:val="bottom"/>
            <w:gridSpan w:val="2"/>
          </w:tcPr>
          <w:p>
            <w:pPr>
              <w:spacing w:after="0"/>
              <w:rPr>
                <w:sz w:val="20"/>
                <w:szCs w:val="20"/>
                <w:color w:val="auto"/>
              </w:rPr>
            </w:pPr>
            <w:r>
              <w:rPr>
                <w:rFonts w:ascii="Arial" w:cs="Arial" w:eastAsia="Arial" w:hAnsi="Arial"/>
                <w:sz w:val="18"/>
                <w:szCs w:val="18"/>
                <w:color w:val="auto"/>
              </w:rPr>
              <w:t>Hanxi Li</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E Marketing Solutions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Global Products Marketing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Anivia Limited</w:t>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Arial" w:cs="Arial" w:eastAsia="Arial" w:hAnsi="Arial"/>
          <w:sz w:val="22"/>
          <w:szCs w:val="22"/>
          <w:b w:val="1"/>
          <w:bCs w:val="1"/>
          <w:color w:val="auto"/>
        </w:rPr>
        <w:t>Exhibit 23.1</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hereby consent to the incorporation by reference in the Registration Statement on Form S-8 (No. 333-261100) of iPower Inc. (“the Company”) of our report dated September 28, 2022, relating to the Company’s consolidated financial statements as of and for the years ended June 30, 2022 and 2021, respectively, appearing in the Annual Report on Form 10-K of the Company for the year ended June 20,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our Firm under the caption “Experts” in such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UHY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28, 2022</w:t>
      </w:r>
    </w:p>
    <w:p>
      <w:pPr>
        <w:sectPr>
          <w:pgSz w:w="11900" w:h="16838" w:orient="portrait"/>
          <w:cols w:equalWidth="0" w:num="1">
            <w:col w:w="11240"/>
          </w:cols>
          <w:pgMar w:left="320" w:top="111"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Chenlong Tan, certify that:</w:t>
      </w:r>
    </w:p>
    <w:p>
      <w:pPr>
        <w:spacing w:after="0" w:line="225" w:lineRule="exact"/>
        <w:rPr>
          <w:sz w:val="20"/>
          <w:szCs w:val="20"/>
          <w:color w:val="auto"/>
        </w:rPr>
      </w:pPr>
    </w:p>
    <w:p>
      <w:pPr>
        <w:ind w:left="840" w:hanging="184"/>
        <w:spacing w:after="0"/>
        <w:tabs>
          <w:tab w:leader="none" w:pos="8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June 30, 2022 of iPower Inc. (the “registrant”);</w:t>
      </w:r>
    </w:p>
    <w:p>
      <w:pPr>
        <w:spacing w:after="0" w:line="225" w:lineRule="exact"/>
        <w:rPr>
          <w:rFonts w:ascii="Arial" w:cs="Arial" w:eastAsia="Arial" w:hAnsi="Arial"/>
          <w:sz w:val="18"/>
          <w:szCs w:val="18"/>
          <w:color w:val="auto"/>
        </w:rPr>
      </w:pPr>
    </w:p>
    <w:p>
      <w:pPr>
        <w:jc w:val="both"/>
        <w:ind w:right="20" w:firstLine="656"/>
        <w:spacing w:after="0" w:line="263" w:lineRule="auto"/>
        <w:tabs>
          <w:tab w:leader="none" w:pos="8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firstLine="656"/>
        <w:spacing w:after="0" w:line="308" w:lineRule="auto"/>
        <w:tabs>
          <w:tab w:leader="none" w:pos="836"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firstLine="656"/>
        <w:spacing w:after="0" w:line="263" w:lineRule="auto"/>
        <w:tabs>
          <w:tab w:leader="none" w:pos="83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915"/>
        <w:spacing w:after="0" w:line="263" w:lineRule="auto"/>
        <w:tabs>
          <w:tab w:leader="none" w:pos="1083"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915"/>
        <w:spacing w:after="0" w:line="263" w:lineRule="auto"/>
        <w:tabs>
          <w:tab w:leader="none" w:pos="1103"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915"/>
        <w:spacing w:after="0" w:line="308" w:lineRule="auto"/>
        <w:tabs>
          <w:tab w:leader="none" w:pos="1100" w:val="left"/>
        </w:tabs>
        <w:numPr>
          <w:ilvl w:val="1"/>
          <w:numId w:val="3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firstLine="915"/>
        <w:spacing w:after="0" w:line="308" w:lineRule="auto"/>
        <w:tabs>
          <w:tab w:leader="none" w:pos="1103" w:val="left"/>
        </w:tabs>
        <w:numPr>
          <w:ilvl w:val="1"/>
          <w:numId w:val="3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46" w:lineRule="exact"/>
        <w:rPr>
          <w:rFonts w:ascii="Arial" w:cs="Arial" w:eastAsia="Arial" w:hAnsi="Arial"/>
          <w:sz w:val="17"/>
          <w:szCs w:val="17"/>
          <w:color w:val="auto"/>
        </w:rPr>
      </w:pPr>
    </w:p>
    <w:p>
      <w:pPr>
        <w:ind w:firstLine="656"/>
        <w:spacing w:after="0" w:line="308" w:lineRule="auto"/>
        <w:tabs>
          <w:tab w:leader="none" w:pos="832"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915"/>
        <w:spacing w:after="0" w:line="277" w:lineRule="auto"/>
        <w:tabs>
          <w:tab w:leader="none" w:pos="1112"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915"/>
        <w:spacing w:after="0" w:line="277" w:lineRule="auto"/>
        <w:tabs>
          <w:tab w:leader="none" w:pos="1104"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 September 28, 2022</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Chenlong Tan</w:t>
            </w: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Chenlong Tan</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Kevin Vassily, certify that:</w:t>
      </w:r>
    </w:p>
    <w:p>
      <w:pPr>
        <w:spacing w:after="0" w:line="225" w:lineRule="exact"/>
        <w:rPr>
          <w:sz w:val="20"/>
          <w:szCs w:val="20"/>
          <w:color w:val="auto"/>
        </w:rPr>
      </w:pPr>
    </w:p>
    <w:p>
      <w:pPr>
        <w:ind w:left="840" w:hanging="184"/>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June 30, 2022 of iPower Inc. (the “registrant”);</w:t>
      </w:r>
    </w:p>
    <w:p>
      <w:pPr>
        <w:spacing w:after="0" w:line="225" w:lineRule="exact"/>
        <w:rPr>
          <w:rFonts w:ascii="Arial" w:cs="Arial" w:eastAsia="Arial" w:hAnsi="Arial"/>
          <w:sz w:val="18"/>
          <w:szCs w:val="18"/>
          <w:color w:val="auto"/>
        </w:rPr>
      </w:pPr>
    </w:p>
    <w:p>
      <w:pPr>
        <w:jc w:val="both"/>
        <w:ind w:right="20" w:firstLine="656"/>
        <w:spacing w:after="0" w:line="263" w:lineRule="auto"/>
        <w:tabs>
          <w:tab w:leader="none" w:pos="8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firstLine="656"/>
        <w:spacing w:after="0" w:line="308" w:lineRule="auto"/>
        <w:tabs>
          <w:tab w:leader="none" w:pos="836"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firstLine="656"/>
        <w:spacing w:after="0" w:line="263" w:lineRule="auto"/>
        <w:tabs>
          <w:tab w:leader="none" w:pos="83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915"/>
        <w:spacing w:after="0" w:line="263" w:lineRule="auto"/>
        <w:tabs>
          <w:tab w:leader="none" w:pos="1083"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915"/>
        <w:spacing w:after="0" w:line="263" w:lineRule="auto"/>
        <w:tabs>
          <w:tab w:leader="none" w:pos="1103"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915"/>
        <w:spacing w:after="0" w:line="308" w:lineRule="auto"/>
        <w:tabs>
          <w:tab w:leader="none" w:pos="1100" w:val="left"/>
        </w:tabs>
        <w:numPr>
          <w:ilvl w:val="1"/>
          <w:numId w:val="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firstLine="915"/>
        <w:spacing w:after="0" w:line="308" w:lineRule="auto"/>
        <w:tabs>
          <w:tab w:leader="none" w:pos="1103" w:val="left"/>
        </w:tabs>
        <w:numPr>
          <w:ilvl w:val="1"/>
          <w:numId w:val="3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46" w:lineRule="exact"/>
        <w:rPr>
          <w:rFonts w:ascii="Arial" w:cs="Arial" w:eastAsia="Arial" w:hAnsi="Arial"/>
          <w:sz w:val="17"/>
          <w:szCs w:val="17"/>
          <w:color w:val="auto"/>
        </w:rPr>
      </w:pPr>
    </w:p>
    <w:p>
      <w:pPr>
        <w:ind w:firstLine="656"/>
        <w:spacing w:after="0" w:line="308" w:lineRule="auto"/>
        <w:tabs>
          <w:tab w:leader="none" w:pos="832"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915"/>
        <w:spacing w:after="0" w:line="277" w:lineRule="auto"/>
        <w:tabs>
          <w:tab w:leader="none" w:pos="1112"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915"/>
        <w:spacing w:after="0" w:line="277" w:lineRule="auto"/>
        <w:tabs>
          <w:tab w:leader="none" w:pos="1104"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 September 28, 2022</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Kevin Vassily</w:t>
            </w: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Kevin Vassily</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21"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Annual Report of iPower (the “Company”) on Form 10-K pursuant for the year ended June 30, 2022, as filed with the Securities and Exchange Commission on the date hereof (the “Report”), I, Chenlong Tan, Chief Executive Officer of the Company, certify, pursuant to 18 U.S.C. Section 1350, as adopted pursuant to Section 906 of the Sarbanes-Oxley Act of 2002, that:</w:t>
      </w:r>
    </w:p>
    <w:p>
      <w:pPr>
        <w:spacing w:after="0" w:line="184" w:lineRule="exact"/>
        <w:rPr>
          <w:sz w:val="20"/>
          <w:szCs w:val="20"/>
          <w:color w:val="auto"/>
        </w:rPr>
      </w:pPr>
    </w:p>
    <w:p>
      <w:pPr>
        <w:ind w:left="740" w:hanging="246"/>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40" w:firstLine="494"/>
        <w:spacing w:after="0" w:line="500" w:lineRule="auto"/>
        <w:tabs>
          <w:tab w:leader="none" w:pos="741"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September 28, 2022</w:t>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Chenlong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Chenlong Tan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Annual Report of iPower Inc. (the “Company”) on Form 10-K for the year ended June 30, 2022, as filed with the Securities and Exchange Commission on the date hereof (the “Report”), I, Kevin Vassily, Chief Financial Officer of the Company, certify, pursuant to 18 U.S.C. Section 1350, as adopted pursuant to Section 906 of the Sarbanes-Oxley Act of 2002, that:</w:t>
      </w:r>
    </w:p>
    <w:p>
      <w:pPr>
        <w:spacing w:after="0" w:line="184" w:lineRule="exact"/>
        <w:rPr>
          <w:sz w:val="20"/>
          <w:szCs w:val="20"/>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40" w:firstLine="494"/>
        <w:spacing w:after="0" w:line="500" w:lineRule="auto"/>
        <w:tabs>
          <w:tab w:leader="none" w:pos="741"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September 28, 2022</w:t>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Kevin Vassily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Kevin Vassily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amp;"/>
      <w:numFmt w:val="bullet"/>
      <w:start w:val="1"/>
    </w:lvl>
  </w:abstractNum>
  <w:abstractNum w:abstractNumId="12">
    <w:nsid w:val="8EDBDAB"/>
    <w:multiLevelType w:val="hybridMultilevel"/>
    <w:lvl w:ilvl="0">
      <w:lvlJc w:val="left"/>
      <w:lvlText w:val="·"/>
      <w:numFmt w:val="bullet"/>
      <w:start w:val="1"/>
    </w:lvl>
    <w:lvl w:ilvl="1">
      <w:lvlJc w:val="left"/>
      <w:lvlText w:val="Ø"/>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lvl w:ilvl="1">
      <w:lvlJc w:val="left"/>
      <w:lvlText w:val="Ø"/>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1."/>
      <w:numFmt w:val="decimal"/>
      <w:start w:val="1"/>
    </w:lvl>
  </w:abstractNum>
  <w:abstractNum w:abstractNumId="30">
    <w:nsid w:val="3006C83E"/>
    <w:multiLevelType w:val="hybridMultilevel"/>
    <w:lvl w:ilvl="0">
      <w:lvlJc w:val="left"/>
      <w:lvlText w:val="%1"/>
      <w:numFmt w:val="decimal"/>
      <w:start w:val="21"/>
    </w:lvl>
  </w:abstractNum>
  <w:abstractNum w:abstractNumId="31">
    <w:nsid w:val="614FD4A1"/>
    <w:multiLevelType w:val="hybridMultilevel"/>
    <w:lvl w:ilvl="0">
      <w:lvlJc w:val="left"/>
      <w:lvlText w:val="%1"/>
      <w:numFmt w:val="decimal"/>
      <w:start w:val="104"/>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35" Type="http://schemas.openxmlformats.org/officeDocument/2006/relationships/image" Target="media/image111.png"/><Relationship Id="rId160" Type="http://schemas.openxmlformats.org/officeDocument/2006/relationships/image" Target="media/image112.png"/><Relationship Id="rId174" Type="http://schemas.openxmlformats.org/officeDocument/2006/relationships/image" Target="media/image113.png"/><Relationship Id="rId175" Type="http://schemas.openxmlformats.org/officeDocument/2006/relationships/image" Target="media/image114.png"/><Relationship Id="rId176" Type="http://schemas.openxmlformats.org/officeDocument/2006/relationships/image" Target="media/image115.png"/><Relationship Id="rId177" Type="http://schemas.openxmlformats.org/officeDocument/2006/relationships/image" Target="media/image116.png"/><Relationship Id="rId118" Type="http://schemas.openxmlformats.org/officeDocument/2006/relationships/hyperlink" Target="http://www.sec.gov/Archives/edgar/data/1830072/000168316821001774/ipower_ex0303.htm" TargetMode="External"/><Relationship Id="rId119" Type="http://schemas.openxmlformats.org/officeDocument/2006/relationships/hyperlink" Target="http://www.sec.gov/Archives/edgar/data/1830072/000168316821001556/ipower_ex0303.htm" TargetMode="External"/><Relationship Id="rId120" Type="http://schemas.openxmlformats.org/officeDocument/2006/relationships/hyperlink" Target="http://www.sec.gov/Archives/edgar/data/1830072/000168316821000335/ipower_ex0401.htm" TargetMode="External"/><Relationship Id="rId121" Type="http://schemas.openxmlformats.org/officeDocument/2006/relationships/hyperlink" Target="http://www.sec.gov/Archives/edgar/data/1830072/000168316821000335/ipower_ex0404.htm" TargetMode="External"/><Relationship Id="rId122" Type="http://schemas.openxmlformats.org/officeDocument/2006/relationships/hyperlink" Target="http://www.sec.gov/Archives/edgar/data/1830072/000168316821000335/ipower_ex0405.htm" TargetMode="External"/><Relationship Id="rId123" Type="http://schemas.openxmlformats.org/officeDocument/2006/relationships/hyperlink" Target="http://www.sec.gov/Archives/edgar/data/1830072/000168316821001774/ipower_ex1001.htm" TargetMode="External"/><Relationship Id="rId124" Type="http://schemas.openxmlformats.org/officeDocument/2006/relationships/hyperlink" Target="http://www.sec.gov/Archives/edgar/data/1830072/000168316821000335/ipower_ex1002.htm" TargetMode="External"/><Relationship Id="rId125" Type="http://schemas.openxmlformats.org/officeDocument/2006/relationships/hyperlink" Target="http://www.sec.gov/Archives/edgar/data/1830072/000168316821000335/ipower_ex1003.htm" TargetMode="External"/><Relationship Id="rId126" Type="http://schemas.openxmlformats.org/officeDocument/2006/relationships/hyperlink" Target="http://www.sec.gov/Archives/edgar/data/1830072/000168316821000335/ipower_ex1004.htm" TargetMode="External"/><Relationship Id="rId127" Type="http://schemas.openxmlformats.org/officeDocument/2006/relationships/hyperlink" Target="http://www.sec.gov/Archives/edgar/data/1830072/000168316821001406/ipower_ex1005.htm" TargetMode="External"/><Relationship Id="rId128" Type="http://schemas.openxmlformats.org/officeDocument/2006/relationships/hyperlink" Target="http://www.sec.gov/Archives/edgar/data/1830072/000168316821000335/ipower_ex1005.htm" TargetMode="External"/><Relationship Id="rId129" Type="http://schemas.openxmlformats.org/officeDocument/2006/relationships/hyperlink" Target="http://www.sec.gov/Archives/edgar/data/1830072/000168316821000335/ipower_ex1006.htm" TargetMode="External"/><Relationship Id="rId130" Type="http://schemas.openxmlformats.org/officeDocument/2006/relationships/hyperlink" Target="http://www.sec.gov/Archives/edgar/data/1830072/000168316821000335/ipower_ex1007.htm" TargetMode="External"/><Relationship Id="rId131" Type="http://schemas.openxmlformats.org/officeDocument/2006/relationships/hyperlink" Target="http://www.sec.gov/Archives/edgar/data/1830072/000168316821000335/ipower_ex1008.htm" TargetMode="External"/><Relationship Id="rId132" Type="http://schemas.openxmlformats.org/officeDocument/2006/relationships/hyperlink" Target="http://www.sec.gov/Archives/edgar/data/1830072/000168316821000335/ipower_ex1009.htm" TargetMode="External"/><Relationship Id="rId133" Type="http://schemas.openxmlformats.org/officeDocument/2006/relationships/hyperlink" Target="http://www.sec.gov/Archives/edgar/data/1830072/000168316821000335/ipower_ex1010.htm" TargetMode="External"/><Relationship Id="rId134" Type="http://schemas.openxmlformats.org/officeDocument/2006/relationships/hyperlink" Target="http://www.sec.gov/Archives/edgar/data/1830072/000168316821000335/ipower_ex1011.htm" TargetMode="External"/><Relationship Id="rId136" Type="http://schemas.openxmlformats.org/officeDocument/2006/relationships/hyperlink" Target="http://www.sec.gov/Archives/edgar/data/1830072/000168316821000335/ipower_ex1012.htm" TargetMode="External"/><Relationship Id="rId137" Type="http://schemas.openxmlformats.org/officeDocument/2006/relationships/hyperlink" Target="http://www.sec.gov/Archives/edgar/data/1830072/000168316821000335/ipower_ex1013.htm" TargetMode="External"/><Relationship Id="rId138" Type="http://schemas.openxmlformats.org/officeDocument/2006/relationships/hyperlink" Target="http://www.sec.gov/Archives/edgar/data/1830072/000168316821000335/ipower_ex1014.htm" TargetMode="External"/><Relationship Id="rId139" Type="http://schemas.openxmlformats.org/officeDocument/2006/relationships/hyperlink" Target="http://www.sec.gov/Archives/edgar/data/1830072/000168316821000335/ipower_ex1015.htm" TargetMode="External"/><Relationship Id="rId140" Type="http://schemas.openxmlformats.org/officeDocument/2006/relationships/hyperlink" Target="http://www.sec.gov/Archives/edgar/data/1830072/000168316821000335/ipower_ex1016.htm" TargetMode="External"/><Relationship Id="rId141" Type="http://schemas.openxmlformats.org/officeDocument/2006/relationships/hyperlink" Target="http://www.sec.gov/Archives/edgar/data/1830072/000168316821000335/ipower_ex1017.htm" TargetMode="External"/><Relationship Id="rId142" Type="http://schemas.openxmlformats.org/officeDocument/2006/relationships/hyperlink" Target="http://www.sec.gov/Archives/edgar/data/1830072/000168316821000335/ipower_ex1018.htm" TargetMode="External"/><Relationship Id="rId143" Type="http://schemas.openxmlformats.org/officeDocument/2006/relationships/hyperlink" Target="http://www.sec.gov/Archives/edgar/data/1830072/000168316821000335/ipower_ex1019.htm" TargetMode="External"/><Relationship Id="rId144" Type="http://schemas.openxmlformats.org/officeDocument/2006/relationships/hyperlink" Target="http://www.sec.gov/Archives/edgar/data/1830072/000168316821000335/ipower_ex1020.htm" TargetMode="External"/><Relationship Id="rId145" Type="http://schemas.openxmlformats.org/officeDocument/2006/relationships/hyperlink" Target="http://www.sec.gov/Archives/edgar/data/1830072/000168316821000335/ipower_ex1021.htm" TargetMode="External"/><Relationship Id="rId146" Type="http://schemas.openxmlformats.org/officeDocument/2006/relationships/hyperlink" Target="http://www.sec.gov/Archives/edgar/data/1830072/000168316821001774/ipower_ex1023.htm" TargetMode="External"/><Relationship Id="rId147" Type="http://schemas.openxmlformats.org/officeDocument/2006/relationships/hyperlink" Target="http://www.sec.gov/Archives/edgar/data/1830072/000168316821001774/ipower_ex1024.htm" TargetMode="External"/><Relationship Id="rId148" Type="http://schemas.openxmlformats.org/officeDocument/2006/relationships/hyperlink" Target="http://www.sec.gov/Archives/edgar/data/1830072/000168316821002157/ipower_ex1001.htm" TargetMode="External"/><Relationship Id="rId149" Type="http://schemas.openxmlformats.org/officeDocument/2006/relationships/hyperlink" Target="http://www.sec.gov/Archives/edgar/data/1830072/000168316821002157/ipower_ex1002.htm" TargetMode="External"/><Relationship Id="rId150" Type="http://schemas.openxmlformats.org/officeDocument/2006/relationships/hyperlink" Target="http://www.sec.gov/Archives/edgar/data/1830072/000168316821003207/ipower_ex1001.htm" TargetMode="External"/><Relationship Id="rId151" Type="http://schemas.openxmlformats.org/officeDocument/2006/relationships/hyperlink" Target="http://www.sec.gov/Archives/edgar/data/1830072/000168316821005700/ipower_ex1001.htm" TargetMode="External"/><Relationship Id="rId152" Type="http://schemas.openxmlformats.org/officeDocument/2006/relationships/hyperlink" Target="http://www.sec.gov/Archives/edgar/data/1830072/000168316821005700/ipower_ex1002.htm" TargetMode="External"/><Relationship Id="rId153" Type="http://schemas.openxmlformats.org/officeDocument/2006/relationships/hyperlink" Target="http://www.sec.gov/Archives/edgar/data/1830072/000168316821005700/ipower_ex1003.htm" TargetMode="External"/><Relationship Id="rId154" Type="http://schemas.openxmlformats.org/officeDocument/2006/relationships/hyperlink" Target="https://www.sec.gov/Archives/edgar/data/0001830072/000168316822000328/ipower_ex1001.htm" TargetMode="External"/><Relationship Id="rId155" Type="http://schemas.openxmlformats.org/officeDocument/2006/relationships/hyperlink" Target="https://www.sec.gov/Archives/edgar/data/0001830072/000168316822000328/ipower_ex1002.htm" TargetMode="External"/><Relationship Id="rId156" Type="http://schemas.openxmlformats.org/officeDocument/2006/relationships/hyperlink" Target="https://www.sec.gov/Archives/edgar/data/0001830072/000168316822000328/ipower_ex1003.htm" TargetMode="External"/><Relationship Id="rId157" Type="http://schemas.openxmlformats.org/officeDocument/2006/relationships/hyperlink" Target="https://www.sec.gov/Archives/edgar/data/0001830072/000168316822000328/ipower_ex1004.htm" TargetMode="External"/><Relationship Id="rId158" Type="http://schemas.openxmlformats.org/officeDocument/2006/relationships/hyperlink" Target="https://www.sec.gov/Archives/edgar/data/0001830072/000168316822000328/ipower_ex1005.htm" TargetMode="External"/><Relationship Id="rId159" Type="http://schemas.openxmlformats.org/officeDocument/2006/relationships/hyperlink" Target="https://www.sec.gov/Archives/edgar/data/0001830072/000168316822000328/ipower_ex1006.htm" TargetMode="External"/><Relationship Id="rId161" Type="http://schemas.openxmlformats.org/officeDocument/2006/relationships/hyperlink" Target="https://www.sec.gov/Archives/edgar/data/0001830072/000168316822000931/ipower_ex1001.htm" TargetMode="External"/><Relationship Id="rId162" Type="http://schemas.openxmlformats.org/officeDocument/2006/relationships/hyperlink" Target="https://www.sec.gov/Archives/edgar/data/0001830072/000168316822000931/ipower_ex1002.htm" TargetMode="External"/><Relationship Id="rId163" Type="http://schemas.openxmlformats.org/officeDocument/2006/relationships/hyperlink" Target="https://www.sec.gov/Archives/edgar/data/0001830072/000168316822000931/ipower_ex1003.htm" TargetMode="External"/><Relationship Id="rId164" Type="http://schemas.openxmlformats.org/officeDocument/2006/relationships/hyperlink" Target="https://www.sec.gov/Archives/edgar/data/0001830072/000168316822001178/ipower_ex1001.htm" TargetMode="External"/><Relationship Id="rId165" Type="http://schemas.openxmlformats.org/officeDocument/2006/relationships/hyperlink" Target="https://www.sec.gov/Archives/edgar/data/0001830072/000168316822001178/ipower_ex1002.htm" TargetMode="External"/><Relationship Id="rId166" Type="http://schemas.openxmlformats.org/officeDocument/2006/relationships/hyperlink" Target="https://www.sec.gov/Archives/edgar/data/0001830072/000168316822001178/ipower_ex1003.htm" TargetMode="External"/><Relationship Id="rId167" Type="http://schemas.openxmlformats.org/officeDocument/2006/relationships/hyperlink" Target="https://www.sec.gov/Archives/edgar/data/0001830072/000168316822001178/ipower_ex1004.htm" TargetMode="External"/><Relationship Id="rId168" Type="http://schemas.openxmlformats.org/officeDocument/2006/relationships/hyperlink" Target="https://www.sec.gov/Archives/edgar/data/0001830072/000168316822001178/ipower_ex1005.htm" TargetMode="External"/><Relationship Id="rId169" Type="http://schemas.openxmlformats.org/officeDocument/2006/relationships/hyperlink" Target="https://www.sec.gov/Archives/edgar/data/0001830072/000168316822001178/ipower_ex1006.htm" TargetMode="External"/><Relationship Id="rId170" Type="http://schemas.openxmlformats.org/officeDocument/2006/relationships/hyperlink" Target="https://www.sec.gov/Archives/edgar/data/0001830072/000168316822001178/ipower_ex1007.htm" TargetMode="External"/><Relationship Id="rId171" Type="http://schemas.openxmlformats.org/officeDocument/2006/relationships/hyperlink" Target="https://www.sec.gov/Archives/edgar/data/0001830072/000168316822001178/ipower_ex1008.htm" TargetMode="External"/><Relationship Id="rId172" Type="http://schemas.openxmlformats.org/officeDocument/2006/relationships/hyperlink" Target="https://www.sec.gov/Archives/edgar/data/0001830072/000168316822001178/ipower_ex1009.htm" TargetMode="External"/><Relationship Id="rId173" Type="http://schemas.openxmlformats.org/officeDocument/2006/relationships/hyperlink" Target="http://www.sec.gov/Archives/edgar/data/1830072/000168316821001406/ipower_ex14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2022-09-28T17:37:11Z</dcterms:created>
  <dcterms:modified xsi:type="dcterms:W3CDTF">2022-09-28T17:37:11Z</dcterms:modified>
</cp:coreProperties>
</file>