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30, 2026</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Nevada</w:t>
            </w:r>
          </w:p>
        </w:tc>
        <w:tc>
          <w:tcPr>
            <w:tcW w:w="43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001-40391</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82-5144171</w:t>
            </w:r>
          </w:p>
        </w:tc>
      </w:tr>
      <w:tr>
        <w:trPr>
          <w:trHeight w:val="191"/>
        </w:trPr>
        <w:tc>
          <w:tcPr>
            <w:tcW w:w="3080" w:type="dxa"/>
            <w:vAlign w:val="bottom"/>
            <w:tcBorders>
              <w:top w:val="single" w:sz="8" w:color="auto"/>
            </w:tcBorders>
          </w:tcPr>
          <w:p>
            <w:pPr>
              <w:jc w:val="center"/>
              <w:ind w:left="45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center"/>
              <w:ind w:right="5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8798 9th Street</w:t>
            </w:r>
          </w:p>
        </w:tc>
        <w:tc>
          <w:tcPr>
            <w:tcW w:w="292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Rancho Cucamonga, CA 91730</w:t>
            </w:r>
          </w:p>
        </w:tc>
        <w:tc>
          <w:tcPr>
            <w:tcW w:w="29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(626) 863-7344</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2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9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IPW</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 to Supply and Distribution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in its Current Report on Form 8-K filed on February 2, 2026, on February 1, 2026, iPower Inc, a Nevada corporation (“iPower” or the “Company”), entered into a supply and distribution agreement (the “SDA”) with its formerly-wholly owned subsidiary, Global Product Marketing, Inc., a Nevada corporation (“GPM”), and its 100% stockholder, ETTS AI Investment LLC, a Nevada limited liability company (“ETTS AI”).</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2026, the Company, GPM, and ETTS AI entered into a supplement to the SDA (the “Supplement”) pursuant to which GPM assumed $2,007,366.86 of accounts payable owed to the Company’s suppliers in exchange for acquiring an equal amount of the Company’s existing inventory. Additionally, the Supplement releases the Company and GPM from exclusive sourcing and distribution obligations owed to one another under the SDA.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summary of the Supplement and the SDA does not purport to be complete and is qualified in its entirety by reference to each such agreement, the forms of which are filed with this Current Report on Form 8-K as Exhibits 10.1 and 10.2, respectively,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80" w:type="dxa"/>
            <w:vAlign w:val="bottom"/>
          </w:tcPr>
          <w:p>
            <w:pPr>
              <w:spacing w:after="0"/>
              <w:rPr>
                <w:sz w:val="20"/>
                <w:szCs w:val="20"/>
                <w:color w:val="auto"/>
              </w:rPr>
            </w:pPr>
          </w:p>
        </w:tc>
      </w:tr>
      <w:tr>
        <w:trPr>
          <w:trHeight w:val="39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7"/>
                <w:szCs w:val="17"/>
                <w:color w:val="auto"/>
              </w:rPr>
            </w:pPr>
          </w:p>
        </w:tc>
        <w:tc>
          <w:tcPr>
            <w:tcW w:w="10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Supplement to Supply and Distribution Agreement, dated June 30, 2026, between iPower Inc., Global Product Marketing, Inc. and ETTS</w:t>
            </w: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AI Investment LLC</w:t>
            </w: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IPOWER,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 2026</w:t>
      </w:r>
    </w:p>
    <w:p>
      <w:pPr>
        <w:spacing w:after="0" w:line="9"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5715</wp:posOffset>
            </wp:positionV>
            <wp:extent cx="31375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Chenlong Tan</w:t>
      </w:r>
    </w:p>
    <w:p>
      <w:pPr>
        <w:spacing w:after="0" w:line="23"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 SUPPLY AND DISTRIBUTION AGREEMENT</w:t>
      </w:r>
    </w:p>
    <w:p>
      <w:pPr>
        <w:spacing w:after="0" w:line="22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SUPPLEMENT (“Supplement”)</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SUPPLY AND DISTRIBUTION AGREEMENT</w:t>
      </w:r>
      <w:r>
        <w:rPr>
          <w:rFonts w:ascii="Times New Roman" w:cs="Times New Roman" w:eastAsia="Times New Roman" w:hAnsi="Times New Roman"/>
          <w:sz w:val="18"/>
          <w:szCs w:val="18"/>
          <w:color w:val="auto"/>
        </w:rPr>
        <w:t>, originally dated February 1, 2026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between iPower Inc. (“</w:t>
      </w:r>
      <w:r>
        <w:rPr>
          <w:rFonts w:ascii="Times New Roman" w:cs="Times New Roman" w:eastAsia="Times New Roman" w:hAnsi="Times New Roman"/>
          <w:sz w:val="18"/>
          <w:szCs w:val="18"/>
          <w:b w:val="1"/>
          <w:bCs w:val="1"/>
          <w:color w:val="auto"/>
        </w:rPr>
        <w:t>Supplier</w:t>
      </w:r>
      <w:r>
        <w:rPr>
          <w:rFonts w:ascii="Times New Roman" w:cs="Times New Roman" w:eastAsia="Times New Roman" w:hAnsi="Times New Roman"/>
          <w:sz w:val="18"/>
          <w:szCs w:val="18"/>
          <w:color w:val="auto"/>
        </w:rPr>
        <w:t>”) and Global Product Marketing, Inc., a Nevada corporation (“</w:t>
      </w:r>
      <w:r>
        <w:rPr>
          <w:rFonts w:ascii="Times New Roman" w:cs="Times New Roman" w:eastAsia="Times New Roman" w:hAnsi="Times New Roman"/>
          <w:sz w:val="18"/>
          <w:szCs w:val="18"/>
          <w:b w:val="1"/>
          <w:bCs w:val="1"/>
          <w:color w:val="auto"/>
        </w:rPr>
        <w:t>Distributor</w:t>
      </w:r>
      <w:r>
        <w:rPr>
          <w:rFonts w:ascii="Times New Roman" w:cs="Times New Roman" w:eastAsia="Times New Roman" w:hAnsi="Times New Roman"/>
          <w:sz w:val="18"/>
          <w:szCs w:val="18"/>
          <w:color w:val="auto"/>
        </w:rPr>
        <w:t>”), and Supplier’s shareholder, ETTS AI</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Investment LLC, a Nevada limited liability Company (the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is entered into this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2026 ("Effective Day"). Distributor and Supplier may each be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pursuant to the terms of the Agreement, the Parties agreed that Supplier would act as the exclusive supplier to the Distributor and, within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sell certain designated inventory (the “</w:t>
      </w:r>
      <w:r>
        <w:rPr>
          <w:rFonts w:ascii="Times New Roman" w:cs="Times New Roman" w:eastAsia="Times New Roman" w:hAnsi="Times New Roman"/>
          <w:sz w:val="18"/>
          <w:szCs w:val="18"/>
          <w:b w:val="1"/>
          <w:bCs w:val="1"/>
          <w:color w:val="auto"/>
        </w:rPr>
        <w:t>SKUs</w:t>
      </w:r>
      <w:r>
        <w:rPr>
          <w:rFonts w:ascii="Times New Roman" w:cs="Times New Roman" w:eastAsia="Times New Roman" w:hAnsi="Times New Roman"/>
          <w:sz w:val="18"/>
          <w:szCs w:val="18"/>
          <w:color w:val="auto"/>
        </w:rPr>
        <w:t>”) held by the Supplier on to be agreed to terms; and</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Supplier now desires to sell $2,007,366.86 of to be determined SKUs to Distributor in exchange for Distributor assuming $2,007,366.86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payable owed to Supplier’s suppliers; and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Distributor releases Supplier from exclusive distribution right and Supplier releases Distributor from exclusive sourcing; and</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this Supplement shall be in addition to the terms agreed to between the Parties in the Agreement and terms not otherwise defined herein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same meaning as set forth in the Agreement.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Recitals and all terms set forth in the Agreement are incorporated herein and made a part of this Supplement.</w:t>
      </w:r>
    </w:p>
    <w:p>
      <w:pPr>
        <w:spacing w:after="0" w:line="221"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agrees to sell to Distributor $2,007,366.86 inventory of SKUs (the “</w:t>
      </w:r>
      <w:r>
        <w:rPr>
          <w:rFonts w:ascii="Times New Roman" w:cs="Times New Roman" w:eastAsia="Times New Roman" w:hAnsi="Times New Roman"/>
          <w:sz w:val="18"/>
          <w:szCs w:val="18"/>
          <w:b w:val="1"/>
          <w:bCs w:val="1"/>
          <w:color w:val="auto"/>
        </w:rPr>
        <w:t>Designated SKUs</w:t>
      </w:r>
      <w:r>
        <w:rPr>
          <w:rFonts w:ascii="Times New Roman" w:cs="Times New Roman" w:eastAsia="Times New Roman" w:hAnsi="Times New Roman"/>
          <w:sz w:val="18"/>
          <w:szCs w:val="18"/>
          <w:color w:val="auto"/>
        </w:rPr>
        <w:t>”), with such SKUs to be agreed to between the Parties and designated by separate memorandum (the “</w:t>
      </w:r>
      <w:r>
        <w:rPr>
          <w:rFonts w:ascii="Times New Roman" w:cs="Times New Roman" w:eastAsia="Times New Roman" w:hAnsi="Times New Roman"/>
          <w:sz w:val="18"/>
          <w:szCs w:val="18"/>
          <w:b w:val="1"/>
          <w:bCs w:val="1"/>
          <w:color w:val="auto"/>
        </w:rPr>
        <w:t>Memorandum</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for, and in conjunction with, the purchase of the Designated SKUs, Distributor shall assume and payoff $2,007,366.86 of accounts payable (the “</w:t>
      </w:r>
      <w:r>
        <w:rPr>
          <w:rFonts w:ascii="Times New Roman" w:cs="Times New Roman" w:eastAsia="Times New Roman" w:hAnsi="Times New Roman"/>
          <w:sz w:val="18"/>
          <w:szCs w:val="18"/>
          <w:b w:val="1"/>
          <w:bCs w:val="1"/>
          <w:color w:val="auto"/>
        </w:rPr>
        <w:t>AP</w:t>
      </w:r>
      <w:r>
        <w:rPr>
          <w:rFonts w:ascii="Times New Roman" w:cs="Times New Roman" w:eastAsia="Times New Roman" w:hAnsi="Times New Roman"/>
          <w:sz w:val="18"/>
          <w:szCs w:val="18"/>
          <w:color w:val="auto"/>
        </w:rPr>
        <w:t>”) owed by Supplier to the Vendors with such AP to be designated in the Memorandum, which shall be appended to this Supplement upon completion.</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 releases Supplier from exclusive distribution right and Supplier releases Distributor from exclusive sourcing.</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Distributor fail to pay off all of the AP, Supplier shall have full recourse against GPM for failure to pay, including recovery of any unsold Designated SKUs and/or recovery of the sale price for any Designated SKUs sold.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by having its authorized representative sign below, each Party has executed this Supply and Distribution Agreement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Effective Date.</w:t>
      </w:r>
    </w:p>
    <w:p>
      <w:pPr>
        <w:sectPr>
          <w:pgSz w:w="11900" w:h="16838" w:orient="portrait"/>
          <w:cols w:equalWidth="0" w:num="1">
            <w:col w:w="11220"/>
          </w:cols>
          <w:pgMar w:left="320" w:top="792" w:right="359" w:bottom="1440" w:gutter="0" w:footer="0" w:header="0"/>
        </w:sect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iPower Inc.</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Chenlong Tan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214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Printed Name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Global Product Marketing, Inc.</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Stanley Wu</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0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Stanley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Printed Name</w:t>
      </w:r>
    </w:p>
    <w:p>
      <w:pPr>
        <w:spacing w:after="0" w:line="247" w:lineRule="exact"/>
        <w:rPr>
          <w:sz w:val="20"/>
          <w:szCs w:val="20"/>
          <w:color w:val="auto"/>
        </w:rPr>
      </w:pPr>
    </w:p>
    <w:p>
      <w:pPr>
        <w:jc w:val="center"/>
        <w:ind w:right="470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5480" w:space="720"/>
            <w:col w:w="5020"/>
          </w:cols>
          <w:pgMar w:left="320" w:top="79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ETTS AI Investment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Stanley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Stanley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79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2026-07-02T15:40:27Z</dcterms:created>
  <dcterms:modified xsi:type="dcterms:W3CDTF">2026-07-02T15:40:27Z</dcterms:modified>
</cp:coreProperties>
</file>