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780" w:right="2360" w:hanging="3772"/>
        <w:spacing w:after="0" w:line="493" w:lineRule="auto"/>
        <w:tabs>
          <w:tab w:leader="none" w:pos="2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2340" w:hanging="3152"/>
        <w:spacing w:after="0" w:line="500" w:lineRule="auto"/>
        <w:tabs>
          <w:tab w:leader="none" w:pos="21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5"/>
              </w:rPr>
              <w:t>8798 9</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Street</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Rancho Cucamonga, CA 91730</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(626) 863-7344</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5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6"/>
              </w:rPr>
              <w:t>IPW</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November 14, 2024 was 31,431,242.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80" w:type="dxa"/>
            <w:vAlign w:val="bottom"/>
            <w:gridSpan w:val="11"/>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12"/>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00" w:type="dxa"/>
            <w:vAlign w:val="bottom"/>
            <w:gridSpan w:val="14"/>
          </w:tcPr>
          <w:p>
            <w:pPr>
              <w:jc w:val="center"/>
              <w:ind w:right="2440"/>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2024 and June 30, 2024</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EEEEEE"/>
            </w:tcBorders>
            <w:shd w:val="clear" w:color="auto" w:fill="EEEEEE"/>
          </w:tcPr>
          <w:p>
            <w:pPr>
              <w:spacing w:after="0"/>
              <w:rPr>
                <w:sz w:val="15"/>
                <w:szCs w:val="15"/>
                <w:color w:val="auto"/>
              </w:rPr>
            </w:pPr>
          </w:p>
        </w:tc>
        <w:tc>
          <w:tcPr>
            <w:tcW w:w="9220" w:type="dxa"/>
            <w:vAlign w:val="bottom"/>
            <w:tcBorders>
              <w:bottom w:val="single" w:sz="8" w:color="0000EE"/>
            </w:tcBorders>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months ended September</w:t>
            </w:r>
          </w:p>
        </w:tc>
        <w:tc>
          <w:tcPr>
            <w:tcW w:w="200" w:type="dxa"/>
            <w:vAlign w:val="bottom"/>
            <w:tcBorders>
              <w:bottom w:val="single" w:sz="8" w:color="EEEEEE"/>
            </w:tcBorders>
            <w:shd w:val="clear" w:color="auto" w:fill="EEEEEE"/>
          </w:tcPr>
          <w:p>
            <w:pPr>
              <w:spacing w:after="0"/>
              <w:rPr>
                <w:sz w:val="15"/>
                <w:szCs w:val="15"/>
                <w:color w:val="auto"/>
              </w:rPr>
            </w:pPr>
          </w:p>
        </w:tc>
        <w:tc>
          <w:tcPr>
            <w:tcW w:w="900" w:type="dxa"/>
            <w:vAlign w:val="bottom"/>
            <w:tcBorders>
              <w:bottom w:val="single" w:sz="8" w:color="EEEEEE"/>
            </w:tcBorders>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EEEEEE"/>
          </w:tcPr>
          <w:p>
            <w:pPr>
              <w:spacing w:after="0"/>
              <w:rPr>
                <w:sz w:val="18"/>
                <w:szCs w:val="18"/>
                <w:color w:val="auto"/>
              </w:rPr>
            </w:pPr>
          </w:p>
        </w:tc>
        <w:tc>
          <w:tcPr>
            <w:tcW w:w="9420" w:type="dxa"/>
            <w:vAlign w:val="bottom"/>
            <w:gridSpan w:val="23"/>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30, 2024 and 2023</w:t>
            </w:r>
          </w:p>
        </w:tc>
        <w:tc>
          <w:tcPr>
            <w:tcW w:w="900" w:type="dxa"/>
            <w:vAlign w:val="bottom"/>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EEEEEE"/>
          </w:tcPr>
          <w:p>
            <w:pPr>
              <w:spacing w:after="0"/>
              <w:rPr>
                <w:sz w:val="15"/>
                <w:szCs w:val="15"/>
                <w:color w:val="auto"/>
              </w:rPr>
            </w:pP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months ended September 30,</w:t>
            </w:r>
          </w:p>
        </w:tc>
        <w:tc>
          <w:tcPr>
            <w:tcW w:w="9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tcBorders>
              <w:top w:val="single" w:sz="8" w:color="EEEEEE"/>
            </w:tcBorders>
            <w:shd w:val="clear" w:color="auto" w:fill="EEEEEE"/>
          </w:tcPr>
          <w:p>
            <w:pPr>
              <w:spacing w:after="0"/>
              <w:rPr>
                <w:sz w:val="18"/>
                <w:szCs w:val="18"/>
                <w:color w:val="auto"/>
              </w:rPr>
            </w:pPr>
          </w:p>
        </w:tc>
        <w:tc>
          <w:tcPr>
            <w:tcW w:w="9080" w:type="dxa"/>
            <w:vAlign w:val="bottom"/>
            <w:tcBorders>
              <w:top w:val="single" w:sz="8" w:color="0000EE"/>
            </w:tcBorders>
            <w:gridSpan w:val="21"/>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340" w:type="dxa"/>
            <w:vAlign w:val="bottom"/>
            <w:tcBorders>
              <w:top w:val="single" w:sz="8" w:color="EEEEEE"/>
            </w:tcBorders>
            <w:gridSpan w:val="2"/>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September 30, 2024 and 2023</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60" w:type="dxa"/>
            <w:vAlign w:val="bottom"/>
            <w:gridSpan w:val="12"/>
            <w:shd w:val="clear" w:color="auto" w:fill="EEEEEE"/>
          </w:tcPr>
          <w:p>
            <w:pPr>
              <w:jc w:val="center"/>
              <w:ind w:right="366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9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 of Equity Securities and Use of Proceeds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42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EEEEEE"/>
            </w:tcBorders>
            <w:shd w:val="clear" w:color="auto" w:fill="EEEEEE"/>
          </w:tcPr>
          <w:p>
            <w:pPr>
              <w:spacing w:after="0"/>
              <w:rPr>
                <w:sz w:val="17"/>
                <w:szCs w:val="17"/>
                <w:color w:val="auto"/>
              </w:rPr>
            </w:pPr>
          </w:p>
        </w:tc>
        <w:tc>
          <w:tcPr>
            <w:tcW w:w="76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660" w:type="dxa"/>
            <w:vAlign w:val="bottom"/>
            <w:tcBorders>
              <w:bottom w:val="single" w:sz="8" w:color="EEEEEE"/>
            </w:tcBorders>
            <w:gridSpan w:val="21"/>
            <w:shd w:val="clear" w:color="auto" w:fill="EEEEEE"/>
          </w:tcPr>
          <w:p>
            <w:pPr>
              <w:spacing w:after="0"/>
              <w:rPr>
                <w:sz w:val="17"/>
                <w:szCs w:val="17"/>
                <w:color w:val="auto"/>
              </w:rPr>
            </w:pPr>
          </w:p>
        </w:tc>
        <w:tc>
          <w:tcPr>
            <w:tcW w:w="90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6"/>
        </w:trPr>
        <w:tc>
          <w:tcPr>
            <w:tcW w:w="9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5"/>
          </w:tcPr>
          <w:p>
            <w:pPr>
              <w:jc w:val="center"/>
              <w:ind w:left="455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2024 and June 30, 2024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c>
          <w:tcPr>
            <w:tcW w:w="3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8"/>
              </w:rPr>
              <w:t>ASSETS</w:t>
            </w:r>
          </w:p>
        </w:tc>
        <w:tc>
          <w:tcPr>
            <w:tcW w:w="6840" w:type="dxa"/>
            <w:vAlign w:val="bottom"/>
            <w:tcBorders>
              <w:bottom w:val="single" w:sz="8" w:color="EEEEEE"/>
            </w:tcBorders>
            <w:gridSpan w:val="2"/>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2,577,305</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7,377,837</w:t>
            </w: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12,278,182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14,740,093</w:t>
            </w: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8,668,497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10,546,273</w:t>
            </w:r>
          </w:p>
        </w:tc>
      </w:tr>
      <w:tr>
        <w:trPr>
          <w:trHeight w:val="229"/>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2,808,914</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2,346,534</w:t>
            </w:r>
          </w:p>
        </w:tc>
      </w:tr>
      <w:tr>
        <w:trPr>
          <w:trHeight w:val="210"/>
        </w:trPr>
        <w:tc>
          <w:tcPr>
            <w:tcW w:w="750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26,332,898</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35,010,737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 non-current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5,226,888</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6,124,163</w:t>
            </w: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337,036</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370,887</w:t>
            </w: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3,090,525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2,445,605</w:t>
            </w: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3,034,110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3,034,110</w:t>
            </w: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3,468,357</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3,630,700</w:t>
            </w:r>
          </w:p>
        </w:tc>
      </w:tr>
      <w:tr>
        <w:trPr>
          <w:trHeight w:val="230"/>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905,673</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679,655</w:t>
            </w:r>
          </w:p>
        </w:tc>
      </w:tr>
      <w:tr>
        <w:trPr>
          <w:trHeight w:val="210"/>
        </w:trPr>
        <w:tc>
          <w:tcPr>
            <w:tcW w:w="750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16,062,589</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16,285,120</w:t>
            </w:r>
          </w:p>
        </w:tc>
        <w:tc>
          <w:tcPr>
            <w:tcW w:w="10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7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42,395,487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51,295,857</w:t>
            </w:r>
          </w:p>
        </w:tc>
      </w:tr>
      <w:tr>
        <w:trPr>
          <w:trHeight w:val="197"/>
        </w:trPr>
        <w:tc>
          <w:tcPr>
            <w:tcW w:w="660" w:type="dxa"/>
            <w:vAlign w:val="bottom"/>
            <w:tcBorders>
              <w:top w:val="single" w:sz="8" w:color="EEEEEE"/>
            </w:tcBorders>
            <w:shd w:val="clear" w:color="auto" w:fill="EEEEEE"/>
          </w:tcPr>
          <w:p>
            <w:pPr>
              <w:spacing w:after="0"/>
              <w:rPr>
                <w:sz w:val="17"/>
                <w:szCs w:val="17"/>
                <w:color w:val="auto"/>
              </w:rPr>
            </w:pPr>
          </w:p>
        </w:tc>
        <w:tc>
          <w:tcPr>
            <w:tcW w:w="1520" w:type="dxa"/>
            <w:vAlign w:val="bottom"/>
            <w:tcBorders>
              <w:top w:val="single" w:sz="8" w:color="EEEEEE"/>
            </w:tcBorders>
            <w:shd w:val="clear" w:color="auto" w:fill="EEEEEE"/>
          </w:tcPr>
          <w:p>
            <w:pPr>
              <w:spacing w:after="0"/>
              <w:rPr>
                <w:sz w:val="17"/>
                <w:szCs w:val="17"/>
                <w:color w:val="auto"/>
              </w:rPr>
            </w:pPr>
          </w:p>
        </w:tc>
        <w:tc>
          <w:tcPr>
            <w:tcW w:w="53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4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175"/>
        </w:trPr>
        <w:tc>
          <w:tcPr>
            <w:tcW w:w="7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 net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8,352,699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11,227,116</w:t>
            </w: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3,507,224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3,885,487</w:t>
            </w: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1,686,889</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2,039,301</w:t>
            </w: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Short-term loan payable</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491,214</w:t>
            </w: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loan payable - related party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Revolving loan payable, net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5,500,739</w:t>
            </w:r>
          </w:p>
        </w:tc>
      </w:tr>
      <w:tr>
        <w:trPr>
          <w:trHeight w:val="230"/>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285,963</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276,158</w:t>
            </w:r>
          </w:p>
        </w:tc>
      </w:tr>
      <w:tr>
        <w:trPr>
          <w:trHeight w:val="209"/>
        </w:trPr>
        <w:tc>
          <w:tcPr>
            <w:tcW w:w="750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14,182,775</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23,770,015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revolving loan payable,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3,131,955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3,945,935</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4,509,809</w:t>
            </w: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0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7,077,890</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4,509,809</w:t>
            </w: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0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21,260,665</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28,279,824</w:t>
            </w: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and contingency</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98"/>
        </w:trPr>
        <w:tc>
          <w:tcPr>
            <w:tcW w:w="75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0 shares issued and outstanding at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September 30, 2024 and June 30, 2024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gridSpan w:val="3"/>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31,359,899 shares issued and</w:t>
            </w: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50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outstanding at September 30, 2024 and June 30, 2024</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31,361</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31,361</w:t>
            </w: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33,669,843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33,463,883</w:t>
            </w:r>
          </w:p>
        </w:tc>
      </w:tr>
      <w:tr>
        <w:trPr>
          <w:trHeight w:val="216"/>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Accumulated deficits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(12,259,882)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(10,230,601)</w:t>
            </w: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(41,040)</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(38,204)</w:t>
            </w:r>
          </w:p>
        </w:tc>
      </w:tr>
      <w:tr>
        <w:trPr>
          <w:trHeight w:val="229"/>
        </w:trPr>
        <w:tc>
          <w:tcPr>
            <w:tcW w:w="750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(265,460)</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(210,406)</w:t>
            </w:r>
          </w:p>
        </w:tc>
      </w:tr>
      <w:tr>
        <w:trPr>
          <w:trHeight w:val="209"/>
        </w:trPr>
        <w:tc>
          <w:tcPr>
            <w:tcW w:w="750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21,134,822</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23,016,033</w:t>
            </w:r>
          </w:p>
        </w:tc>
        <w:tc>
          <w:tcPr>
            <w:tcW w:w="10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7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42,395,487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51,295,857</w:t>
            </w:r>
          </w:p>
        </w:tc>
      </w:tr>
      <w:tr>
        <w:trPr>
          <w:trHeight w:val="20"/>
        </w:trPr>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200" w:type="dxa"/>
            <w:vAlign w:val="bottom"/>
            <w:gridSpan w:val="7"/>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7500" w:type="dxa"/>
            <w:vAlign w:val="bottom"/>
            <w:tcBorders>
              <w:bottom w:val="single" w:sz="8" w:color="auto"/>
            </w:tcBorders>
            <w:gridSpan w:val="3"/>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244"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 the Three Months Ended September 30,</w:t>
            </w:r>
          </w:p>
        </w:tc>
      </w:tr>
      <w:tr>
        <w:trPr>
          <w:trHeight w:val="234"/>
        </w:trPr>
        <w:tc>
          <w:tcPr>
            <w:tcW w:w="4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28"/>
        </w:trPr>
        <w:tc>
          <w:tcPr>
            <w:tcW w:w="47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r>
      <w:tr>
        <w:trPr>
          <w:trHeight w:val="198"/>
        </w:trPr>
        <w:tc>
          <w:tcPr>
            <w:tcW w:w="4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2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revenues</w:t>
            </w:r>
          </w:p>
        </w:tc>
        <w:tc>
          <w:tcPr>
            <w:tcW w:w="3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18,275,412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26,508,374</w:t>
            </w: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Service income</w:t>
            </w:r>
          </w:p>
        </w:tc>
        <w:tc>
          <w:tcPr>
            <w:tcW w:w="29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733,109</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92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19,008,521</w:t>
            </w:r>
          </w:p>
        </w:tc>
        <w:tc>
          <w:tcPr>
            <w:tcW w:w="32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26,508,374</w:t>
            </w:r>
          </w:p>
        </w:tc>
        <w:tc>
          <w:tcPr>
            <w:tcW w:w="100" w:type="dxa"/>
            <w:vAlign w:val="bottom"/>
            <w:tcBorders>
              <w:bottom w:val="single" w:sz="8" w:color="EEEEEE"/>
            </w:tcBorders>
          </w:tcPr>
          <w:p>
            <w:pPr>
              <w:spacing w:after="0"/>
              <w:rPr>
                <w:sz w:val="18"/>
                <w:szCs w:val="18"/>
                <w:color w:val="auto"/>
              </w:rPr>
            </w:pPr>
          </w:p>
        </w:tc>
      </w:tr>
      <w:tr>
        <w:trPr>
          <w:trHeight w:val="210"/>
        </w:trPr>
        <w:tc>
          <w:tcPr>
            <w:tcW w:w="474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Service costs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cost of revenues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52"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and fulfillment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non-operating income (Loss)</w:t>
      </w:r>
    </w:p>
    <w:p>
      <w:pPr>
        <w:spacing w:after="0" w:line="9" w:lineRule="exact"/>
        <w:rPr>
          <w:sz w:val="20"/>
          <w:szCs w:val="20"/>
          <w:color w:val="auto"/>
        </w:rPr>
      </w:pPr>
    </w:p>
    <w:p>
      <w:pPr>
        <w:jc w:val="right"/>
        <w:ind w:right="4100"/>
        <w:spacing w:after="0"/>
        <w:rPr>
          <w:sz w:val="20"/>
          <w:szCs w:val="20"/>
          <w:color w:val="auto"/>
        </w:rPr>
      </w:pPr>
      <w:r>
        <w:rPr>
          <w:rFonts w:ascii="Times New Roman" w:cs="Times New Roman" w:eastAsia="Times New Roman" w:hAnsi="Times New Roman"/>
          <w:sz w:val="18"/>
          <w:szCs w:val="18"/>
          <w:color w:val="auto"/>
        </w:rPr>
        <w:t>Total other income (expenses), net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9,917,448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14,749,529</w:t>
            </w:r>
          </w:p>
        </w:tc>
        <w:tc>
          <w:tcPr>
            <w:tcW w:w="40" w:type="dxa"/>
            <w:vAlign w:val="bottom"/>
          </w:tcPr>
          <w:p>
            <w:pPr>
              <w:spacing w:after="0"/>
              <w:rPr>
                <w:sz w:val="19"/>
                <w:szCs w:val="19"/>
                <w:color w:val="auto"/>
              </w:rPr>
            </w:pP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603,176</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10,520,624</w:t>
            </w:r>
          </w:p>
        </w:tc>
        <w:tc>
          <w:tcPr>
            <w:tcW w:w="320" w:type="dxa"/>
            <w:vAlign w:val="bottom"/>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14,749,529</w:t>
            </w:r>
          </w:p>
        </w:tc>
        <w:tc>
          <w:tcPr>
            <w:tcW w:w="40" w:type="dxa"/>
            <w:vAlign w:val="bottom"/>
          </w:tcPr>
          <w:p>
            <w:pPr>
              <w:spacing w:after="0"/>
              <w:rPr>
                <w:sz w:val="18"/>
                <w:szCs w:val="18"/>
                <w:color w:val="auto"/>
              </w:rPr>
            </w:pPr>
          </w:p>
        </w:tc>
      </w:tr>
      <w:tr>
        <w:trPr>
          <w:trHeight w:val="439"/>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8,487,897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11,758,845</w:t>
            </w:r>
          </w:p>
        </w:tc>
        <w:tc>
          <w:tcPr>
            <w:tcW w:w="40" w:type="dxa"/>
            <w:vAlign w:val="bottom"/>
          </w:tcPr>
          <w:p>
            <w:pPr>
              <w:spacing w:after="0"/>
              <w:rPr>
                <w:sz w:val="24"/>
                <w:szCs w:val="24"/>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7"/>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5,914,808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10,063,471</w:t>
            </w:r>
          </w:p>
        </w:tc>
        <w:tc>
          <w:tcPr>
            <w:tcW w:w="40" w:type="dxa"/>
            <w:vAlign w:val="bottom"/>
          </w:tcPr>
          <w:p>
            <w:pPr>
              <w:spacing w:after="0"/>
              <w:rPr>
                <w:sz w:val="24"/>
                <w:szCs w:val="24"/>
                <w:color w:val="auto"/>
              </w:rPr>
            </w:pP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5,319,523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2,964,051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11,234,331</w:t>
            </w:r>
          </w:p>
        </w:tc>
        <w:tc>
          <w:tcPr>
            <w:tcW w:w="3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13,027,522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(2,746,434)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(1,268,677)</w:t>
            </w:r>
          </w:p>
        </w:tc>
      </w:tr>
      <w:tr>
        <w:trPr>
          <w:trHeight w:val="20"/>
        </w:trPr>
        <w:tc>
          <w:tcPr>
            <w:tcW w:w="1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3"/>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(139,962)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(228,365)</w:t>
            </w:r>
          </w:p>
        </w:tc>
      </w:tr>
      <w:tr>
        <w:trPr>
          <w:trHeight w:val="216"/>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48"/>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218,686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(67,166)</w:t>
            </w:r>
          </w:p>
        </w:tc>
      </w:tr>
      <w:tr>
        <w:trPr>
          <w:trHeight w:val="210"/>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77,805</w:t>
            </w:r>
          </w:p>
        </w:tc>
        <w:tc>
          <w:tcPr>
            <w:tcW w:w="3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(296,556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-2579370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-2296795</wp:posOffset>
            </wp:positionV>
            <wp:extent cx="71323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-2005330</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-1713865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-1439545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-1148080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-856615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-573405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-299720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22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(2,668,629)</w:t>
            </w:r>
          </w:p>
        </w:tc>
        <w:tc>
          <w:tcPr>
            <w:tcW w:w="4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(1,565,233)</w:t>
            </w:r>
          </w:p>
        </w:tc>
      </w:tr>
      <w:tr>
        <w:trPr>
          <w:trHeight w:val="216"/>
        </w:trPr>
        <w:tc>
          <w:tcPr>
            <w:tcW w:w="62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636,512</w:t>
            </w:r>
          </w:p>
        </w:tc>
        <w:tc>
          <w:tcPr>
            <w:tcW w:w="4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275,882</w:t>
            </w:r>
          </w:p>
        </w:tc>
        <w:tc>
          <w:tcPr>
            <w:tcW w:w="80" w:type="dxa"/>
            <w:vAlign w:val="bottom"/>
          </w:tcPr>
          <w:p>
            <w:pPr>
              <w:spacing w:after="0"/>
              <w:rPr>
                <w:sz w:val="19"/>
                <w:szCs w:val="19"/>
                <w:color w:val="auto"/>
              </w:rPr>
            </w:pPr>
          </w:p>
        </w:tc>
      </w:tr>
      <w:tr>
        <w:trPr>
          <w:trHeight w:val="210"/>
        </w:trPr>
        <w:tc>
          <w:tcPr>
            <w:tcW w:w="6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(2,032,117)</w:t>
            </w:r>
          </w:p>
        </w:tc>
        <w:tc>
          <w:tcPr>
            <w:tcW w:w="3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(1,289,351)</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2,836</w:t>
            </w:r>
          </w:p>
        </w:tc>
        <w:tc>
          <w:tcPr>
            <w:tcW w:w="4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shd w:val="clear" w:color="auto" w:fill="EEEEEE"/>
          </w:tcPr>
          <w:p>
            <w:pPr>
              <w:spacing w:after="0"/>
              <w:rPr>
                <w:sz w:val="19"/>
                <w:szCs w:val="19"/>
                <w:color w:val="auto"/>
              </w:rPr>
            </w:pPr>
          </w:p>
        </w:tc>
      </w:tr>
      <w:tr>
        <w:trPr>
          <w:trHeight w:val="210"/>
        </w:trPr>
        <w:tc>
          <w:tcPr>
            <w:tcW w:w="6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8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(2,029,281)</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(1,286,515)</w:t>
            </w:r>
          </w:p>
        </w:tc>
      </w:tr>
      <w:tr>
        <w:trPr>
          <w:trHeight w:val="216"/>
        </w:trPr>
        <w:tc>
          <w:tcPr>
            <w:tcW w:w="6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(55,054)</w:t>
            </w:r>
          </w:p>
        </w:tc>
        <w:tc>
          <w:tcPr>
            <w:tcW w:w="42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r>
      <w:tr>
        <w:trPr>
          <w:trHeight w:val="209"/>
        </w:trPr>
        <w:tc>
          <w:tcPr>
            <w:tcW w:w="6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8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(2,084,335)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(1,287,222)</w:t>
            </w:r>
          </w:p>
        </w:tc>
      </w:tr>
      <w:tr>
        <w:trPr>
          <w:trHeight w:val="196"/>
        </w:trPr>
        <w:tc>
          <w:tcPr>
            <w:tcW w:w="6220" w:type="dxa"/>
            <w:vAlign w:val="bottom"/>
            <w:tcBorders>
              <w:top w:val="single" w:sz="8" w:color="EEEEEE"/>
            </w:tcBorders>
            <w:shd w:val="clear" w:color="auto" w:fill="EEEEEE"/>
          </w:tcPr>
          <w:p>
            <w:pPr>
              <w:spacing w:after="0"/>
              <w:rPr>
                <w:sz w:val="17"/>
                <w:szCs w:val="17"/>
                <w:color w:val="auto"/>
              </w:rPr>
            </w:pPr>
          </w:p>
        </w:tc>
        <w:tc>
          <w:tcPr>
            <w:tcW w:w="1440" w:type="dxa"/>
            <w:vAlign w:val="bottom"/>
            <w:tcBorders>
              <w:top w:val="single" w:sz="8" w:color="EEEEEE"/>
            </w:tcBorders>
            <w:shd w:val="clear" w:color="auto" w:fill="EEEEEE"/>
          </w:tcPr>
          <w:p>
            <w:pPr>
              <w:spacing w:after="0"/>
              <w:rPr>
                <w:sz w:val="17"/>
                <w:szCs w:val="17"/>
                <w:color w:val="auto"/>
              </w:rPr>
            </w:pPr>
          </w:p>
        </w:tc>
        <w:tc>
          <w:tcPr>
            <w:tcW w:w="440" w:type="dxa"/>
            <w:vAlign w:val="bottom"/>
            <w:tcBorders>
              <w:top w:val="single" w:sz="8" w:color="auto"/>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42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2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4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14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31,417,203</w:t>
            </w:r>
          </w:p>
        </w:tc>
        <w:tc>
          <w:tcPr>
            <w:tcW w:w="420" w:type="dxa"/>
            <w:vAlign w:val="bottom"/>
            <w:shd w:val="clear" w:color="auto" w:fill="EEEEEE"/>
          </w:tcPr>
          <w:p>
            <w:pPr>
              <w:spacing w:after="0"/>
              <w:rPr>
                <w:sz w:val="21"/>
                <w:szCs w:val="21"/>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29,764,515</w:t>
            </w:r>
          </w:p>
        </w:tc>
        <w:tc>
          <w:tcPr>
            <w:tcW w:w="80" w:type="dxa"/>
            <w:vAlign w:val="bottom"/>
            <w:shd w:val="clear" w:color="auto" w:fill="EEEEEE"/>
          </w:tcPr>
          <w:p>
            <w:pPr>
              <w:spacing w:after="0"/>
              <w:rPr>
                <w:sz w:val="21"/>
                <w:szCs w:val="21"/>
                <w:color w:val="auto"/>
              </w:rPr>
            </w:pPr>
          </w:p>
        </w:tc>
      </w:tr>
      <w:tr>
        <w:trPr>
          <w:trHeight w:val="20"/>
        </w:trPr>
        <w:tc>
          <w:tcPr>
            <w:tcW w:w="622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6"/>
        </w:trPr>
        <w:tc>
          <w:tcPr>
            <w:tcW w:w="6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LOSSES PER SHARE</w:t>
            </w:r>
          </w:p>
        </w:tc>
        <w:tc>
          <w:tcPr>
            <w:tcW w:w="14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6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color w:val="auto"/>
              </w:rPr>
              <w:t>Accumulated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2420" w:type="dxa"/>
            <w:vAlign w:val="bottom"/>
            <w:gridSpan w:val="6"/>
          </w:tcPr>
          <w:p>
            <w:pPr>
              <w:ind w:left="70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Paid in</w:t>
            </w:r>
          </w:p>
        </w:tc>
        <w:tc>
          <w:tcPr>
            <w:tcW w:w="100" w:type="dxa"/>
            <w:vAlign w:val="bottom"/>
          </w:tcPr>
          <w:p>
            <w:pPr>
              <w:spacing w:after="0"/>
              <w:rPr>
                <w:sz w:val="16"/>
                <w:szCs w:val="16"/>
                <w:color w:val="auto"/>
              </w:rPr>
            </w:pPr>
          </w:p>
        </w:tc>
        <w:tc>
          <w:tcPr>
            <w:tcW w:w="11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Accumulated</w:t>
            </w:r>
          </w:p>
        </w:tc>
        <w:tc>
          <w:tcPr>
            <w:tcW w:w="12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Non-controlling</w:t>
            </w:r>
          </w:p>
        </w:tc>
        <w:tc>
          <w:tcPr>
            <w:tcW w:w="122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color w:val="auto"/>
              </w:rPr>
              <w:t>Comprehensive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3"/>
                <w:szCs w:val="13"/>
                <w:color w:val="auto"/>
              </w:rPr>
            </w:pPr>
          </w:p>
        </w:tc>
        <w:tc>
          <w:tcPr>
            <w:tcW w:w="1120" w:type="dxa"/>
            <w:vAlign w:val="bottom"/>
            <w:gridSpan w:val="2"/>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Deficit</w:t>
            </w:r>
          </w:p>
        </w:tc>
        <w:tc>
          <w:tcPr>
            <w:tcW w:w="180" w:type="dxa"/>
            <w:vAlign w:val="bottom"/>
          </w:tcPr>
          <w:p>
            <w:pPr>
              <w:spacing w:after="0"/>
              <w:rPr>
                <w:sz w:val="13"/>
                <w:szCs w:val="13"/>
                <w:color w:val="auto"/>
              </w:rPr>
            </w:pPr>
          </w:p>
        </w:tc>
        <w:tc>
          <w:tcPr>
            <w:tcW w:w="1040" w:type="dxa"/>
            <w:vAlign w:val="bottom"/>
            <w:gridSpan w:val="2"/>
          </w:tcPr>
          <w:p>
            <w:pPr>
              <w:jc w:val="right"/>
              <w:ind w:right="428"/>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3"/>
                <w:szCs w:val="13"/>
                <w:color w:val="auto"/>
              </w:rPr>
            </w:pPr>
          </w:p>
        </w:tc>
        <w:tc>
          <w:tcPr>
            <w:tcW w:w="1120" w:type="dxa"/>
            <w:vAlign w:val="bottom"/>
            <w:gridSpan w:val="2"/>
          </w:tcPr>
          <w:p>
            <w:pPr>
              <w:jc w:val="center"/>
              <w:ind w:right="299"/>
              <w:spacing w:after="0" w:line="155" w:lineRule="exact"/>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3"/>
                <w:szCs w:val="13"/>
                <w:color w:val="auto"/>
              </w:rPr>
            </w:pPr>
          </w:p>
        </w:tc>
        <w:tc>
          <w:tcPr>
            <w:tcW w:w="9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72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10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31,359,899</w:t>
            </w:r>
          </w:p>
        </w:tc>
        <w:tc>
          <w:tcPr>
            <w:tcW w:w="1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31,361</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33,463,883</w:t>
            </w:r>
          </w:p>
        </w:tc>
        <w:tc>
          <w:tcPr>
            <w:tcW w:w="2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(10,230,601)</w:t>
            </w:r>
          </w:p>
        </w:tc>
        <w:tc>
          <w:tcPr>
            <w:tcW w:w="2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(38,204)</w:t>
            </w: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(210,406)</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23,016,033</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(2,029,281)</w:t>
            </w:r>
          </w:p>
        </w:tc>
        <w:tc>
          <w:tcPr>
            <w:tcW w:w="1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(2,836)</w:t>
            </w:r>
          </w:p>
        </w:tc>
        <w:tc>
          <w:tcPr>
            <w:tcW w:w="100" w:type="dxa"/>
            <w:vAlign w:val="bottom"/>
          </w:tcPr>
          <w:p>
            <w:pPr>
              <w:spacing w:after="0"/>
              <w:rPr>
                <w:sz w:val="12"/>
                <w:szCs w:val="12"/>
                <w:color w:val="auto"/>
              </w:rPr>
            </w:pPr>
          </w:p>
        </w:tc>
        <w:tc>
          <w:tcPr>
            <w:tcW w:w="11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(2,032,117)</w:t>
            </w: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205,960</w:t>
            </w:r>
          </w:p>
        </w:tc>
        <w:tc>
          <w:tcPr>
            <w:tcW w:w="1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2"/>
                <w:szCs w:val="12"/>
                <w:color w:val="auto"/>
              </w:rPr>
            </w:pPr>
          </w:p>
        </w:tc>
        <w:tc>
          <w:tcPr>
            <w:tcW w:w="90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205,960</w:t>
            </w:r>
          </w:p>
        </w:tc>
        <w:tc>
          <w:tcPr>
            <w:tcW w:w="0" w:type="dxa"/>
            <w:vAlign w:val="bottom"/>
          </w:tcPr>
          <w:p>
            <w:pPr>
              <w:spacing w:after="0"/>
              <w:rPr>
                <w:sz w:val="1"/>
                <w:szCs w:val="1"/>
                <w:color w:val="auto"/>
              </w:rPr>
            </w:pPr>
          </w:p>
        </w:tc>
      </w:tr>
      <w:tr>
        <w:trPr>
          <w:trHeight w:val="162"/>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(55,054)</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(55,054)</w:t>
            </w:r>
          </w:p>
        </w:tc>
        <w:tc>
          <w:tcPr>
            <w:tcW w:w="0" w:type="dxa"/>
            <w:vAlign w:val="bottom"/>
          </w:tcPr>
          <w:p>
            <w:pPr>
              <w:spacing w:after="0"/>
              <w:rPr>
                <w:sz w:val="1"/>
                <w:szCs w:val="1"/>
                <w:color w:val="auto"/>
              </w:rPr>
            </w:pPr>
          </w:p>
        </w:tc>
      </w:tr>
      <w:tr>
        <w:trPr>
          <w:trHeight w:val="155"/>
        </w:trPr>
        <w:tc>
          <w:tcPr>
            <w:tcW w:w="272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2024, Unaudited</w:t>
            </w:r>
          </w:p>
        </w:tc>
        <w:tc>
          <w:tcPr>
            <w:tcW w:w="10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31,359,899</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31,361</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33,669,843</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(12,259,882</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(41,040</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(265,460</w:t>
            </w:r>
          </w:p>
        </w:tc>
        <w:tc>
          <w:tcPr>
            <w:tcW w:w="220" w:type="dxa"/>
            <w:vAlign w:val="bottom"/>
            <w:tcBorders>
              <w:top w:val="single" w:sz="8" w:color="EEEEEE"/>
              <w:bottom w:val="single" w:sz="8" w:color="EEEEEE"/>
            </w:tcBorders>
            <w:shd w:val="clear" w:color="auto" w:fill="EEEEEE"/>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shd w:val="clear" w:color="auto" w:fill="EEEEEE"/>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21,134,822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2023</w:t>
            </w:r>
          </w:p>
        </w:tc>
        <w:tc>
          <w:tcPr>
            <w:tcW w:w="11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29,710,939</w:t>
            </w:r>
          </w:p>
        </w:tc>
        <w:tc>
          <w:tcPr>
            <w:tcW w:w="300" w:type="dxa"/>
            <w:vAlign w:val="bottom"/>
            <w:gridSpan w:val="2"/>
            <w:shd w:val="clear" w:color="auto" w:fill="EEEEEE"/>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29,712</w:t>
            </w:r>
          </w:p>
        </w:tc>
        <w:tc>
          <w:tcPr>
            <w:tcW w:w="26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29,624,520</w:t>
            </w:r>
          </w:p>
        </w:tc>
        <w:tc>
          <w:tcPr>
            <w:tcW w:w="1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EEEEEE"/>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(8,702,442)</w:t>
            </w:r>
          </w:p>
        </w:tc>
        <w:tc>
          <w:tcPr>
            <w:tcW w:w="180" w:type="dxa"/>
            <w:vAlign w:val="bottom"/>
            <w:shd w:val="clear" w:color="auto" w:fill="EEEEEE"/>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EEEEEE"/>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(24,915)</w:t>
            </w:r>
          </w:p>
        </w:tc>
        <w:tc>
          <w:tcPr>
            <w:tcW w:w="1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EEEEEE"/>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(62,134)</w:t>
            </w:r>
          </w:p>
        </w:tc>
        <w:tc>
          <w:tcPr>
            <w:tcW w:w="200" w:type="dxa"/>
            <w:vAlign w:val="bottom"/>
            <w:shd w:val="clear" w:color="auto" w:fill="EEEEEE"/>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20,864,741</w:t>
            </w: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(1,286,515)</w:t>
            </w:r>
          </w:p>
        </w:tc>
        <w:tc>
          <w:tcPr>
            <w:tcW w:w="18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(2,836)</w:t>
            </w:r>
          </w:p>
        </w:tc>
        <w:tc>
          <w:tcPr>
            <w:tcW w:w="100" w:type="dxa"/>
            <w:vAlign w:val="bottom"/>
          </w:tcPr>
          <w:p>
            <w:pPr>
              <w:spacing w:after="0"/>
              <w:rPr>
                <w:sz w:val="12"/>
                <w:szCs w:val="12"/>
                <w:color w:val="auto"/>
              </w:rPr>
            </w:pPr>
          </w:p>
        </w:tc>
        <w:tc>
          <w:tcPr>
            <w:tcW w:w="11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(1,289,351)</w:t>
            </w: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1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2"/>
                <w:szCs w:val="12"/>
                <w:color w:val="auto"/>
              </w:rPr>
            </w:pPr>
          </w:p>
        </w:tc>
        <w:tc>
          <w:tcPr>
            <w:tcW w:w="90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0" w:type="dxa"/>
            <w:vAlign w:val="bottom"/>
          </w:tcPr>
          <w:p>
            <w:pPr>
              <w:spacing w:after="0"/>
              <w:rPr>
                <w:sz w:val="1"/>
                <w:szCs w:val="1"/>
                <w:color w:val="auto"/>
              </w:rPr>
            </w:pPr>
          </w:p>
        </w:tc>
      </w:tr>
      <w:tr>
        <w:trPr>
          <w:trHeight w:val="162"/>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(707)</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56"/>
        </w:trPr>
        <w:tc>
          <w:tcPr>
            <w:tcW w:w="272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2023, Unaudited</w:t>
            </w:r>
          </w:p>
        </w:tc>
        <w:tc>
          <w:tcPr>
            <w:tcW w:w="10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29,712</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29,742,402</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(9,988,957</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(27,751</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(62,841</w:t>
            </w:r>
          </w:p>
        </w:tc>
        <w:tc>
          <w:tcPr>
            <w:tcW w:w="220" w:type="dxa"/>
            <w:vAlign w:val="bottom"/>
            <w:tcBorders>
              <w:top w:val="single" w:sz="8" w:color="EEEEEE"/>
              <w:bottom w:val="single" w:sz="8" w:color="EEEEEE"/>
            </w:tcBorders>
            <w:shd w:val="clear" w:color="auto" w:fill="EEEEEE"/>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shd w:val="clear" w:color="auto" w:fill="EEEEEE"/>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19,692,565</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212529"/>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 the Three Months Ended September 30, 2024 and 2023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0" w:type="dxa"/>
            <w:vAlign w:val="bottom"/>
          </w:tcPr>
          <w:p>
            <w:pPr>
              <w:spacing w:after="0"/>
              <w:rPr>
                <w:sz w:val="1"/>
                <w:szCs w:val="1"/>
                <w:color w:val="auto"/>
              </w:rPr>
            </w:pPr>
          </w:p>
        </w:tc>
      </w:tr>
      <w:tr>
        <w:trPr>
          <w:trHeight w:val="243"/>
        </w:trPr>
        <w:tc>
          <w:tcPr>
            <w:tcW w:w="6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(2,032,117)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(1,289,351)</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cash (used in) provided by operating activities: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196,558</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201,705</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Inventory reserve</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288,474</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105,192</w:t>
            </w: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Credit loss reserve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1,475,594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205,960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117,882</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Gain on foreign currency exchange rates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(182,188)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522,538</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685,106</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Amortization of debt premium / discount and non-cash financing costs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66,305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53,726</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986,317</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834,261</w:t>
            </w: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1,589,302</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5,432,074</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(644,920)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(277,189)</w:t>
            </w: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(619,099)</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1,046,697</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Non-current prepayments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70,422</w:t>
            </w: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non-current assets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132,841</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9,615</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(2,874,417)</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(1,213,634)</w:t>
            </w:r>
          </w:p>
        </w:tc>
        <w:tc>
          <w:tcPr>
            <w:tcW w:w="0" w:type="dxa"/>
            <w:vAlign w:val="bottom"/>
          </w:tcPr>
          <w:p>
            <w:pPr>
              <w:spacing w:after="0"/>
              <w:rPr>
                <w:sz w:val="1"/>
                <w:szCs w:val="1"/>
                <w:color w:val="auto"/>
              </w:rPr>
            </w:pPr>
          </w:p>
        </w:tc>
      </w:tr>
      <w:tr>
        <w:trPr>
          <w:trHeight w:val="216"/>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4,034</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(1,040,347)</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(541,549)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(683,277)</w:t>
            </w:r>
          </w:p>
        </w:tc>
        <w:tc>
          <w:tcPr>
            <w:tcW w:w="0" w:type="dxa"/>
            <w:vAlign w:val="bottom"/>
          </w:tcPr>
          <w:p>
            <w:pPr>
              <w:spacing w:after="0"/>
              <w:rPr>
                <w:sz w:val="1"/>
                <w:szCs w:val="1"/>
                <w:color w:val="auto"/>
              </w:rPr>
            </w:pPr>
          </w:p>
        </w:tc>
      </w:tr>
      <w:tr>
        <w:trPr>
          <w:trHeight w:val="230"/>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10"/>
        </w:trPr>
        <w:tc>
          <w:tcPr>
            <w:tcW w:w="696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(1,415,643)</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4,052,341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for software development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(202,140)</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6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(202,140)</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offering cost settlement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 - related party</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short-term loans - related party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(483,599)</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promissory note</w:t>
            </w: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revolving loan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revolving loan</w:t>
            </w:r>
          </w:p>
        </w:tc>
        <w:tc>
          <w:tcPr>
            <w:tcW w:w="7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(4,000,000)</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(5,200,000)</w:t>
            </w:r>
          </w:p>
        </w:tc>
        <w:tc>
          <w:tcPr>
            <w:tcW w:w="0" w:type="dxa"/>
            <w:vAlign w:val="bottom"/>
          </w:tcPr>
          <w:p>
            <w:pPr>
              <w:spacing w:after="0"/>
              <w:rPr>
                <w:sz w:val="1"/>
                <w:szCs w:val="1"/>
                <w:color w:val="auto"/>
              </w:rPr>
            </w:pPr>
          </w:p>
        </w:tc>
      </w:tr>
      <w:tr>
        <w:trPr>
          <w:trHeight w:val="21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(3,308,599)</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125,850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16,178</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CASH AND CASH EQUIVALENTS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(4,800,532)</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(1,006,481)</w:t>
            </w: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7,377,837</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3,735,642</w:t>
            </w:r>
          </w:p>
        </w:tc>
        <w:tc>
          <w:tcPr>
            <w:tcW w:w="0" w:type="dxa"/>
            <w:vAlign w:val="bottom"/>
          </w:tcPr>
          <w:p>
            <w:pPr>
              <w:spacing w:after="0"/>
              <w:rPr>
                <w:sz w:val="1"/>
                <w:szCs w:val="1"/>
                <w:color w:val="auto"/>
              </w:rPr>
            </w:pPr>
          </w:p>
        </w:tc>
      </w:tr>
      <w:tr>
        <w:trPr>
          <w:trHeight w:val="209"/>
        </w:trPr>
        <w:tc>
          <w:tcPr>
            <w:tcW w:w="6960" w:type="dxa"/>
            <w:vAlign w:val="bottom"/>
            <w:tcBorders>
              <w:top w:val="single" w:sz="8" w:color="EEEEEE"/>
            </w:tcBorders>
            <w:shd w:val="clear" w:color="auto" w:fill="EEEEEE"/>
          </w:tcPr>
          <w:p>
            <w:pPr>
              <w:spacing w:after="0"/>
              <w:rPr>
                <w:sz w:val="18"/>
                <w:szCs w:val="18"/>
                <w:color w:val="auto"/>
              </w:rPr>
            </w:pPr>
          </w:p>
        </w:tc>
        <w:tc>
          <w:tcPr>
            <w:tcW w:w="7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2,577,305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2,729,161</w:t>
            </w:r>
          </w:p>
        </w:tc>
        <w:tc>
          <w:tcPr>
            <w:tcW w:w="0" w:type="dxa"/>
            <w:vAlign w:val="bottom"/>
          </w:tcPr>
          <w:p>
            <w:pPr>
              <w:spacing w:after="0"/>
              <w:rPr>
                <w:sz w:val="1"/>
                <w:szCs w:val="1"/>
                <w:color w:val="auto"/>
              </w:rPr>
            </w:pPr>
          </w:p>
        </w:tc>
      </w:tr>
      <w:tr>
        <w:trPr>
          <w:trHeight w:val="196"/>
        </w:trPr>
        <w:tc>
          <w:tcPr>
            <w:tcW w:w="6960" w:type="dxa"/>
            <w:vAlign w:val="bottom"/>
            <w:tcBorders>
              <w:top w:val="single" w:sz="8" w:color="EEEEEE"/>
            </w:tcBorders>
            <w:shd w:val="clear" w:color="auto" w:fill="EEEEEE"/>
          </w:tcPr>
          <w:p>
            <w:pPr>
              <w:spacing w:after="0"/>
              <w:rPr>
                <w:sz w:val="17"/>
                <w:szCs w:val="17"/>
                <w:color w:val="auto"/>
              </w:rPr>
            </w:pPr>
          </w:p>
        </w:tc>
        <w:tc>
          <w:tcPr>
            <w:tcW w:w="7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4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tcBorders>
              <w:top w:val="single" w:sz="8" w:color="EEEEEE"/>
              <w:bottom w:val="single" w:sz="8" w:color="EEEEEE"/>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EEEEEE"/>
            </w:tcBorders>
            <w:vMerge w:val="continue"/>
          </w:tcPr>
          <w:p>
            <w:pPr>
              <w:spacing w:after="0"/>
              <w:rPr>
                <w:sz w:val="20"/>
                <w:szCs w:val="20"/>
                <w:color w:val="auto"/>
              </w:rPr>
            </w:pPr>
          </w:p>
        </w:tc>
        <w:tc>
          <w:tcPr>
            <w:tcW w:w="700" w:type="dxa"/>
            <w:vAlign w:val="bottom"/>
            <w:tcBorders>
              <w:bottom w:val="single" w:sz="8" w:color="EEEEEE"/>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55,743</w:t>
            </w:r>
          </w:p>
        </w:tc>
        <w:tc>
          <w:tcPr>
            <w:tcW w:w="320" w:type="dxa"/>
            <w:vAlign w:val="bottom"/>
            <w:tcBorders>
              <w:bottom w:val="single" w:sz="8" w:color="EEEEEE"/>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6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 of use assets derecognized due to termination of operating leases</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(374,737)</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acquired under new operating leases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613,980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014"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2024 and June 30, 2024 and for the Three Months Ended September 30, 2024 and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 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2025, or for any other interim period or for any other future year. All intercompany balances and transactions have been eliminated in consolidation.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included in the Annual Report for the year ended June 30, 2024, which are included in Form 10-K filed with the SEC on September 20,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Period Reclassification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 unaudited condensed statements of cash flows have been reclassified to conform to the current period presentation, including reclassifications made in the presentation of cash flows from operating activities. These reclassifications had no impact on the prior year net loss or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September 30, 2024, were translated at 7.0181 RMB to $1.00. The equity accounts were stated at their historical rates. The average translation rates applied to statements of operations and comprehensive income (loss) accounts for the three months ended September 30, 2024 was 7.1623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financial institution and financial service company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and expected loss rate and status of negotiations with the sales channel partner, management reviews its accounts receivable balances each reporting period to determine if an allowance for credit loss is required.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 In late October 2024, the Company determined that the collectability of certain shortage claim receivables from Amazon was remote so recorded additional allowance for credit losses of approximately $1.4 million for the quarter ended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performed a qualitative goodwill impairment analysis following the steps laid out in ASC 350-20-35-3C and noted no goodwill impairment. As of September 30, 2024 and June 30, 2024, the goodwill balance amounted to $3,034,110.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September 30, 2024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EEEEEE"/>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10"/>
        </w:trPr>
        <w:tc>
          <w:tcPr>
            <w:tcW w:w="4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28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16"/>
        </w:trPr>
        <w:tc>
          <w:tcPr>
            <w:tcW w:w="4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28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September 30, 2024 and 2023, there were no indicators of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 As a result of those measurements, as of September 30, 2024 and June 30, 2024, the Company had goodwill with a carry book value of $3,034,110, which approximated its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Fair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31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2480" w:type="dxa"/>
            <w:vAlign w:val="bottom"/>
            <w:tcBorders>
              <w:top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16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20" w:type="dxa"/>
            <w:vAlign w:val="bottom"/>
            <w:tcBorders>
              <w:top w:val="single" w:sz="8" w:color="EEEEEE"/>
            </w:tcBorders>
            <w:shd w:val="clear" w:color="auto" w:fill="EEEEEE"/>
          </w:tcPr>
          <w:p>
            <w:pPr>
              <w:spacing w:after="0"/>
              <w:rPr>
                <w:sz w:val="19"/>
                <w:szCs w:val="19"/>
                <w:color w:val="auto"/>
              </w:rPr>
            </w:pPr>
          </w:p>
        </w:tc>
        <w:tc>
          <w:tcPr>
            <w:tcW w:w="80" w:type="dxa"/>
            <w:vAlign w:val="bottom"/>
            <w:tcBorders>
              <w:top w:val="single" w:sz="8" w:color="EEEEEE"/>
            </w:tcBorders>
            <w:shd w:val="clear" w:color="auto" w:fill="EEEEEE"/>
          </w:tcPr>
          <w:p>
            <w:pPr>
              <w:spacing w:after="0"/>
              <w:rPr>
                <w:sz w:val="19"/>
                <w:szCs w:val="19"/>
                <w:color w:val="auto"/>
              </w:rPr>
            </w:pPr>
          </w:p>
        </w:tc>
      </w:tr>
      <w:tr>
        <w:trPr>
          <w:trHeight w:val="25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3,034,110</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3,034,110</w:t>
            </w:r>
          </w:p>
        </w:tc>
        <w:tc>
          <w:tcPr>
            <w:tcW w:w="8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and promotional costs included in selling and fulfillment expenses for the three months ended September 30, 2024 and 2023 were $651,125 and $1,570,742,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net of purchase discounts and rebates,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are expensed as incurred. Vendor warranty credits resulting from refund of returns on quality issues are recorded to offset merchant selling fees. During the three months ended September 30, 2024 and 2023, the Company did not have any vendor credits.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offering costs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For the years ended June 30, 2024, $1,756,913 were recorded as deferred offering costs and reclassed to additional paid in capital upon closing of the offering. As of September 30, 2024 and June 30, 2024, there were no deferred offering costs included in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three months ended September 30, 2024 and 2023, sales through Amazon to Canada and other foreign countries were approximately 13.4% and 8.2% of the Company’s total sales. During the three months ended September 30, 2024, sales of hydroponic products, including ventilation and grow light systems, was approximately 17.2% of the Company’s total sales and the remaining 82.8% consisted of general gardening, home goods, and other products and accessories. During the three months ended September 30, 2023, sales of hydroponic products, including ventilation and grow light systems, were approximately 16.8% of the Company’s total sales and the remaining 83.2% consisted of general gardening, home goods and other products and accessories. As of September 30, 2024 and June 30, 2024, the Company had approximately $1.6 million and $1.9 million of inventory stored in China. The Company’s majority of long-lived assets are located in California, United States, majority of the deferred tax assets are US related, and a majority of the Company’s revenues are derived from within the United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does not expect the adoption of this standard to have a material impact on its consolidated financial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adoption of this standard did not have a material impact on the Company’s consolidated financial statements.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unaudited condensed consolidated financial statements are presented.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operations.For the three months ended September 30, 2024 and 2023, the impact of GSM’s activities were immaterial to the Company’s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Variable interest entity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 On September 26, 2024, Mr. Zanyu Li, the equity owner of DHS transferred his shares to Ms. Xiaoyun Liu. Ms. Liu has become the Manager and Legal Representative of DHS and assumed all responsibilities and obligations of Mr. Zanyu Li. The transfer of equity ownership did not change the control the Company had on the VIE, therefore there was no impact on the Company’s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provide financial or other support to the VIE for the periods presented where the Company was not otherwise contractually required to provide such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June 30, 2024, there was no pledge or collateralization of the VIE assets that would be used to settle obligations of the VIE.</w:t>
      </w:r>
    </w:p>
    <w:p>
      <w:pPr>
        <w:spacing w:after="0" w:line="22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carrying amounts of the assets, liabilities and the results of operations of the VIE included in the Company’s unaudited condensed consolidated balance sheets and statements of operations and comprehensive income after the elimination of intercompany balances and transactions with the VIE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periods indicated:</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73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3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330,760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222,648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337,172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202,904</w:t>
            </w: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86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72,281</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12,205</w:t>
            </w: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86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434,034</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213,717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381,013</w:t>
            </w: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443,059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285,963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276,158</w:t>
            </w: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86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652,387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514,285</w:t>
            </w:r>
          </w:p>
        </w:tc>
      </w:tr>
      <w:tr>
        <w:trPr>
          <w:trHeight w:val="432"/>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months ended September 30, 2024: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138,930</w:t>
            </w:r>
          </w:p>
        </w:tc>
      </w:tr>
      <w:tr>
        <w:trPr>
          <w:trHeight w:val="41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months ended September 30, 2023 :</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56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419,343</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the VIE contributed approximately $1.4 million of revenue and $0.2 million of net loss before elimination. For the three months ended September 30, 2023, the VIE contributed approximately $2.1 million of revenue and $0.05 million of net loss before elimination.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14,109,162</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15,095,479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(1,830,980)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(355,386)</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12,278,182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14,740,093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accounts receivable are summarized below:</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Allowance for</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Credit Losses</w:t>
            </w:r>
          </w:p>
        </w:tc>
        <w:tc>
          <w:tcPr>
            <w:tcW w:w="0" w:type="dxa"/>
            <w:vAlign w:val="bottom"/>
          </w:tcPr>
          <w:p>
            <w:pPr>
              <w:spacing w:after="0"/>
              <w:rPr>
                <w:sz w:val="1"/>
                <w:szCs w:val="1"/>
                <w:color w:val="auto"/>
              </w:rPr>
            </w:pP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355,386</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2024</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1,475,594</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1,830,980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June 30, 2024, inventories consisted of finished goods ready for sale, net of allowance for obsolescence, amounted to $8,668,497 and $10,546,273,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recorded inventory reserve expense of $288,474 and $105,192, respectively. As of September 30, 2024 and June 30, 2024, allowance for obsolescence was $936,299 and $647,825,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June 30, 2024, prepayments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5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4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1,953,093</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1,567,528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16,687</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31,496</w:t>
            </w:r>
          </w:p>
        </w:tc>
      </w:tr>
      <w:tr>
        <w:trPr>
          <w:trHeight w:val="216"/>
        </w:trPr>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839,134</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747,510</w:t>
            </w:r>
          </w:p>
        </w:tc>
        <w:tc>
          <w:tcPr>
            <w:tcW w:w="80" w:type="dxa"/>
            <w:vAlign w:val="bottom"/>
            <w:shd w:val="clear" w:color="auto" w:fill="EEEEEE"/>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2,808,914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2,346,534</w:t>
            </w:r>
          </w:p>
        </w:tc>
        <w:tc>
          <w:tcPr>
            <w:tcW w:w="8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$2,786 and $3,995 from a third party for using the Company’s courier accounts at September 30, 2024 and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other receivables are summarized below:</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56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for Credit</w:t>
            </w:r>
          </w:p>
        </w:tc>
      </w:tr>
      <w:tr>
        <w:trPr>
          <w:trHeight w:val="234"/>
        </w:trPr>
        <w:tc>
          <w:tcPr>
            <w:tcW w:w="9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Losses</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2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2024</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the Company collected $249,128 of aged other receivables and recorded a reduction of bad debts expense as a reversal of the allowance of credit loss.</w:t>
      </w:r>
    </w:p>
    <w:p>
      <w:pPr>
        <w:sectPr>
          <w:pgSz w:w="11900" w:h="16838" w:orient="portrait"/>
          <w:cols w:equalWidth="0" w:num="1">
            <w:col w:w="11240"/>
          </w:cols>
          <w:pgMar w:left="320" w:top="796"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June 30, 2024,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September 30, 2024</w:t>
      </w:r>
    </w:p>
    <w:p>
      <w:pPr>
        <w:spacing w:after="0" w:line="31" w:lineRule="exact"/>
        <w:rPr>
          <w:sz w:val="20"/>
          <w:szCs w:val="20"/>
          <w:color w:val="auto"/>
        </w:rPr>
      </w:pPr>
    </w:p>
    <w:p>
      <w:pPr>
        <w:ind w:left="860" w:hanging="85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(1,704,560)</w:t>
      </w:r>
    </w:p>
    <w:p>
      <w:pPr>
        <w:spacing w:after="0" w:line="31" w:lineRule="exact"/>
        <w:rPr>
          <w:sz w:val="20"/>
          <w:szCs w:val="20"/>
          <w:color w:val="auto"/>
        </w:rPr>
      </w:pPr>
    </w:p>
    <w:p>
      <w:pPr>
        <w:ind w:left="860" w:hanging="85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3,468,357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0026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p>
      <w:pPr>
        <w:ind w:left="860" w:hanging="85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(1,542,257)</w:t>
      </w:r>
    </w:p>
    <w:p>
      <w:pPr>
        <w:spacing w:after="0" w:line="31" w:lineRule="exact"/>
        <w:rPr>
          <w:sz w:val="20"/>
          <w:szCs w:val="20"/>
          <w:color w:val="auto"/>
        </w:rPr>
      </w:pPr>
    </w:p>
    <w:p>
      <w:pPr>
        <w:ind w:left="860" w:hanging="85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9944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720"/>
            <w:col w:w="1640" w:space="260"/>
            <w:col w:w="1680"/>
          </w:cols>
          <w:pgMar w:left="320" w:top="796" w:right="339" w:bottom="1440" w:gutter="0" w:footer="0" w:header="0"/>
          <w:type w:val="continuous"/>
        </w:sectPr>
      </w:pP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September 30, 2024 was approximately 5.95 years. The amortization expense for the three months ended September 30, 2024 and 2023 was $162,343 and $162,343, respectively. At September 30, 2024,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28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3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487,028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609,277</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r>
      <w:tr>
        <w:trPr>
          <w:trHeight w:val="216"/>
        </w:trPr>
        <w:tc>
          <w:tcPr>
            <w:tcW w:w="9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345,912</w:t>
            </w:r>
          </w:p>
        </w:tc>
      </w:tr>
      <w:tr>
        <w:trPr>
          <w:trHeight w:val="230"/>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908,019</w:t>
            </w:r>
          </w:p>
        </w:tc>
      </w:tr>
      <w:tr>
        <w:trPr>
          <w:trHeight w:val="223"/>
        </w:trPr>
        <w:tc>
          <w:tcPr>
            <w:tcW w:w="956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3,468,357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Other payables and accrued liabilities</w:t>
            </w:r>
          </w:p>
        </w:tc>
        <w:tc>
          <w:tcPr>
            <w:tcW w:w="2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September 30, 2024 and June 30, 2024, other payables and accrued liabilities consisted of the following:</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5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204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1,296,989</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1,405,780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payable</w:t>
            </w:r>
          </w:p>
        </w:tc>
        <w:tc>
          <w:tcPr>
            <w:tcW w:w="2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206,769</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231,243</w:t>
            </w: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20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326,364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313,358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2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450,512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530,456</w:t>
            </w: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0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437,265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442,889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191,882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204,137</w:t>
            </w: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 payable</w:t>
            </w:r>
          </w:p>
        </w:tc>
        <w:tc>
          <w:tcPr>
            <w:tcW w:w="20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and payables</w:t>
            </w:r>
          </w:p>
        </w:tc>
        <w:tc>
          <w:tcPr>
            <w:tcW w:w="2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597,443</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432,624</w:t>
            </w:r>
          </w:p>
        </w:tc>
        <w:tc>
          <w:tcPr>
            <w:tcW w:w="0" w:type="dxa"/>
            <w:vAlign w:val="bottom"/>
          </w:tcPr>
          <w:p>
            <w:pPr>
              <w:spacing w:after="0"/>
              <w:rPr>
                <w:sz w:val="1"/>
                <w:szCs w:val="1"/>
                <w:color w:val="auto"/>
              </w:rPr>
            </w:pPr>
          </w:p>
        </w:tc>
      </w:tr>
      <w:tr>
        <w:trPr>
          <w:trHeight w:val="209"/>
        </w:trPr>
        <w:tc>
          <w:tcPr>
            <w:tcW w:w="5620" w:type="dxa"/>
            <w:vAlign w:val="bottom"/>
            <w:tcBorders>
              <w:top w:val="single" w:sz="8" w:color="EEEEEE"/>
            </w:tcBorders>
            <w:shd w:val="clear" w:color="auto" w:fill="EEEEEE"/>
          </w:tcPr>
          <w:p>
            <w:pPr>
              <w:spacing w:after="0"/>
              <w:rPr>
                <w:sz w:val="18"/>
                <w:szCs w:val="18"/>
                <w:color w:val="auto"/>
              </w:rPr>
            </w:pPr>
          </w:p>
        </w:tc>
        <w:tc>
          <w:tcPr>
            <w:tcW w:w="204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3,507,224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3,885,487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 Loans payable</w:t>
            </w: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JPMorgan Chase Bank, N.A. (“JPMorgan”),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260" w:hanging="34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rFonts w:ascii="Times New Roman" w:cs="Times New Roman" w:eastAsia="Times New Roman" w:hAnsi="Times New Roman"/>
          <w:sz w:val="18"/>
          <w:szCs w:val="18"/>
          <w:color w:val="auto"/>
        </w:rPr>
      </w:pPr>
    </w:p>
    <w:p>
      <w:pPr>
        <w:ind w:left="1580" w:hanging="330"/>
        <w:spacing w:after="0"/>
        <w:tabs>
          <w:tab w:leader="none" w:pos="158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580" w:hanging="330"/>
        <w:spacing w:after="0"/>
        <w:tabs>
          <w:tab w:leader="none" w:pos="158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580" w:hanging="330"/>
        <w:spacing w:after="0"/>
        <w:tabs>
          <w:tab w:leader="none" w:pos="158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6" w:lineRule="exact"/>
        <w:rPr>
          <w:rFonts w:ascii="Wingdings" w:cs="Wingdings" w:eastAsia="Wingdings" w:hAnsi="Wingdings"/>
          <w:sz w:val="18"/>
          <w:szCs w:val="18"/>
          <w:b w:val="1"/>
          <w:bCs w:val="1"/>
          <w:color w:val="auto"/>
        </w:rPr>
      </w:pPr>
    </w:p>
    <w:p>
      <w:pPr>
        <w:ind w:left="1260" w:hanging="34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three-year term of the ABL as interest expense.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three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7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43,145</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133,615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21,767</w:t>
            </w: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15,525</w:t>
            </w:r>
          </w:p>
        </w:tc>
      </w:tr>
      <w:tr>
        <w:trPr>
          <w:trHeight w:val="229"/>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7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66,305</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66,305</w:t>
            </w: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131,217</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disclosed in Note 18, the maturity date of the ABL has been extended to November 8, 2027. As of September 30, 2024, the outstanding amount of the ABL, which was classified as long-term revolving loan payable, net of debt discount and including interest payable, was $3,131,955. As of June 30, 2024, the outstanding amount of the revolving loan payable, net of debt discount and including interest payable, was $5,500,739.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was in compliance with the ABL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In February 2024, the Company paid the fourth installment of $875,000. For the three months ended September 30, 2024, the Company recorded accrued interest of $0 and amortization of note premium of $0. For the three months ended September 30, 2023, the Company recorded accrued interest of $19,688 and amortization of note premium of $12,579. For the year ended June 30, 2024, the Company recorded accrued interest of $39,429 and amortization of note premium of $31,602. In February 2024, the note premium was fully amortized, and the outstanding balance of the principal and accrued interest of $275,679 was fully paid off. As of September 30, 2024 and June 30, 2024, the total outstanding balance of the Purchase Note was $0.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loan payable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 million from White Cherry and repaid $1 million on July 31, 2023 and $1 million on January 31, 2024. For the three months ended September 30, 2024 and 2023, the Company recorded accrued interest of $0 and $6,060. As of September 30, 2024, the outstanding balance of the On-demand Loan was fully paid off.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three months ended September 30, 2024, the Company recorded interest expense of $3,733. As of June 30, 2024, the outstanding balance of the On-demand Loan 2, including accrued interest of $7,615, was $491,214. As of September 30, 2024, the On-demand Loan 2 had been fully paid off.</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September 30, 2024 and June 30, 2024, the outstanding balance of the RP Loan was $350,000 and $350,000,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from an entity owned by Mr. Allan Huang, one of the majority shareholders of the Company. See Note 10 above for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June 30, 2024, the Company started selling products through MII Strategy Inc. (“MII”), a company owned by the Company’s CEO, Mr. Chenlong Tan. As of September 30, 2024 and June 30, 2024, the total amount due from MII was $56,406. As of the date of this report, the outstanding balance was fully paid off.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2023, the Company entered into an agreement with White Cherry for an on demand loan. See Note 10 above for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for the year ended June 30, 2022 in those jurisdictions. DHS, the operating VIE of Anivia, is considered a Controlled Foreign Corporation (CFC) defined under IRC Sec. 957(a) since the Company indirectly owns more than 50% voting control of DHS as a result of the Transfer Agreement. Therefore, DHS is subject to the Global Intangible Low-Taxed Income (or GILTI) Tax. DHS is subject to 5% tax rate in PRC until December 31, 2027. Since DHS had losses during the three months ended September 30, 2024 and 2023 and the year ended June 30, 2024, no GILTI tax was recorded as of September 30, 2024 and June 30, 2024. The Company is not eligible for the GILTI high-tax exclusion. In addition, as a result of the acquisition, the Company recognized goodwill in the amount of $6,094,144. Since the acquisition was a stock acquisition, the Goodwill is not deductible for tax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three months ended September 30, 2024 and 2023 consisted of the following:</w:t>
      </w:r>
    </w:p>
    <w:p>
      <w:pPr>
        <w:spacing w:after="0" w:line="235" w:lineRule="exact"/>
        <w:rPr>
          <w:sz w:val="20"/>
          <w:szCs w:val="20"/>
          <w:color w:val="auto"/>
        </w:rPr>
      </w:pPr>
    </w:p>
    <w:p>
      <w:pPr>
        <w:ind w:left="7700"/>
        <w:spacing w:after="0"/>
        <w:tabs>
          <w:tab w:leader="none" w:pos="9580" w:val="left"/>
        </w:tabs>
        <w:rPr>
          <w:sz w:val="20"/>
          <w:szCs w:val="20"/>
          <w:color w:val="auto"/>
        </w:rPr>
      </w:pPr>
      <w:r>
        <w:rPr>
          <w:rFonts w:ascii="Times New Roman" w:cs="Times New Roman" w:eastAsia="Times New Roman" w:hAnsi="Times New Roman"/>
          <w:sz w:val="18"/>
          <w:szCs w:val="18"/>
          <w:b w:val="1"/>
          <w:bCs w:val="1"/>
          <w:u w:val="single" w:color="auto"/>
          <w:color w:val="auto"/>
        </w:rPr>
        <w:t>September 30, 2024</w:t>
      </w:r>
      <w:r>
        <w:rPr>
          <w:sz w:val="20"/>
          <w:szCs w:val="20"/>
          <w:color w:val="auto"/>
        </w:rPr>
        <w:tab/>
      </w:r>
      <w:r>
        <w:rPr>
          <w:rFonts w:ascii="Times New Roman" w:cs="Times New Roman" w:eastAsia="Times New Roman" w:hAnsi="Times New Roman"/>
          <w:sz w:val="17"/>
          <w:szCs w:val="17"/>
          <w:b w:val="1"/>
          <w:bCs w:val="1"/>
          <w:u w:val="single" w:color="auto"/>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current income tax provision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deferred taxes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provision for income taxes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30"/>
        </w:trPr>
        <w:tc>
          <w:tcPr>
            <w:tcW w:w="52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8,409</w:t>
            </w: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40" w:type="dxa"/>
            <w:vAlign w:val="bottom"/>
          </w:tcPr>
          <w:p>
            <w:pPr>
              <w:spacing w:after="0"/>
              <w:rPr>
                <w:sz w:val="19"/>
                <w:szCs w:val="19"/>
                <w:color w:val="auto"/>
              </w:rPr>
            </w:pPr>
          </w:p>
        </w:tc>
      </w:tr>
      <w:tr>
        <w:trPr>
          <w:trHeight w:val="234"/>
        </w:trPr>
        <w:tc>
          <w:tcPr>
            <w:tcW w:w="520" w:type="dxa"/>
            <w:vAlign w:val="bottom"/>
          </w:tcPr>
          <w:p>
            <w:pPr>
              <w:spacing w:after="0"/>
              <w:rPr>
                <w:sz w:val="20"/>
                <w:szCs w:val="20"/>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3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40" w:type="dxa"/>
            <w:vAlign w:val="bottom"/>
          </w:tcPr>
          <w:p>
            <w:pPr>
              <w:spacing w:after="0"/>
              <w:rPr>
                <w:sz w:val="18"/>
                <w:szCs w:val="18"/>
                <w:color w:val="auto"/>
              </w:rPr>
            </w:pPr>
          </w:p>
        </w:tc>
      </w:tr>
      <w:tr>
        <w:trPr>
          <w:trHeight w:val="407"/>
        </w:trPr>
        <w:tc>
          <w:tcPr>
            <w:tcW w:w="520" w:type="dxa"/>
            <w:vAlign w:val="bottom"/>
          </w:tcPr>
          <w:p>
            <w:pPr>
              <w:spacing w:after="0"/>
              <w:rPr>
                <w:sz w:val="24"/>
                <w:szCs w:val="24"/>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(521,137)</w:t>
            </w:r>
          </w:p>
        </w:tc>
        <w:tc>
          <w:tcPr>
            <w:tcW w:w="5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(284,648)</w:t>
            </w:r>
          </w:p>
        </w:tc>
      </w:tr>
      <w:tr>
        <w:trPr>
          <w:trHeight w:val="230"/>
        </w:trPr>
        <w:tc>
          <w:tcPr>
            <w:tcW w:w="52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(123,784)</w:t>
            </w:r>
          </w:p>
        </w:tc>
        <w:tc>
          <w:tcPr>
            <w:tcW w:w="5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(66,624)</w:t>
            </w:r>
          </w:p>
        </w:tc>
      </w:tr>
      <w:tr>
        <w:trPr>
          <w:trHeight w:val="234"/>
        </w:trPr>
        <w:tc>
          <w:tcPr>
            <w:tcW w:w="520" w:type="dxa"/>
            <w:vAlign w:val="bottom"/>
          </w:tcPr>
          <w:p>
            <w:pPr>
              <w:spacing w:after="0"/>
              <w:rPr>
                <w:sz w:val="20"/>
                <w:szCs w:val="20"/>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64,625</w:t>
            </w:r>
          </w:p>
        </w:tc>
        <w:tc>
          <w:tcPr>
            <w:tcW w:w="40" w:type="dxa"/>
            <w:vAlign w:val="bottom"/>
          </w:tcPr>
          <w:p>
            <w:pPr>
              <w:spacing w:after="0"/>
              <w:rPr>
                <w:sz w:val="20"/>
                <w:szCs w:val="20"/>
                <w:color w:val="auto"/>
              </w:rPr>
            </w:pPr>
          </w:p>
        </w:tc>
      </w:tr>
      <w:tr>
        <w:trPr>
          <w:trHeight w:val="209"/>
        </w:trPr>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(644,921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53"/>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(636,512)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(275,882)</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-1465580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-1182370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-890905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-616585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2019 to 2023 remain open to examination by the major taxing jurisdictions to which the Company is subject. The following is a reconciliation of income tax expenses at the effective rate to income tax at the calculated statutory rates: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State (net of federal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tax rate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1740"/>
        <w:spacing w:after="0" w:line="276" w:lineRule="auto"/>
        <w:rPr>
          <w:sz w:val="20"/>
          <w:szCs w:val="20"/>
          <w:color w:val="auto"/>
        </w:rPr>
      </w:pPr>
      <w:r>
        <w:rPr>
          <w:rFonts w:ascii="Times New Roman" w:cs="Times New Roman" w:eastAsia="Times New Roman" w:hAnsi="Times New Roman"/>
          <w:sz w:val="18"/>
          <w:szCs w:val="18"/>
          <w:color w:val="auto"/>
        </w:rPr>
        <w:t>Net effect of state income tax deduction and other permanent differences Effective tax rate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September 30, 2024</w:t>
      </w:r>
    </w:p>
    <w:p>
      <w:pPr>
        <w:spacing w:after="0" w:line="2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5.51%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14605</wp:posOffset>
            </wp:positionV>
            <wp:extent cx="10026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17145</wp:posOffset>
            </wp:positionV>
            <wp:extent cx="10026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34290</wp:posOffset>
            </wp:positionV>
            <wp:extent cx="10026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7"/>
          <w:szCs w:val="17"/>
          <w:b w:val="1"/>
          <w:bCs w:val="1"/>
          <w:u w:val="single" w:color="auto"/>
          <w:color w:val="auto"/>
        </w:rPr>
        <w:t>September 30, 2023</w:t>
      </w:r>
    </w:p>
    <w:p>
      <w:pPr>
        <w:spacing w:after="0" w:line="25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21.00%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5.82%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994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17145</wp:posOffset>
            </wp:positionV>
            <wp:extent cx="994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34290</wp:posOffset>
            </wp:positionV>
            <wp:extent cx="994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3">
            <w:col w:w="6980" w:space="720"/>
            <w:col w:w="1600" w:space="300"/>
            <w:col w:w="1640"/>
          </w:cols>
          <w:pgMar w:left="320" w:top="796" w:right="339" w:bottom="1440" w:gutter="0" w:footer="0" w:header="0"/>
          <w:type w:val="continuous"/>
        </w:sectPr>
      </w:pPr>
    </w:p>
    <w:p>
      <w:pPr>
        <w:spacing w:after="0" w:line="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prepaid income taxes to US tax authorities and income tax payable to Chinese tax authorities was $16,687 and $285,964, respectively. As of June 30, 2024, prepaid income taxes to US tax authorities and income tax payable to Chinese tax authorities was $31,496 and $276,158,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3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239,234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291,354</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248,254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171,942</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1,766</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131,467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155,860</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107,632</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110,391</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2,304,794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2,190,589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269,322</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258,352</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395,850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341,591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(85,054)</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(64,897)</w:t>
            </w:r>
          </w:p>
        </w:tc>
      </w:tr>
      <w:tr>
        <w:trPr>
          <w:trHeight w:val="230"/>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Allowance for credit loss</w:t>
            </w:r>
          </w:p>
        </w:tc>
        <w:tc>
          <w:tcPr>
            <w:tcW w:w="25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485,472</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40,067</w:t>
            </w:r>
          </w:p>
        </w:tc>
      </w:tr>
      <w:tr>
        <w:trPr>
          <w:trHeight w:val="209"/>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8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4,098,737</w:t>
            </w: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3,500,089</w:t>
            </w:r>
          </w:p>
        </w:tc>
        <w:tc>
          <w:tcPr>
            <w:tcW w:w="100" w:type="dxa"/>
            <w:vAlign w:val="bottom"/>
            <w:tcBorders>
              <w:bottom w:val="single" w:sz="8" w:color="EEEEEE"/>
            </w:tcBorders>
          </w:tcPr>
          <w:p>
            <w:pPr>
              <w:spacing w:after="0"/>
              <w:rPr>
                <w:sz w:val="18"/>
                <w:szCs w:val="18"/>
                <w:color w:val="auto"/>
              </w:rPr>
            </w:pPr>
          </w:p>
        </w:tc>
      </w:tr>
      <w:tr>
        <w:trPr>
          <w:trHeight w:val="210"/>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(74,059)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(77,287)</w:t>
            </w: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(934,153)</w:t>
            </w:r>
          </w:p>
        </w:tc>
        <w:tc>
          <w:tcPr>
            <w:tcW w:w="1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(977,197)</w:t>
            </w:r>
          </w:p>
        </w:tc>
      </w:tr>
      <w:tr>
        <w:trPr>
          <w:trHeight w:val="209"/>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(1,008,212</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(1,054,484</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02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3,090,525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2,445,605</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2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recorded $20,157 and $64,145 of valuation allowance to reduce deferred tax assets for the losses incurred by DHS.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19"/>
                <w:szCs w:val="19"/>
                <w:color w:val="auto"/>
              </w:rPr>
            </w:pPr>
          </w:p>
        </w:tc>
      </w:tr>
      <w:tr>
        <w:trPr>
          <w:trHeight w:val="210"/>
        </w:trPr>
        <w:tc>
          <w:tcPr>
            <w:tcW w:w="6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3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(2,029,281)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(1,286,515)</w:t>
            </w:r>
          </w:p>
        </w:tc>
      </w:tr>
      <w:tr>
        <w:trPr>
          <w:trHeight w:val="197"/>
        </w:trPr>
        <w:tc>
          <w:tcPr>
            <w:tcW w:w="6780" w:type="dxa"/>
            <w:vAlign w:val="bottom"/>
            <w:tcBorders>
              <w:top w:val="single" w:sz="8" w:color="EEEEEE"/>
            </w:tcBorders>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tcBorders>
              <w:top w:val="single" w:sz="8" w:color="EEEEEE"/>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earnings per share*</w:t>
            </w:r>
          </w:p>
        </w:tc>
        <w:tc>
          <w:tcPr>
            <w:tcW w:w="13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31,417,203</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29,764,515</w:t>
            </w:r>
          </w:p>
        </w:tc>
      </w:tr>
      <w:tr>
        <w:trPr>
          <w:trHeight w:val="197"/>
        </w:trPr>
        <w:tc>
          <w:tcPr>
            <w:tcW w:w="678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Losses per share of ordinary shares - basic and diluted</w:t>
            </w:r>
          </w:p>
        </w:tc>
        <w:tc>
          <w:tcPr>
            <w:tcW w:w="880" w:type="dxa"/>
            <w:vAlign w:val="bottom"/>
            <w:tcBorders>
              <w:top w:val="single" w:sz="8" w:color="EEEEEE"/>
              <w:bottom w:val="single" w:sz="8" w:color="EEEEEE"/>
            </w:tcBorders>
            <w:shd w:val="clear" w:color="auto" w:fill="EEEEEE"/>
          </w:tcPr>
          <w:p>
            <w:pPr>
              <w:spacing w:after="0"/>
              <w:rPr>
                <w:sz w:val="17"/>
                <w:szCs w:val="17"/>
                <w:color w:val="auto"/>
              </w:rPr>
            </w:pPr>
          </w:p>
        </w:tc>
        <w:tc>
          <w:tcPr>
            <w:tcW w:w="500" w:type="dxa"/>
            <w:vAlign w:val="bottom"/>
            <w:tcBorders>
              <w:top w:val="single" w:sz="8" w:color="auto"/>
              <w:bottom w:val="single" w:sz="8" w:color="auto"/>
            </w:tcBorders>
            <w:shd w:val="clear" w:color="auto" w:fill="EEEEEE"/>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EEEEEE"/>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line="282"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effect, the computation of basic and diluted EPS did not include the shares underlying the exercise of warrants, options, and unvested RSUs as the Company had a net loss for the three months ended September 30, 2024 and 2023.</w:t>
      </w:r>
    </w:p>
    <w:p>
      <w:pPr>
        <w:spacing w:after="0" w:line="161"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2024 and 2023, 71,343 and 66,366 vested but unissued shares of restricted stock units under the 2020 Equity Incentive Plan (as discussed in Note 14) are considered issued shares and therefore are included in the computation of basic losses per share when the shares are fully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June 30, 2024, the Company issued 107,293 shares of restricted Common Stock for RSUs vested.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(the “Registered Direct”) of 2,083,334 shares of common stock (the “Shares”) and a concurrent private placement (“Private Placement,” and together with the Registered Direct, the “Offering”) of warrants (the “Warrants”) to purchase 2,083,334 shares of common stock (the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$456,913, the Placement Agent’s fees and expenses and other direct offering costs paid by the Company, was $4,543,089.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Company calculated the fair value of the Warrants at $3.1 million, with a relative fair value of $1.7 million after allocation of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using the Black-Scholes Model with the following variables:</w:t>
      </w:r>
    </w:p>
    <w:p>
      <w:pPr>
        <w:spacing w:after="0" w:line="20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$2.00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$2.40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–5 years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4.24%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as disclosed in Note 17 below, in order to recoup the settlement payment made to Boustead Securities, LLC, the Company’s Chief Executive Officer and co-founder, Lawrence Tan, along with co-founder Allan Huang, returned a total of 541,667 shares to the Company for cancellation (the “Share Cancellation”). The Share Cancellation was completed in June 2024 and the par value of $542 was reduced against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June 30, 2024, there were 31,359,899 shares of Common Stock issued and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September 30, 2024 and June 30, 2024, respectively, there were no shares of Preferred Stock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and November 22,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completion of the IPO on May 11, 2021, pursuant to their letter agreements, the Company awarded 46,546 restricted stock units (“RSUs”) under the Plan to its independent directors, its Chief Financial Officer, and certain other employees and consultants, all of which vested over 12 months following the grant date and were subject to other restrictions until the filing of a Registration Statement on Form S-8 registering the shares. The fair value of the RSUs was determined based on $5.00 per share, the initial listing price of the Company’s Common Stock on the grant date. During the three months ended September 30, 2024, the Company granted an additional 71,427 shares of RSUs. For the three months ended September 30, 2024 and 2023, the Company recorded $31,788 and $7,500 of stock-based compensation expense. There was no forfeiture of RSUs occurred during the three months ended September 30, 2024 and 2023. As of September 30, 2024 and June 30, 2024, the unvested number of RSUs was 47,619 and 3,250 and the unamortized expense was $60,000 and $1,788,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Fair Market</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Value of RSUs</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Issued as</w:t>
            </w:r>
          </w:p>
        </w:tc>
      </w:tr>
      <w:tr>
        <w:trPr>
          <w:trHeight w:val="238"/>
        </w:trPr>
        <w:tc>
          <w:tcPr>
            <w:tcW w:w="1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 (1)</w:t>
            </w:r>
          </w:p>
        </w:tc>
      </w:tr>
      <w:tr>
        <w:trPr>
          <w:trHeight w:val="191"/>
        </w:trPr>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3,250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16"/>
        </w:trPr>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71,427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8"/>
        </w:trPr>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(27,058)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3"/>
        </w:trPr>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6940" w:space="720"/>
            <w:col w:w="3580"/>
          </w:cols>
          <w:pgMar w:left="320" w:top="796" w:right="339" w:bottom="1440" w:gutter="0" w:footer="0" w:header="0"/>
        </w:sectPr>
      </w:pPr>
    </w:p>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of the 357,212 vested RSUs, 285,869 shares of Common Stock were issued, and 71,343 shares were to be issued in the near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exercisable to purchase (i) 3,000,000 shares of Common Stock to Chenlong Tan, CEO and (ii) 330,000 shares of Common Stock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achievement status of the operational milestones as of September 30, 2024 was as follows:</w:t>
      </w:r>
    </w:p>
    <w:p>
      <w:pPr>
        <w:sectPr>
          <w:pgSz w:w="11900" w:h="16838" w:orient="portrait"/>
          <w:cols w:equalWidth="0" w:num="1">
            <w:col w:w="11240"/>
          </w:cols>
          <w:pgMar w:left="320" w:top="796" w:right="339" w:bottom="1440" w:gutter="0" w:footer="0" w:header="0"/>
          <w:type w:val="continuous"/>
        </w:sectPr>
      </w:pPr>
    </w:p>
    <w:p>
      <w:pPr>
        <w:spacing w:after="0" w:line="23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Revenue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46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4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Milestone</w:t>
            </w: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r>
      <w:tr>
        <w:trPr>
          <w:trHeight w:val="234"/>
        </w:trPr>
        <w:tc>
          <w:tcPr>
            <w:tcW w:w="1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(in Millions)</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Status</w:t>
            </w:r>
          </w:p>
        </w:tc>
      </w:tr>
      <w:tr>
        <w:trPr>
          <w:trHeight w:val="407"/>
        </w:trPr>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2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2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2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2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34"/>
        </w:trPr>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Income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80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20" w:type="dxa"/>
            <w:vAlign w:val="bottom"/>
            <w:tcBorders>
              <w:top w:val="single" w:sz="8" w:color="auto"/>
            </w:tcBorders>
          </w:tcPr>
          <w:p>
            <w:pPr>
              <w:jc w:val="right"/>
              <w:ind w:right="254"/>
              <w:spacing w:after="0" w:line="191" w:lineRule="exact"/>
              <w:rPr>
                <w:sz w:val="20"/>
                <w:szCs w:val="20"/>
                <w:color w:val="auto"/>
              </w:rPr>
            </w:pPr>
            <w:r>
              <w:rPr>
                <w:rFonts w:ascii="Times New Roman" w:cs="Times New Roman" w:eastAsia="Times New Roman" w:hAnsi="Times New Roman"/>
                <w:sz w:val="18"/>
                <w:szCs w:val="18"/>
                <w:color w:val="auto"/>
              </w:rPr>
              <w:t>Milestone</w:t>
            </w: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r>
      <w:tr>
        <w:trPr>
          <w:trHeight w:val="234"/>
        </w:trPr>
        <w:tc>
          <w:tcPr>
            <w:tcW w:w="1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Status</w:t>
            </w:r>
          </w:p>
        </w:tc>
      </w:tr>
      <w:tr>
        <w:trPr>
          <w:trHeight w:val="407"/>
        </w:trPr>
        <w:tc>
          <w:tcPr>
            <w:tcW w:w="1920" w:type="dxa"/>
            <w:vAlign w:val="bottom"/>
          </w:tcPr>
          <w:p>
            <w:pPr>
              <w:jc w:val="right"/>
              <w:ind w:right="1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20" w:type="dxa"/>
            <w:vAlign w:val="bottom"/>
          </w:tcPr>
          <w:p>
            <w:pPr>
              <w:jc w:val="right"/>
              <w:ind w:right="1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20" w:type="dxa"/>
            <w:vAlign w:val="bottom"/>
          </w:tcPr>
          <w:p>
            <w:pPr>
              <w:jc w:val="right"/>
              <w:ind w:right="1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20" w:type="dxa"/>
            <w:vAlign w:val="bottom"/>
          </w:tcPr>
          <w:p>
            <w:pPr>
              <w:jc w:val="right"/>
              <w:ind w:right="1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20" w:type="dxa"/>
            <w:vAlign w:val="bottom"/>
          </w:tcPr>
          <w:p>
            <w:pPr>
              <w:jc w:val="right"/>
              <w:ind w:right="1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20" w:type="dxa"/>
            <w:vAlign w:val="bottom"/>
          </w:tcPr>
          <w:p>
            <w:pPr>
              <w:jc w:val="right"/>
              <w:ind w:right="17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-822325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-548005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-273685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40" w:space="220"/>
            <w:col w:w="5580"/>
          </w:cols>
          <w:pgMar w:left="320" w:top="796" w:right="33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of the Option Grants was $3.2 million of which, at September 30, 2023, $2.3 million is deemed probable of vesting. As of September 30, 2024, none of the options had vested. For the three months ended September 30, 2024 and 2023, the Company recorded $110,382 and $110,382 of stock-based compensation expense related to the Option Grants. As of September 30, 2024, unrecognized compensation cost related to tranches probable of vesting is approximately $1.2 million and will be recognized over two years to nine years, depending on the tranche.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the board of directors (the “Board”) of the Company, based on the recommendation of the compensation committee of the Board, approved a grant of 1,200,000 stock options (the “2024 Stock Options”) issuable to Chenlong Tan, the Company’s Chief Executive Officer, pursuant to the terms of the iPower Inc. Amended and Restated 2020 Equity Incentive Plan (the “Plan”). Following the Board’s approval, Mr. Tan and the Company entered into a stock option award agreement (the "Stock Option Award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Stock Option Award Agreement, and subject to the terms and conditions of the Stock Option Award Agreement and the Plan, upon vesting of the 2024 Stock Options, Mr. Tan will have the option to purchase common stock, par value $0.001 per share of the Company, at an exercise price of $1.43 per share (which is 110% of the Fair Market Value of the stock on the grant date). The 2024 Stock Options have a term of 10 years and will vest as follows: 30,000 2024 Stock Options vested on the grant date (August 29, 2024), and 32,500 2024 Stock Options will vest on the first day of each month from September 1, 2024, to August 1,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grant date, a Black-Scholes Model was used to determine the fair value of the 2024 Stock Options with the following inputs: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$1.30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$1.43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–5.71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3.66%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total fair value of the 2024 Stock Options was $1.22 million as of the grant date. For the three months ended September 30, 2024, 62,500 stock options were vested and the Company recorded $63,790 as stock compensation expense. As of September 30, 2024, the unrecognized compensation cost of the 2024 Stock Options was approximately $1.16 million and will be recognized monthly through August 1, 2027.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15 – 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warrants held by the Convertible Note investors were reclassified to additional paid in capital as the terms became fixed upon closing of the IPO. Through September 30, 2023, none of the private placement investors exercised any of their warrants and the warrants expired in May 2024. As such, there were no warrants outstanding as of September 30, 2024 and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and June 30, 2024, $2,577,305 and $7,377,837, respectively, were deposited with various major financial institutions in the United States and PRC. Accounts at each institution in the United States are insured by the Federal Deposit Insurance Corporation (FDIC) for up to $250,000. The Company had approximately $1.4 million and $5.8 million, respectively, in excess of the FDIC insurance limit, as of September 30, 2024 and June 30,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Amazon Vendor and Amazon Seller customers accounted for 89% and 91% of the Company's total revenues, respectively. As of September 30, 2024 and June 30, 2024, accounts receivable from Amazon Vendor and Amazon Seller accounted for 87% and 91% of the Company’s total accounts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one supplier accounted for 11% and 15% of the Company's total purchases, respectively. As of September 30, 2024 and June 30, 2024, accounts payable to one supplier accounted for 20% and 36% of the Company’s total accounts payable.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 On December 21, 2023, the lease expired without renewal.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was $27,921 to $29,910 per month through October 31, 2023. On October 31, 2023, the lease expired without renewal.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did not start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is $56,000 to $59,410 per month through April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2024, DHS entered into a sublease agreement with a third-party entity for office space in Shenzhen. The lease term is for one year from October 1, 2024 to September 30, 2025. The lease is treated as short-term lease and the base rental fee is approximately $10,000 per month.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commitment for the full term of these leases is $12,651,376. The financial statements reflected $5,226,888 and $6,124,163, respectively, of operating lease right-of-use assets, and $5,632,824 and $6,549,110, respectively, of operating lease liabilities as of September 30, 2024 and June 30,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months Ended September 30, 2024 and 2023:</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9/30/2024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9/30/2023</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560" w:type="dxa"/>
            <w:vAlign w:val="bottom"/>
            <w:tcBorders>
              <w:bottom w:val="single" w:sz="8" w:color="EEEEEE"/>
            </w:tcBorders>
          </w:tcPr>
          <w:p>
            <w:pPr>
              <w:spacing w:after="0"/>
              <w:rPr>
                <w:sz w:val="2"/>
                <w:szCs w:val="2"/>
                <w:color w:val="auto"/>
              </w:rPr>
            </w:pPr>
          </w:p>
        </w:tc>
        <w:tc>
          <w:tcPr>
            <w:tcW w:w="5460" w:type="dxa"/>
            <w:vAlign w:val="bottom"/>
            <w:tcBorders>
              <w:bottom w:val="single" w:sz="8" w:color="EEEEEE"/>
            </w:tcBorders>
          </w:tcPr>
          <w:p>
            <w:pPr>
              <w:spacing w:after="0"/>
              <w:rPr>
                <w:sz w:val="2"/>
                <w:szCs w:val="2"/>
                <w:color w:val="auto"/>
              </w:rPr>
            </w:pPr>
          </w:p>
        </w:tc>
        <w:tc>
          <w:tcPr>
            <w:tcW w:w="88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10"/>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594,133</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792,826</w:t>
            </w:r>
          </w:p>
        </w:tc>
        <w:tc>
          <w:tcPr>
            <w:tcW w:w="100" w:type="dxa"/>
            <w:vAlign w:val="bottom"/>
            <w:shd w:val="clear" w:color="auto" w:fill="EEEEEE"/>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20" w:type="dxa"/>
            <w:vAlign w:val="bottom"/>
            <w:tcBorders>
              <w:bottom w:val="single" w:sz="8" w:color="auto"/>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9"/>
              </w:rPr>
              <w:t>Other information</w:t>
            </w:r>
          </w:p>
        </w:tc>
        <w:tc>
          <w:tcPr>
            <w:tcW w:w="5460" w:type="dxa"/>
            <w:vAlign w:val="bottom"/>
            <w:tcBorders>
              <w:bottom w:val="single" w:sz="8" w:color="EEEEEE"/>
            </w:tcBorders>
            <w:shd w:val="clear" w:color="auto" w:fill="EEEEEE"/>
          </w:tcPr>
          <w:p>
            <w:pPr>
              <w:spacing w:after="0"/>
              <w:rPr>
                <w:sz w:val="17"/>
                <w:szCs w:val="17"/>
                <w:color w:val="auto"/>
              </w:rPr>
            </w:pPr>
          </w:p>
        </w:tc>
        <w:tc>
          <w:tcPr>
            <w:tcW w:w="8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604,117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792,317</w:t>
            </w:r>
          </w:p>
        </w:tc>
      </w:tr>
      <w:tr>
        <w:trPr>
          <w:trHeight w:val="216"/>
        </w:trPr>
        <w:tc>
          <w:tcPr>
            <w:tcW w:w="6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0.58 – 3.67</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0.08 – 4.67</w:t>
            </w:r>
          </w:p>
        </w:tc>
      </w:tr>
      <w:tr>
        <w:trPr>
          <w:trHeight w:val="23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5 - 6%</w:t>
            </w:r>
          </w:p>
        </w:tc>
        <w:tc>
          <w:tcPr>
            <w:tcW w:w="2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9/30/2024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6/30/2024</w:t>
            </w:r>
          </w:p>
        </w:tc>
        <w:tc>
          <w:tcPr>
            <w:tcW w:w="100" w:type="dxa"/>
            <w:vAlign w:val="bottom"/>
          </w:tcPr>
          <w:p>
            <w:pPr>
              <w:spacing w:after="0"/>
              <w:rPr>
                <w:sz w:val="24"/>
                <w:szCs w:val="24"/>
                <w:color w:val="auto"/>
              </w:rPr>
            </w:pPr>
          </w:p>
        </w:tc>
      </w:tr>
      <w:tr>
        <w:trPr>
          <w:trHeight w:val="34"/>
        </w:trPr>
        <w:tc>
          <w:tcPr>
            <w:tcW w:w="1200" w:type="dxa"/>
            <w:vAlign w:val="bottom"/>
            <w:tcBorders>
              <w:top w:val="single" w:sz="8" w:color="auto"/>
              <w:bottom w:val="single" w:sz="8" w:color="EEEEEE"/>
            </w:tcBorders>
          </w:tcPr>
          <w:p>
            <w:pPr>
              <w:spacing w:after="0"/>
              <w:rPr>
                <w:sz w:val="2"/>
                <w:szCs w:val="2"/>
                <w:color w:val="auto"/>
              </w:rPr>
            </w:pPr>
          </w:p>
        </w:tc>
        <w:tc>
          <w:tcPr>
            <w:tcW w:w="646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76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asset - non-current</w:t>
            </w: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5,226,888</w:t>
            </w:r>
          </w:p>
        </w:tc>
        <w:tc>
          <w:tcPr>
            <w:tcW w:w="320" w:type="dxa"/>
            <w:vAlign w:val="bottom"/>
            <w:shd w:val="clear" w:color="auto" w:fill="EEEEEE"/>
          </w:tcPr>
          <w:p>
            <w:pPr>
              <w:spacing w:after="0"/>
              <w:rPr>
                <w:sz w:val="18"/>
                <w:szCs w:val="18"/>
                <w:color w:val="auto"/>
              </w:rPr>
            </w:pP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6,124,163</w:t>
            </w: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Lease Liability –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1,686,889</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2,039,301</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3,945,935</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4,509,809</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5,632,824</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6,549,110</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are as follows: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Operating</w:t>
            </w:r>
          </w:p>
        </w:tc>
      </w:tr>
      <w:tr>
        <w:trPr>
          <w:trHeight w:val="234"/>
        </w:trPr>
        <w:tc>
          <w:tcPr>
            <w:tcW w:w="9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Lease</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For Year ending June 30:</w:t>
            </w: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1,535,511</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1,533,918</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1,586,572</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1,459,409</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(482,586)</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5,632,824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As of September 30, 2023, the Company cannot reasonably estimate the amount of potential exposure.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2024, the Company and D.A. Davidson &amp; Co entered into a settlement agreement and mutual release (the “Settlement Agreement”) with Boustead Securities, LLC (“Boustead”) and its current and former employees, officers, directors, partners, agents and affiliates, pursuant to which all parties agreed to release all claims in exchange for the Company’s payment of $1.3 million (the “Settlement Amount”) to Boustead. The Settlement Agreement was entered into for purposes of settling in full the FINRA Arbitration (FINRA Case No. 22-01133) which had been brought by Boustead against the Company and D.A. Davidson after the Company opted not to complete its initial public offering with Boustead but instead engaged and completed its initial public offering with D.A. Davidson. Pursuant to the terms of the Settlement Agreement, the Company is required to pay the Settlement Amount in four equal installments of $325,000 on each of April 3, 2024, May 3, 2024, June 3, 2024 and July 3, 2024. Within five days of its receipt of the final payment, or by July 8, 2024, Boustead will be obligated to dismiss the FINRA Arbitration against the Company, with prejudice, after which time the Company will be required to dismiss, with prejudice, all counterclaims brought by the Company against Boustead. For the year ended June 30, 2024, the Company considered and concluded that the Settlement Amount of $1.3 million was incremental costs directly associated with the IPO under ASC 340-10-S99-1 and so recorded as offering costs against additional paid-in capital. As of June 30, 2024, the outstanding balance of the Settlement Amount was $325,000. As of September 30, 2024, the Settlement Amount had been paid off and the parties have formally withdrawn all of the complaints that were before FINRA, with prejudice, and the matter is settled in full.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entry into the Settlement Agreement, the Company’s CEO and co-founder, Chenlong Tan, and Allan Huang, also a co-founder of the Company, entered into a pledge agreement (the “Pledge Agreement”) with the Company pursuant to which they each pledged 1,300,000 shares of their iPower common stock, for a total of 2,600,000 shares (the “Pledged Shares”), in order that the Company may, from time to time, sell such Pledged Shares into the market on behalf of Messrs. Tan and Huang in order to recoup the Settlement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2024, calculating the shares at $2.40, Messrs. Tan and Huang returned a total of 541,667 shares as indemnification payment to the Company for cancellation (the “Share Cancellation”). The Share Cancellation was completed in June 2024.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unaudited condensed consolidated financial statements were available to be issued. Other than as set forth below, there were no material subsequent events that required recognition or additional disclosure in the unaudited condensed consolidated financial statements presented.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12529"/>
        </w:rPr>
        <w:t>Driven by tech and data, iPower Inc. is an online supplier of consumer goods, including hydroponics equipment, general gardening supplies, and consumer home goods. Through the operations of our e-commerce platforms and channel partners, our combined 121,000 square foot fulfillment centers in Rancho Cucamonga and Los Angeles,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212529"/>
        </w:rPr>
        <w:t xml:space="preserve">We are actively developing our in-house branded products and through supply chain partners, which to date include the </w:t>
      </w:r>
      <w:r>
        <w:rPr>
          <w:rFonts w:ascii="Times New Roman" w:cs="Times New Roman" w:eastAsia="Times New Roman" w:hAnsi="Times New Roman"/>
          <w:sz w:val="18"/>
          <w:szCs w:val="18"/>
          <w:b w:val="1"/>
          <w:bCs w:val="1"/>
          <w:i w:val="1"/>
          <w:iCs w:val="1"/>
          <w:color w:val="212529"/>
        </w:rPr>
        <w:t>iPower</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b w:val="1"/>
          <w:bCs w:val="1"/>
          <w:i w:val="1"/>
          <w:iCs w:val="1"/>
          <w:color w:val="212529"/>
        </w:rPr>
        <w:t>Simple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i w:val="1"/>
          <w:iCs w:val="1"/>
          <w:color w:val="212529"/>
        </w:rPr>
        <w:t xml:space="preserve">Deluxe </w:t>
      </w:r>
      <w:r>
        <w:rPr>
          <w:rFonts w:ascii="Times New Roman" w:cs="Times New Roman" w:eastAsia="Times New Roman" w:hAnsi="Times New Roman"/>
          <w:sz w:val="18"/>
          <w:szCs w:val="18"/>
          <w:color w:val="212529"/>
        </w:rPr>
        <w:t>brands and more, some of which have been designated as Amazon best seller product leaders and Amazon Choice products,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We plan to increase investments in product and brand development. We actively evaluate potential acquisition opportunities of companies and product brand names that can complement our product catalog and improve our existing products and supply chain efficiencies.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212529"/>
        </w:rPr>
        <w:t>Global Economic Disruption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12529"/>
        </w:rPr>
        <w:t>While at present the majority of our products are sourced either in the United States or China, the military conflicts between Russia and Ukraine and Israel and Hamas may nonetheless increase the likelihood of supply chain disruptions and hinder our ability to find the materials we need to make our products. Thus far, as a result of the general global economic disruptions, we have experienced a decrease in the speed with which we are able to purchase new inventory, as well as an increase in costs due to delays in shipping, the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Regulatory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12529"/>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Recent Developments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12529"/>
        </w:rPr>
        <w:t>On June 18, 2024, we closed on the registered direct offering (the “Offering”) of 2,083,334 shares of common stock (the “Shares”) and a concurrent private placement (the “Private Placement”) of warrants (“Warrants”) to purchase 2,083,334 shares of common stock (the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on September 29, 2023. The Warrants, which were issued pursuant to an exemption from registration under Section 4(a)(2) or Regulation D of the Securities Act of 1933, as amended (the “Securities Act”), have a term of five years and are immediately exercisable at $2.40 per share. The Shares and Warrants were sold to purchasers named on the signature page of a certain securities purchase agreement, dated June 16, 2024, between the Company and the purchaser (the “Purchase Agreement”). Roth Capital Partners, LLC acted as the placement agent, pursuant to a placement agency agreement. The Company paid compensation to the placement agent consisting of a cash fee equal to 6.5% of the gross proceeds of the Offering plus reimbursement of certain expenses and legal fees.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On July 9, 2024, as required by the Purchase Agreement, we filed a resale registration statement on Form S-1 with the SEC (the "Resale Form S-1"). Upon filing an amendment on July 23, 2024, the Resale Form S-1 was declared effective by the SEC on July 26,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2024 and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8"/>
                <w:szCs w:val="18"/>
                <w:color w:val="auto"/>
              </w:rPr>
            </w:pPr>
          </w:p>
        </w:tc>
        <w:tc>
          <w:tcPr>
            <w:tcW w:w="17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72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4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8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 – product sales</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18,275,412</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26,508,374</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Revenues – service income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733,109</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6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19,008,521</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26,508,374</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 – product costs</w:t>
            </w: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9,917,448</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14,749,529</w:t>
            </w:r>
          </w:p>
        </w:tc>
        <w:tc>
          <w:tcPr>
            <w:tcW w:w="1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service costs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603,176</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6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10,520,624</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14,749,529</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10"/>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8,487,897</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11,758,845</w:t>
            </w:r>
          </w:p>
        </w:tc>
        <w:tc>
          <w:tcPr>
            <w:tcW w:w="1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11,234,331</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13,027,522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(2,746,434)</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(1,268,677)</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77,805</w:t>
            </w:r>
          </w:p>
        </w:tc>
        <w:tc>
          <w:tcPr>
            <w:tcW w:w="160" w:type="dxa"/>
            <w:vAlign w:val="bottom"/>
          </w:tcPr>
          <w:p>
            <w:pPr>
              <w:spacing w:after="0"/>
              <w:rPr>
                <w:sz w:val="19"/>
                <w:szCs w:val="19"/>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(296,556)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(2,668,629)</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(1,565,233)</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636,512</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275,882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(2,032,117)</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(1,289,351)</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2,836</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2,836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(2,029,281)</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(1,286,515)</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(55,054)</w:t>
            </w:r>
          </w:p>
        </w:tc>
        <w:tc>
          <w:tcPr>
            <w:tcW w:w="160" w:type="dxa"/>
            <w:vAlign w:val="bottom"/>
          </w:tcPr>
          <w:p>
            <w:pPr>
              <w:spacing w:after="0"/>
              <w:rPr>
                <w:sz w:val="19"/>
                <w:szCs w:val="19"/>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7687.0%</w:t>
            </w:r>
          </w:p>
        </w:tc>
      </w:tr>
      <w:tr>
        <w:trPr>
          <w:trHeight w:val="223"/>
        </w:trPr>
        <w:tc>
          <w:tcPr>
            <w:tcW w:w="4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(2,084,335</w:t>
            </w:r>
          </w:p>
        </w:tc>
        <w:tc>
          <w:tcPr>
            <w:tcW w:w="340" w:type="dxa"/>
            <w:vAlign w:val="bottom"/>
            <w:tcBorders>
              <w:top w:val="single" w:sz="8" w:color="EEEEEE"/>
              <w:bottom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(1,287,222</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 – product sales</w:t>
            </w: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44.4%</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 of revenues – service income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(4.8%)</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 of revenues</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0"/>
                <w:szCs w:val="20"/>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September 30, 2024 decreased 28.3% to $19,008,521 as compared to $26,508,374 for the three months ended September 30, 2023. While pricing remained stable and with the additional logistics service income, the decrease was mainly due to the combination of decreased orders from Amazon and temporary disruption of product supply during the quarter ended September 30, 2024 and the increased sales generated from promotional activities in the same quarter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Costs of goods sold for the three months ended September 30, 2024 decreased 28.7% to $10,520,624 as compared to $14,749,529 for the three months ended September 30, 2023. The decrease was primarily due to a combination of the costs related to the logistics service income and the decrease in sales, freight costs, and lowered product costs resulted from management’s efforts on supply chain management.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$8,487,897 for the three months ended September 30, 2024 as compared to $11,758,845 for the three months ended September 30, 2023. The gross profit ratio of the product sales revenues increased to 45.7% for the three months ended September 30, 2024 from 44.4% for the three months ended September 30, 2023. The increase in the gross profit ratio was mainly driven by the decrease in costs of goods sold during the three months ended September 30, 2024,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2024 decreased 13.8% to $11,234,331 as compared to $13,027,522 for the three months ended September 30, 2023. The decrease was mainly due to the combination of a decrease in selling and fulfillment expenses of $4.1 million as a result of decreased costs related to advertising, merchant fees, rental expenses and delivery fees, and an increase in general and administrative expenses of $2.4 million, which included payroll expenses, stock-based compensation expense, insurance expenses, allowance for credit losses, travel expenses and other operating expenses. The increase in general and administrative expenses was mainly due to the expansion of our vendor network and development of the SuperSuite platform and an increased allowance for credit loss and inventory reserves of $1.76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Loss from operations was $2,746,434 for the three months ended September 30, 2024 as compared to $1,268,677 for the three months ended September 30, 2023. The increase in loss resulted from the decrease in sales being greater than the decrease in operating expenses and the increase in gross profit ratio.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(expenses) consist of interest expense and other non-operating income (expenses). Other income (expenses) for the three months ended September 30, 2024 was $77,805 as compared to $(296,556) for the three months ended September 30, 2023. The increase in other income (expenses) was mainly due to the combination of an increase in other non-operating income of $285,852, and a decrease in interest, including amortization of debt discount, on the revolving loan of $88,403 during the three months ended September 30, 2024 resulted from the decreasing loan balance.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three months ended September 30, 2024 was $2,029,281 as compared to $1,286,515 for the three months ended September 30, 2023, representing an increase in net loss of $742,766. The increase was primarily due to the decrease in sales being greater than the decrease in operating expenses and the increase in gross profit ratio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three months ended September 30, 2024 was $2,084,335 as compared to $1,287,222 for the three months ended September 30, 2023, representing an increase in comprehensive loss of $797,113. The increase was due to the reasons discussed above, along with an increase in other comprehensive loss of $54,347 as a result of foreign currency translation adjustments resulting from the translation of RMB, the functional currency of our VIE in the PRC, to USD, the reporting currency of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Sources of Liquidity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During the three months ended September 30, 2024, we primarily funded our operations with cash and cash equivalents generated from operations, as well as through borrowing under our credit facility from JPMorgan Chase Bank (“JPM”). Additionally, on June 18, 2024, we closed on the registered direct offering of 2,083,334 Shares and a concurrent Private Placement of Warrants to purchase up to 2,083,334 Warrant Shares, which Shares and Warrants were sold for gross aggregate proceeds of $5,000,002. As of September 30, 2024, we had cash and cash equivalents of $2,577,305, representing a $4,800,532 decrease from $7,377,837 in cash as of June 30, 2024. The cash decrease was primarily due to the result of </w:t>
      </w:r>
      <w:r>
        <w:rPr>
          <w:rFonts w:ascii="Times New Roman" w:cs="Times New Roman" w:eastAsia="Times New Roman" w:hAnsi="Times New Roman"/>
          <w:sz w:val="18"/>
          <w:szCs w:val="18"/>
          <w:color w:val="000000"/>
        </w:rPr>
        <w:t>cash used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operating activities </w:t>
      </w:r>
      <w:r>
        <w:rPr>
          <w:rFonts w:ascii="Times New Roman" w:cs="Times New Roman" w:eastAsia="Times New Roman" w:hAnsi="Times New Roman"/>
          <w:sz w:val="18"/>
          <w:szCs w:val="18"/>
          <w:color w:val="212529"/>
        </w:rPr>
        <w:t>and financing activities resulting from our payments to pay down the short-term loans - related party and the JPM revolving line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credit.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Based on our current operating plans, we believe that our existing cash and cash equivalents and cash flows from operations will be sufficient to finance our operations during the next 12 months.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$11.0 million in unused credit under the revolving line with JPM. Given our current working capital position and available funding from our revolving credit line, we believe we will be able to manage through the current challenges by managing payment terms with customers and vendors.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Given our current working capital position and available funding from our revolving credit line and proceeds from our June Registered Direct offering, we believe we will be able to work through the current challenges by managing payment terms with customers and vendors.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Working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As of September 30, 2024 and June 30, 2024, our working capital was $12.2 million and $11.2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Operating Activities</w:t>
      </w:r>
    </w:p>
    <w:p>
      <w:pPr>
        <w:spacing w:after="0" w:line="22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Our largest source of cash provided by operations is from sales of products. Our primary uses of cash from operating activities include payments to suppliers for products, to employees for compensation, and other general expenses. Net cash (used in) provided by operating activities for the three months ended September 30, 2024 and 2023 was $(1,415,643) and $4,052,341, respectively. The decrease in cash provided by operating activities mainly resulted from a decrease in cash received from customers and an increase in cash paid for cost of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212529"/>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September 30, 2024 and 2023 was $202,140 and $0, respectively. The increase was due to the prepayments made for software developments during the quarter ended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Financing Activities</w:t>
      </w:r>
    </w:p>
    <w:p>
      <w:pPr>
        <w:spacing w:after="0" w:line="227" w:lineRule="exact"/>
        <w:rPr>
          <w:sz w:val="20"/>
          <w:szCs w:val="20"/>
          <w:color w:val="auto"/>
        </w:rPr>
      </w:pPr>
    </w:p>
    <w:p>
      <w:pPr>
        <w:jc w:val="both"/>
        <w:ind w:right="20" w:firstLine="720"/>
        <w:spacing w:after="0" w:line="282" w:lineRule="auto"/>
        <w:rPr>
          <w:sz w:val="20"/>
          <w:szCs w:val="20"/>
          <w:color w:val="auto"/>
        </w:rPr>
      </w:pPr>
      <w:r>
        <w:rPr>
          <w:rFonts w:ascii="Times New Roman" w:cs="Times New Roman" w:eastAsia="Times New Roman" w:hAnsi="Times New Roman"/>
          <w:sz w:val="18"/>
          <w:szCs w:val="18"/>
          <w:color w:val="212529"/>
        </w:rPr>
        <w:t>Net cash used in financing activities was $3,308,599 and $5,075,000, respectively, for the three months ended September 30, 2024 and 2023. The decrease in net cash used in financing activities was primarily due to a decrease in payments on the revolving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212529"/>
        </w:rPr>
        <w:t>Payments received prior to the delivery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 expected loss rate and status of negotiations with the sales channel partner, management reviews its accounts receivable balances each reporting period to determine if an allowance for credit loss is required.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customer fails to comply with its payment schedule;</w:t>
      </w:r>
    </w:p>
    <w:p>
      <w:pPr>
        <w:spacing w:after="0" w:line="225" w:lineRule="exact"/>
        <w:rPr>
          <w:rFonts w:ascii="Times New Roman" w:cs="Times New Roman" w:eastAsia="Times New Roman" w:hAnsi="Times New Roman"/>
          <w:sz w:val="18"/>
          <w:szCs w:val="18"/>
          <w:color w:val="212529"/>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customer is in serious financial difficulty;</w:t>
      </w:r>
    </w:p>
    <w:p>
      <w:pPr>
        <w:spacing w:after="0" w:line="225" w:lineRule="exact"/>
        <w:rPr>
          <w:rFonts w:ascii="Times New Roman" w:cs="Times New Roman" w:eastAsia="Times New Roman" w:hAnsi="Times New Roman"/>
          <w:sz w:val="18"/>
          <w:szCs w:val="18"/>
          <w:color w:val="212529"/>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212529"/>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customer breaches any of its contractual obligations;</w:t>
      </w:r>
    </w:p>
    <w:p>
      <w:pPr>
        <w:spacing w:after="0" w:line="225" w:lineRule="exact"/>
        <w:rPr>
          <w:rFonts w:ascii="Times New Roman" w:cs="Times New Roman" w:eastAsia="Times New Roman" w:hAnsi="Times New Roman"/>
          <w:sz w:val="18"/>
          <w:szCs w:val="18"/>
          <w:color w:val="212529"/>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212529"/>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business between the customer and the Company is not active; and</w:t>
      </w:r>
    </w:p>
    <w:p>
      <w:pPr>
        <w:spacing w:after="0" w:line="225" w:lineRule="exact"/>
        <w:rPr>
          <w:rFonts w:ascii="Times New Roman" w:cs="Times New Roman" w:eastAsia="Times New Roman" w:hAnsi="Times New Roman"/>
          <w:sz w:val="18"/>
          <w:szCs w:val="18"/>
          <w:color w:val="212529"/>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other objective evidence indicates non-collectability of the accounts receivable.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12529"/>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 In late October 2024, the Company determined that the collectability of certain shortage claim receivables from Amazon was remote so the Company recorded additional allowance for credit losses of approximately $1.5 million for the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212529"/>
        </w:rPr>
        <w:t>Inventory, net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 costs and reflected in selling and fulfillment expenses. The Company regularly review inventory and consider forecasts of future demand, market conditions and product obsolescence.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Variable interest entities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12529"/>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Goodwill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212529"/>
        </w:rPr>
        <w:t>ASC Topic 350, Intangibles-Goodwill and Other</w:t>
      </w:r>
      <w:r>
        <w:rPr>
          <w:rFonts w:ascii="Times New Roman" w:cs="Times New Roman" w:eastAsia="Times New Roman" w:hAnsi="Times New Roman"/>
          <w:sz w:val="18"/>
          <w:szCs w:val="18"/>
          <w:color w:val="212529"/>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12529"/>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During the three months ended September 30, 2024 and 2023, the Company performed a qualitative and quantitative goodwill impairment analysis following the steps laid out in ASC 350-20-35-3C and noted no goodwill impairment. As of September 30, 2024 and 2023, the goodwill balance amounted to $3,034,110 and $3,034,110,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Finite life intangible assets at September 30, 2024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EEEEEE"/>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w w:val="99"/>
              </w:rPr>
              <w:t>Useful Life</w:t>
            </w:r>
          </w:p>
        </w:tc>
      </w:tr>
      <w:tr>
        <w:trPr>
          <w:trHeight w:val="209"/>
        </w:trPr>
        <w:tc>
          <w:tcPr>
            <w:tcW w:w="4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212529"/>
              </w:rPr>
              <w:t>Covenant Not to Compete</w:t>
            </w:r>
          </w:p>
        </w:tc>
        <w:tc>
          <w:tcPr>
            <w:tcW w:w="28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212529"/>
              </w:rPr>
              <w:t>10 years</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212529"/>
              </w:rPr>
              <w:t>Supplier relationship</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7"/>
              </w:rPr>
              <w:t>6 years</w:t>
            </w:r>
          </w:p>
        </w:tc>
      </w:tr>
      <w:tr>
        <w:trPr>
          <w:trHeight w:val="216"/>
        </w:trPr>
        <w:tc>
          <w:tcPr>
            <w:tcW w:w="4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212529"/>
              </w:rPr>
              <w:t>Software</w:t>
            </w:r>
          </w:p>
        </w:tc>
        <w:tc>
          <w:tcPr>
            <w:tcW w:w="28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212529"/>
                <w:w w:val="97"/>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12529"/>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September 30, 2024, there were no indicators of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12529"/>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Company will recognize forfeitures of such equity-based compensation as they occur.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212529"/>
        </w:rPr>
        <w:t>Income taxes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Recently issued accounting pronouncements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our controls related to the financial statement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September 30, 2024 that have materially affected, or are reasonably likely to materially affect, our internal controls over financial reporting.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UHY LLP, our independent registered public accounting firm, is not required to and has not provided an assessment concerning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presently party to any pending or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12529"/>
        </w:rPr>
        <w:t>quarter ended</w:t>
      </w:r>
      <w:r>
        <w:rPr>
          <w:rFonts w:ascii="Times New Roman" w:cs="Times New Roman" w:eastAsia="Times New Roman" w:hAnsi="Times New Roman"/>
          <w:sz w:val="18"/>
          <w:szCs w:val="18"/>
          <w:color w:val="auto"/>
        </w:rPr>
        <w:t xml:space="preserve">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60" w:type="dxa"/>
            <w:vAlign w:val="bottom"/>
          </w:tcPr>
          <w:p>
            <w:pPr>
              <w:spacing w:after="0"/>
              <w:rPr>
                <w:sz w:val="17"/>
                <w:szCs w:val="17"/>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top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May 5, 2021).</w:t>
            </w:r>
          </w:p>
        </w:tc>
        <w:tc>
          <w:tcPr>
            <w:tcW w:w="4880" w:type="dxa"/>
            <w:vAlign w:val="bottom"/>
            <w:gridSpan w:val="3"/>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6"/>
                <w:szCs w:val="16"/>
                <w:color w:val="auto"/>
              </w:rPr>
            </w:pPr>
          </w:p>
        </w:tc>
        <w:tc>
          <w:tcPr>
            <w:tcW w:w="10000" w:type="dxa"/>
            <w:vAlign w:val="bottom"/>
            <w:gridSpan w:val="10"/>
          </w:tcPr>
          <w:p>
            <w:pPr>
              <w:ind w:left="20"/>
              <w:spacing w:after="0" w:line="19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 xml:space="preserve">Second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2 the Registration</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Statement on Form S-1 filed April 27, 2021).</w:t>
            </w:r>
          </w:p>
        </w:tc>
        <w:tc>
          <w:tcPr>
            <w:tcW w:w="5980" w:type="dxa"/>
            <w:vAlign w:val="bottom"/>
            <w:gridSpan w:val="5"/>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212529"/>
              </w:rPr>
              <w:t>4.1</w:t>
            </w:r>
          </w:p>
        </w:tc>
        <w:tc>
          <w:tcPr>
            <w:tcW w:w="360" w:type="dxa"/>
            <w:vAlign w:val="bottom"/>
          </w:tcPr>
          <w:p>
            <w:pPr>
              <w:spacing w:after="0"/>
              <w:rPr>
                <w:sz w:val="16"/>
                <w:szCs w:val="16"/>
                <w:color w:val="auto"/>
              </w:rPr>
            </w:pPr>
          </w:p>
        </w:tc>
        <w:tc>
          <w:tcPr>
            <w:tcW w:w="10000" w:type="dxa"/>
            <w:vAlign w:val="bottom"/>
            <w:gridSpan w:val="10"/>
          </w:tcPr>
          <w:p>
            <w:pPr>
              <w:ind w:left="20"/>
              <w:spacing w:after="0" w:line="19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 xml:space="preserve">Certificate of Designation of Series A Convertible Preferred Stock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Registration Statement</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20" w:type="dxa"/>
            <w:vAlign w:val="bottom"/>
            <w:tcBorders>
              <w:top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auto"/>
              </w:rPr>
              <w:t>on Form S-1 filed February 1, 2021).</w:t>
            </w:r>
          </w:p>
        </w:tc>
        <w:tc>
          <w:tcPr>
            <w:tcW w:w="5180" w:type="dxa"/>
            <w:vAlign w:val="bottom"/>
            <w:gridSpan w:val="4"/>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212529"/>
              </w:rPr>
              <w:t>4.2</w:t>
            </w:r>
          </w:p>
        </w:tc>
        <w:tc>
          <w:tcPr>
            <w:tcW w:w="360" w:type="dxa"/>
            <w:vAlign w:val="bottom"/>
          </w:tcPr>
          <w:p>
            <w:pPr>
              <w:spacing w:after="0"/>
              <w:rPr>
                <w:sz w:val="16"/>
                <w:szCs w:val="16"/>
                <w:color w:val="auto"/>
              </w:rPr>
            </w:pPr>
          </w:p>
        </w:tc>
        <w:tc>
          <w:tcPr>
            <w:tcW w:w="10000" w:type="dxa"/>
            <w:vAlign w:val="bottom"/>
            <w:gridSpan w:val="10"/>
          </w:tcPr>
          <w:p>
            <w:pPr>
              <w:ind w:left="20"/>
              <w:spacing w:after="0" w:line="19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 xml:space="preserve">Form of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Current Report on Form 8-K filed June 18, 2024).</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920" w:type="dxa"/>
            <w:vAlign w:val="bottom"/>
            <w:gridSpan w:val="5"/>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Third Amendment to Credit Agreement, dated November 8, 2024, by and between iPower Inc., its subsidiaries and JPMorgan Chase</w:t>
              </w:r>
            </w:hyperlink>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80" w:type="dxa"/>
            <w:vAlign w:val="bottom"/>
            <w:tcBorders>
              <w:top w:val="single" w:sz="8" w:color="0000EE"/>
            </w:tcBorders>
            <w:gridSpan w:val="9"/>
          </w:tcPr>
          <w:p>
            <w:pPr>
              <w:ind w:left="20"/>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 xml:space="preserve">Bank, N.A. </w:t>
              </w:r>
              <w:r>
                <w:rPr>
                  <w:rFonts w:ascii="Times New Roman" w:cs="Times New Roman" w:eastAsia="Times New Roman" w:hAnsi="Times New Roman"/>
                  <w:sz w:val="18"/>
                  <w:szCs w:val="18"/>
                  <w:color w:val="000000"/>
                </w:rPr>
                <w:t>(incorporated by reference to Exhibit 10.1 to the Current Report on Form 8-K filed November 13, 2024).</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17"/>
                <w:szCs w:val="17"/>
                <w:color w:val="auto"/>
              </w:rPr>
            </w:pPr>
          </w:p>
        </w:tc>
        <w:tc>
          <w:tcPr>
            <w:tcW w:w="100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Certification of Chief Executive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80" w:type="dxa"/>
            <w:vAlign w:val="bottom"/>
            <w:gridSpan w:val="6"/>
            <w:shd w:val="clear" w:color="auto" w:fill="0000EE"/>
          </w:tcPr>
          <w:p>
            <w:pPr>
              <w:spacing w:after="0" w:line="20" w:lineRule="exact"/>
              <w:rPr>
                <w:sz w:val="1"/>
                <w:szCs w:val="1"/>
                <w:color w:val="auto"/>
              </w:rPr>
            </w:pPr>
          </w:p>
        </w:tc>
        <w:tc>
          <w:tcPr>
            <w:tcW w:w="2860" w:type="dxa"/>
            <w:vAlign w:val="bottom"/>
            <w:tcBorders>
              <w:left w:val="single" w:sz="8" w:color="0000EE"/>
            </w:tcBorders>
            <w:gridSpan w:val="2"/>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7"/>
                <w:szCs w:val="17"/>
                <w:color w:val="auto"/>
              </w:rPr>
            </w:pPr>
          </w:p>
        </w:tc>
        <w:tc>
          <w:tcPr>
            <w:tcW w:w="100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Certification of Chief Financial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80" w:type="dxa"/>
            <w:vAlign w:val="bottom"/>
            <w:gridSpan w:val="6"/>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17"/>
                <w:szCs w:val="17"/>
                <w:color w:val="auto"/>
              </w:rPr>
            </w:pPr>
          </w:p>
        </w:tc>
        <w:tc>
          <w:tcPr>
            <w:tcW w:w="1000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140" w:type="dxa"/>
            <w:vAlign w:val="bottom"/>
            <w:gridSpan w:val="8"/>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17"/>
                <w:szCs w:val="17"/>
                <w:color w:val="auto"/>
              </w:rPr>
            </w:pPr>
          </w:p>
        </w:tc>
        <w:tc>
          <w:tcPr>
            <w:tcW w:w="1000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Act of 2002</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140" w:type="dxa"/>
            <w:vAlign w:val="bottom"/>
            <w:gridSpan w:val="8"/>
          </w:tcPr>
          <w:p>
            <w:pPr>
              <w:spacing w:after="0" w:line="20" w:lineRule="exact"/>
              <w:rPr>
                <w:sz w:val="1"/>
                <w:szCs w:val="1"/>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Data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18"/>
                <w:szCs w:val="18"/>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364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iPower Inc.</w:t>
            </w:r>
          </w:p>
        </w:tc>
        <w:tc>
          <w:tcPr>
            <w:tcW w:w="406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3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/s/ Chenlong Tan</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tcPr>
          <w:p>
            <w:pPr>
              <w:jc w:val="center"/>
              <w:ind w:right="910"/>
              <w:spacing w:after="0" w:line="191" w:lineRule="exact"/>
              <w:rPr>
                <w:sz w:val="20"/>
                <w:szCs w:val="20"/>
                <w:color w:val="auto"/>
              </w:rPr>
            </w:pPr>
            <w:r>
              <w:rPr>
                <w:rFonts w:ascii="Times New Roman" w:cs="Times New Roman" w:eastAsia="Times New Roman" w:hAnsi="Times New Roman"/>
                <w:sz w:val="18"/>
                <w:szCs w:val="18"/>
                <w:color w:val="auto"/>
                <w:w w:val="99"/>
              </w:rPr>
              <w:t>Chenlong Tan</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c>
          <w:tcPr>
            <w:tcW w:w="3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/s/ Kevin Vassily</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tcPr>
          <w:p>
            <w:pPr>
              <w:jc w:val="center"/>
              <w:ind w:right="890"/>
              <w:spacing w:after="0" w:line="191" w:lineRule="exact"/>
              <w:rPr>
                <w:sz w:val="20"/>
                <w:szCs w:val="20"/>
                <w:color w:val="auto"/>
              </w:rPr>
            </w:pPr>
            <w:r>
              <w:rPr>
                <w:rFonts w:ascii="Times New Roman" w:cs="Times New Roman" w:eastAsia="Times New Roman" w:hAnsi="Times New Roman"/>
                <w:sz w:val="18"/>
                <w:szCs w:val="18"/>
                <w:color w:val="auto"/>
                <w:w w:val="97"/>
              </w:rPr>
              <w:t>Kevin Vassily</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firstLine="526"/>
        <w:spacing w:after="0" w:line="282"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September 30, 2024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Kevin Vassily, certify that:</w:t>
      </w:r>
    </w:p>
    <w:p>
      <w:pPr>
        <w:spacing w:after="0" w:line="225" w:lineRule="exact"/>
        <w:rPr>
          <w:sz w:val="20"/>
          <w:szCs w:val="20"/>
          <w:color w:val="auto"/>
        </w:rPr>
      </w:pPr>
    </w:p>
    <w:p>
      <w:pPr>
        <w:ind w:firstLine="526"/>
        <w:spacing w:after="0" w:line="28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September 30, 2024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Vassily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iPower Inc. (the “Company”) on Form 10-Q pursuant to Rule 15d-2 under the Securities Exchange Act of 1934 for the period ended September 30, 2024,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58"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14, 2024</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pursuant to Rule 15d-2 under the Securities Exchange Act of 1934 for the period ended September 30, 2024,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14, 2024</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Ø"/>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91" Type="http://schemas.openxmlformats.org/officeDocument/2006/relationships/hyperlink" Target="http://www.sec.gov/Archives/edgar/data/1830072/000168316821001774/ipower_ex0303.htm" TargetMode="External"/><Relationship Id="rId92" Type="http://schemas.openxmlformats.org/officeDocument/2006/relationships/hyperlink" Target="http://www.sec.gov/Archives/edgar/data/1830072/000168316821001556/ipower_ex0303.htm" TargetMode="External"/><Relationship Id="rId93" Type="http://schemas.openxmlformats.org/officeDocument/2006/relationships/hyperlink" Target="http://www.sec.gov/Archives/edgar/data/1830072/000168316821000335/ipower_ex0401.htm" TargetMode="External"/><Relationship Id="rId94" Type="http://schemas.openxmlformats.org/officeDocument/2006/relationships/hyperlink" Target="http://www.sec.gov/Archives/edgar/data/1830072/000168316824004323/ipower_ex0401.htm" TargetMode="External"/><Relationship Id="rId95" Type="http://schemas.openxmlformats.org/officeDocument/2006/relationships/hyperlink" Target="https://www.sec.gov/Archives/edgar/data/1830072/000168316824007934/ipower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2024-11-14T16:02:53Z</dcterms:created>
  <dcterms:modified xsi:type="dcterms:W3CDTF">2024-11-14T16:02:53Z</dcterms:modified>
</cp:coreProperties>
</file>