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left="3460"/>
        <w:spacing w:after="0"/>
        <w:rPr>
          <w:sz w:val="20"/>
          <w:szCs w:val="20"/>
          <w:color w:val="auto"/>
        </w:rPr>
      </w:pPr>
      <w:r>
        <w:rPr>
          <w:rFonts w:ascii="Times New Roman" w:cs="Times New Roman" w:eastAsia="Times New Roman" w:hAnsi="Times New Roman"/>
          <w:sz w:val="18"/>
          <w:szCs w:val="18"/>
          <w:b w:val="1"/>
          <w:bCs w:val="1"/>
          <w:color w:val="auto"/>
        </w:rPr>
        <w:t>Up to 8,089,888 Shares of Common Stock Underlying</w:t>
      </w:r>
    </w:p>
    <w:p>
      <w:pPr>
        <w:spacing w:after="0" w:line="31" w:lineRule="exact"/>
        <w:rPr>
          <w:sz w:val="24"/>
          <w:szCs w:val="24"/>
          <w:color w:val="auto"/>
        </w:rPr>
      </w:pPr>
    </w:p>
    <w:p>
      <w:pPr>
        <w:jc w:val="center"/>
        <w:ind w:left="3460"/>
        <w:spacing w:after="0"/>
        <w:rPr>
          <w:sz w:val="20"/>
          <w:szCs w:val="20"/>
          <w:color w:val="auto"/>
        </w:rPr>
      </w:pPr>
      <w:r>
        <w:rPr>
          <w:rFonts w:ascii="Times New Roman" w:cs="Times New Roman" w:eastAsia="Times New Roman" w:hAnsi="Times New Roman"/>
          <w:sz w:val="17"/>
          <w:szCs w:val="17"/>
          <w:b w:val="1"/>
          <w:bCs w:val="1"/>
          <w:color w:val="auto"/>
        </w:rPr>
        <w:t>$3,000,000 of Series A Senior Secured Convertible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150495</wp:posOffset>
            </wp:positionV>
            <wp:extent cx="171450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386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firstLine="509"/>
        <w:spacing w:after="0" w:line="317" w:lineRule="auto"/>
        <w:rPr>
          <w:sz w:val="20"/>
          <w:szCs w:val="20"/>
          <w:color w:val="auto"/>
        </w:rPr>
      </w:pPr>
      <w:r>
        <w:rPr>
          <w:rFonts w:ascii="Times New Roman" w:cs="Times New Roman" w:eastAsia="Times New Roman" w:hAnsi="Times New Roman"/>
          <w:sz w:val="17"/>
          <w:szCs w:val="17"/>
          <w:b w:val="1"/>
          <w:bCs w:val="1"/>
          <w:color w:val="auto"/>
        </w:rPr>
        <w:t>Filed Pursuant to Rule 424(b)(3) Registration Statement No. 333-299480</w:t>
      </w:r>
    </w:p>
    <w:p>
      <w:pPr>
        <w:spacing w:after="0" w:line="1021" w:lineRule="exact"/>
        <w:rPr>
          <w:sz w:val="24"/>
          <w:szCs w:val="24"/>
          <w:color w:val="auto"/>
        </w:rPr>
      </w:pPr>
    </w:p>
    <w:p>
      <w:pPr>
        <w:sectPr>
          <w:pgSz w:w="11900" w:h="16838" w:orient="portrait"/>
          <w:cols w:equalWidth="0" w:num="2">
            <w:col w:w="7780" w:space="460"/>
            <w:col w:w="3000"/>
          </w:cols>
          <w:pgMar w:left="320" w:top="22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registration statement relates to the resale, from time to time, by a certain institutional investor or its permitted transferees (the “Investor” or “Selling Stockholder”) of up to an aggregate of 8,089,888 shares (the “Shares”) of common stock, par value $0.001 per share (the “common stock”), of iPower Inc. (the “Company”), upon conversion of $3,000,000 of Series A secured convertible notes, including interest due thereunder, issued pursuant to the Purchase Agreement (as defined below) (the “Series A Convertible Note”). The Shares issuable upon conversion of the Series A Convertible Notes are calculated using an assumed floor price equal to 20% of the Nasdaq closing price on October 29, 2026, or $0.445.</w:t>
      </w:r>
    </w:p>
    <w:p>
      <w:pPr>
        <w:spacing w:after="0" w:line="183"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2025, the Company entered into the certain securities purchase agreement (the “Purchase Agreement”), by and between the Company and the Investor, providing for the purchase by the Investor of (i) up to $30,000,000 6% original issue discount convertible notes facility, with an initial closing of $5,184,024 principal amount of Series A Convertible Notes on December 23, 2025 sold in reliance on an exemption from registration statement afforded by Section 4(a)(2) of the Securities Act of 1933, as amended (the “Securities Act”), and Rule 506(b) of Regulation D of the Securities Act, and (ii) $1,815,976 principal amount of series B senior secured convertible notes sold pursuant to an effective registration statement on Form S-3 (SEC File No. 333-274655). The Company then registered $28,184,024 of shares of common stock underlying the Series A Notes on Form S-1 (File No. 333-292682), as amended pursuant to Form S-1MEF (File No. 333-295172), with such Series A Convertible Notes to be issuable from time to time upon sale to the Investor, first as an additional mandatory closing and, thereafter, additional optional closings. Thereafter, following the reverse stock splits described below, the Company filed an additional registration statement on Form S-1 (File No. 333-297399) to re-register the securities issuable under the Series A Notes issued as of August 2026. The Company is now filing this registration statement to register shares underlying the Series A Convertible Note issued on September 15, 2026.</w:t>
      </w:r>
    </w:p>
    <w:p>
      <w:pPr>
        <w:spacing w:after="0" w:line="19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the Company has sold an aggregate total original principal amount of $15,184,024 in Series A Convertible Notes to the Investor, with $15,000,000 of aggregate original principal amount of Series A Convertible Notes remaining available for issuance. To date, the Investor has converted a total of $11,941,224 of the Series A Convertible Notes, resulting in the conversion of a total of 427,960 shares of common stock at an average per share conversion price of $27.90 on a post-reverse stock split basis (accounting for a 1-for-8 reverse stock split effectuated May 22, 2026, a 1-for-9 reverse stock split effectuated August 7, 2026, and a 1-for-12 reverse stock split effectuated October 26, 2026). During this time, we did not convert using the Floor Price, as defined in the Series A Convertible Notes, and instead converted at the Alternate Optional Conversion Price (as defined in the Series A Convertible Notes) of 95% of the lowest daily VWAP of the common stock during the seven consecutive trading days ending on the trading day immediately before the conversion notice is delivered.</w:t>
      </w:r>
    </w:p>
    <w:p>
      <w:pPr>
        <w:spacing w:after="0" w:line="1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not selling any common stock under this registration statement and will not receive any of the proceeds from the sale or other disposition of shares by the Selling Stockholder, see “</w:t>
      </w:r>
      <w:r>
        <w:rPr>
          <w:rFonts w:ascii="Times New Roman" w:cs="Times New Roman" w:eastAsia="Times New Roman" w:hAnsi="Times New Roman"/>
          <w:sz w:val="18"/>
          <w:szCs w:val="18"/>
          <w:u w:val="single" w:color="auto"/>
          <w:color w:val="0000EE"/>
        </w:rPr>
        <w:t>Use of Proceeds</w:t>
      </w:r>
      <w:r>
        <w:rPr>
          <w:rFonts w:ascii="Times New Roman" w:cs="Times New Roman" w:eastAsia="Times New Roman" w:hAnsi="Times New Roman"/>
          <w:sz w:val="18"/>
          <w:szCs w:val="18"/>
          <w:color w:val="auto"/>
        </w:rPr>
        <w:t>.”</w:t>
      </w:r>
    </w:p>
    <w:p>
      <w:pPr>
        <w:spacing w:after="0" w:line="16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or its transferees, pledgees, assignees or successors-in-interest may offer and sell or otherwise dispose of the Shares described in this registration statement from time to time through public or private transactions at prevailing market prices, at prices related to prevailing market prices or at privately negotiated prices. The Selling Stockholder will bear all costs related to commissions and discounts, if any, attributable to the sales of the Shares. We will bear all other costs, expenses and fees in connection with the registration of the Shares. See “</w:t>
      </w:r>
      <w:r>
        <w:rPr>
          <w:rFonts w:ascii="Times New Roman" w:cs="Times New Roman" w:eastAsia="Times New Roman" w:hAnsi="Times New Roman"/>
          <w:sz w:val="18"/>
          <w:szCs w:val="18"/>
          <w:u w:val="single" w:color="auto"/>
          <w:color w:val="0000EE"/>
        </w:rPr>
        <w:t>Plan of Distribution</w:t>
      </w:r>
      <w:r>
        <w:rPr>
          <w:rFonts w:ascii="Times New Roman" w:cs="Times New Roman" w:eastAsia="Times New Roman" w:hAnsi="Times New Roman"/>
          <w:sz w:val="18"/>
          <w:szCs w:val="18"/>
          <w:color w:val="auto"/>
        </w:rPr>
        <w:t>” beginning on page 29 for more information about how the Selling Stockholder may sell or dispose of the Shares.</w:t>
      </w:r>
    </w:p>
    <w:p>
      <w:pPr>
        <w:spacing w:after="0" w:line="18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“IPW.” November 4, 2026, the closing price of our common stock on the Nasdaq Capital Market was $1.48 per share.</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read this prospectus as well as the information incorporated herein by reference carefully before you make your investment decision.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9 of this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Concerning Forward Looking Statements</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75"/>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56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570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The Selling Stockholder named in this prospectus may from time to time sell the Shares described in the prospectus. You should read this prospectus together with the more detailed information regarding our company, our common stock, and our financial statements and notes to those statements that are incorporated by reference into this prospectus and any applicable amendment or supplement to this prospectus, which we describe under the heading “</w:t>
      </w:r>
      <w:r>
        <w:rPr>
          <w:rFonts w:ascii="Times New Roman" w:cs="Times New Roman" w:eastAsia="Times New Roman" w:hAnsi="Times New Roman"/>
          <w:sz w:val="18"/>
          <w:szCs w:val="18"/>
          <w:u w:val="single" w:color="auto"/>
          <w:color w:val="0000EE"/>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Information</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and in any applicable amendment or supplement to this prospectus. We have not authorized anyone to provide you with different information from that contained in, or incorporated by reference in, this prospectus. You should not assume that the information in this prospectus or any applicable amendment or supplement to this prospectus is accurate as of any date other than the date on the front of those documents or that any document incorporated by reference is accurate as of any date other than its filing date.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we nor the Selling Stockholder are offering to sell or seeking offers to purchase these securities in any jurisdiction where the offer or sale is not permitted.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as to distribution of the prospectus outside of the United States.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in this prospectus, we frequently use the terms “iPower,” “we,” “our,” “us,” “our company,” and the “Company” to refer to iPower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ind w:left="254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 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the statements in this prospectus (including any documents incorporated by reference herein) contain forward-looking statements within the meaning of Section 27A of the Securities Act of 1933, as amended (the “Securities Act”), and Section 21E of the Securities Exchange Act of 1934, as amended (the “Exchange Act”). These statements relate to future events or our future financial performance and involve known and unknown risks, uncertainties and other factors which are, in some cases, beyond our ability to control or predict and that may cause actual results, levels of activity, performance or achievements to be materially different from any future results, levels of activity, performance or achievements expressed or implied by forward-looking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“may,” “will,” “should,” “expects,” “intends,” “plans,” “anticipates,” “believes,” “estimates,” “predicts,” “potential,” “continue” or the negative of these terms or other comparable terminology, although not all forward-looking statements contain these identifying words. Our forward-looking statements may include, among other things, statements about:</w:t>
      </w:r>
    </w:p>
    <w:p>
      <w:pPr>
        <w:spacing w:after="0" w:line="17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strategies and plans regarding the acquisition and use of cryptocurrency as reserve assets;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financial and business performance, including our financial projections and business metrics;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macroeconomic conditions, including labor disputes, depreciation of the U.S. dollar, volatility in the capital markets, U.S.-China relations, inflationary impacts and disruptions to the global supply chain;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imposition of duties and tariffs and other trade barriers and retaliatory countermeasures implemented by the U.S. and other governments;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our strategy, future operations, financial position, estimated revenues and losses, forecasts, projected costs, prospects and plans;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 in supply chain costs, including raw materials, sourcing, and transportation;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inability to anticipate the future market demands and future needs of our customers;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impact of component shortages, suppliers’ lack of production capacity, natural disasters or pandemics on our sourcing operations and supply chain;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meet the prospective delivery time for our products and fulfill customer orders;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future capital requirements and sources and uses of cash;</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cover our future capital expenditures and to pay down our near-term debt obligations;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obtain funding and raise capital for our operations;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access the capital markets and credit markets;</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anticipated financial performance, including gross margin, and the expectation that our future results of operations will fluctuate on a quarterly basis for the foreseeable future;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expected capital expenditures, cost of revenue and other future expenses, and the sources of funds to satisfy the liquidity needs of the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maintain the listing of our common stock on the Nasdaq;</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technology, cybersecurity, and data privacy risks;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intense market competition;</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geopolitical conditions, including political instability in the U.S. and China, unrest and sanctions, war, conflict, including the ongoing conflicts between Russia and Ukraine, conflicts in the Middle East, and increasing tensions between China and Taiwan;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legislative and regulatory risks, including those relating to the recent enactment of the One Big Beautiful Bill Act;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uncertainties and risks relating to new trade regulations, including tariffs and export control regulations;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market price and value of digital assets are highly volatile, which may materially and adversely affect the value of our digital asset holdings and our financial condition;</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regulatory environment governing digital assets is evolving, uncertain, and subject to change, which could adversely affect our business, financial condition, and results of operations;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reputational risks; and</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other risks and uncertainties described in the registration statement of which this prospectus forms a part, including those under the section entitled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and those incorporated by reference 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caution readers not to place undue reliance upon any such forward-looking statements, which speak only as of the date they are made. We disclaim any obligation, except as specifically required by law and the rules of the SEC, to publicly update or revise any such statements to reflect any change in company expectations or in events, conditions or circumstances on which any such statements may be based, or that may affect the likelihood that actual results will differ from those set forth in the forward-looking statements.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this registration statement and the documents that we incorporate by reference herein and therein and have filed as exhibits to the registration statement of which this prospectus is part, completely and with the understanding that our actual future results may be materially different from what we expect. You should assume that the information appearing in this prospectus is accurate as of the date on the cover of this prospectus only. Our business, financial condition, results of operations and prospects may change. We may not update these forward-looking statements, even though our situation may change in the future, unless we have obligations under the federal securities laws to update and disclose material developments related to previously disclosed information. We qualify all of the information presented in this prospectus, and particularly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our business highlights some of the information contained elsewhere in or incorporated by reference into this prospectus. Because this is only a summary, however, it does not contain all of the information that may be important to you. You should carefully read this prospectus, including the documents incorporated by reference, which are described under “</w:t>
      </w:r>
      <w:r>
        <w:rPr>
          <w:rFonts w:ascii="Times New Roman" w:cs="Times New Roman" w:eastAsia="Times New Roman" w:hAnsi="Times New Roman"/>
          <w:sz w:val="18"/>
          <w:szCs w:val="18"/>
          <w:i w:val="1"/>
          <w:iCs w:val="1"/>
          <w:u w:val="single" w:color="auto"/>
          <w:color w:val="0000EE"/>
        </w:rPr>
        <w:t>Information Incorporated by Reference</w:t>
      </w:r>
      <w:r>
        <w:rPr>
          <w:rFonts w:ascii="Times New Roman" w:cs="Times New Roman" w:eastAsia="Times New Roman" w:hAnsi="Times New Roman"/>
          <w:sz w:val="18"/>
          <w:szCs w:val="18"/>
          <w:i w:val="1"/>
          <w:iCs w:val="1"/>
          <w:color w:val="auto"/>
        </w:rPr>
        <w:t>” and “</w:t>
      </w:r>
      <w:r>
        <w:rPr>
          <w:rFonts w:ascii="Times New Roman" w:cs="Times New Roman" w:eastAsia="Times New Roman" w:hAnsi="Times New Roman"/>
          <w:sz w:val="18"/>
          <w:szCs w:val="18"/>
          <w:i w:val="1"/>
          <w:iCs w:val="1"/>
          <w:u w:val="single" w:color="auto"/>
          <w:color w:val="0000EE"/>
        </w:rPr>
        <w:t>Where You Can Find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EE"/>
        </w:rPr>
        <w:t>Information</w:t>
      </w:r>
      <w:r>
        <w:rPr>
          <w:rFonts w:ascii="Times New Roman" w:cs="Times New Roman" w:eastAsia="Times New Roman" w:hAnsi="Times New Roman"/>
          <w:sz w:val="18"/>
          <w:szCs w:val="18"/>
          <w:i w:val="1"/>
          <w:iCs w:val="1"/>
          <w:color w:val="000000"/>
        </w:rPr>
        <w:t>” in this prospectus. You should also carefully consider the matters discussed in the section entitled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000000"/>
        </w:rPr>
        <w:t>” in this prospectus, and in</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other periodic reports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iPower is a technology- and data-driven infrastructure company with a foundation in supply chain services, real-world commerce, and partner-based logistics and fulfillment capabilities. The Company leverages its internal software, data, and operational experience, together with a network of procurement, logistics, fulfillment, warehousing, and commerce partners, to support supply chain services, commerce infrastructure, and related business opportunities.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Building on our supply chain, software and operating foundation, iPower is pursuing AI infrastructure acquisition, financing, equipment leasing and related opportunities as a current strategic focus. The Company also maintains a limited digital asset treasury (“DAT”) position that we began implementing through digital asset purchases beginning in December 2025. Management is currently reducing certain digital asset exposure and prioritizing direct AI infrastructure and related operating opportunities, subject to the restrictions applicable to assets held in the Company's controlled collateral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 Treasury and Capital Allocation Strategy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iPower adopted an initial Digital Asset Treasury (“DAT”) strategy in June 2025 and began implementing the DAT strategy through purchases beginning in December 2025. The DAT strategy was initially intended to provide limited balance-sheet exposure to potential appreciation in digital assets and to diversify a portion of our treasury assets. This overall strategy serves to govern our corporate treasury and capital-allocation activity. The strategy, which is overseen by Company management within board-approved policies, is intended to be flexible while helping us manage our capital allocation. Our purpose is not to operate a digital asset investment fund, exchange, broker-dealer, investment advisory business or customer custody business. We do not presently engage an external investment manager to oversee or advise on our investments. Our DAT assets are held with BitGo Trust Company, Inc., a South Dakota chartered trust company, which is a full service digital asset infrastructure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we acquired approximately 15.1 Bitcoin for approximately $1.325 million and approximately 301.1 Ethereum for approximately $0.884 million. In June 2026, we acquired approximately $1.0 million of USDai and subsequently converted or staked the USDai into sUSDai, a yield-bearing vault/share token associated with the USD.AI protocol, in order to obtain exposure to potential returns associated with AI infrastructure financing. We sold all sUSDAI for approximately $1,002,381 and all Ethereum for approximately $563,391 on August 14,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maintain fixed target percentages or minimum allocations for Bitcoin, Ethereum, USDai, sUSDai, other digital assets or cash. The allocation percentages contained in our original financing documents were contractual use-of-proceeds and collateral requirements and were not permanent treasury allocation targets. Subject to our board-approved policy, applicable law and our financing documents, management determines the desired composition of approved asset classes based on operating liquidity, debt servicing and collateral requirements, market volatility and liquidity, custody and protocol risk, expected risk-adjusted returns and available operating opportunities.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digital assets, cash and other property held in the applicable controlled accounts, together with related proceeds, are pledged to the Collateral Agent, an affiliate of the Convertible Note Investor, for the benefit of the holders of the Convertible Notes.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On July 6, 2026, we amended the Purchase Agreement with the Investor to permit proceeds from future Additional Optional Closings (as defined in the Purchase Agreement) to be used for any general corporate purpose determined by management. Accordingly, proceeds raised from Additional Optional Closings are not subject to a fixed digital asset allocation and may be used for working capital, repayment of indebtedness, AI infrastructure and other corporate purposes. Assets already held in the controlled collateral account remain subject to the applicable custody-control arrangements and first-priority security interest.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determines the desired asset composition within the controlled account and may request purchases, sales, redemptions and rebalancing involving approved assets. The Collateral Agent has contractual control over the blocked account, and the custodian acts on instructions of the Collateral Agent in accordance with the custody-control arrangement. A sale or redemption within the account changes the form of the collateral but does not release it. Cash or other proceeds remain pledged unless released in accordance with the financing documents.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reviewing the performance, liquidity and risks of our digital asset holdings and the availability of direct AI infrastructure opportunities, management has shifted our current capital-allocation priority away from additional passive digital asset accumulation and toward AI infrastructure acquisition, financing, equipment leasing and related operating opportunities. We do not have an automatic or recurring digital asset purchase program and are not committed to maintaining a minimum amount of digital assets.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hold Bitcoin as of October 29, 2026, but may retain, reduce or sell that position in the future in accordance with our policy and financing documents.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29, 2026, we held the digital assets and controlled-account cash amounts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Indicative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Indicative</w:t>
            </w:r>
          </w:p>
        </w:tc>
        <w:tc>
          <w:tcPr>
            <w:tcW w:w="2240" w:type="dxa"/>
            <w:vAlign w:val="bottom"/>
          </w:tcPr>
          <w:p>
            <w:pPr>
              <w:spacing w:after="0"/>
              <w:rPr>
                <w:sz w:val="18"/>
                <w:szCs w:val="18"/>
                <w:color w:val="auto"/>
              </w:rPr>
            </w:pPr>
          </w:p>
        </w:tc>
      </w:tr>
      <w:tr>
        <w:trPr>
          <w:trHeight w:val="238"/>
        </w:trPr>
        <w:tc>
          <w:tcPr>
            <w:tcW w:w="270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09"/>
        </w:trPr>
        <w:tc>
          <w:tcPr>
            <w:tcW w:w="27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4,817,911.37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w w:val="97"/>
              </w:rPr>
              <w:t>4,817,911.37</w:t>
            </w:r>
          </w:p>
        </w:tc>
        <w:tc>
          <w:tcPr>
            <w:tcW w:w="220" w:type="dxa"/>
            <w:vAlign w:val="bottom"/>
            <w:tcBorders>
              <w:top w:val="single" w:sz="8" w:color="EEEEEE"/>
            </w:tcBorders>
            <w:shd w:val="clear" w:color="auto" w:fill="EEEEEE"/>
          </w:tcPr>
          <w:p>
            <w:pPr>
              <w:spacing w:after="0"/>
              <w:rPr>
                <w:sz w:val="18"/>
                <w:szCs w:val="18"/>
                <w:color w:val="auto"/>
              </w:rPr>
            </w:pPr>
          </w:p>
        </w:tc>
        <w:tc>
          <w:tcPr>
            <w:tcW w:w="22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Held in controlled account</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Bitcoin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1,325,400</w:t>
            </w:r>
          </w:p>
        </w:tc>
        <w:tc>
          <w:tcPr>
            <w:tcW w:w="16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15.11524045 BTC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78,750.05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1,190,325.88</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Held</w:t>
            </w:r>
          </w:p>
        </w:tc>
      </w:tr>
      <w:tr>
        <w:trPr>
          <w:trHeight w:val="194"/>
        </w:trPr>
        <w:tc>
          <w:tcPr>
            <w:tcW w:w="2700" w:type="dxa"/>
            <w:vAlign w:val="bottom"/>
            <w:shd w:val="clear" w:color="auto" w:fill="EEEEEE"/>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assets held in controlled</w:t>
            </w:r>
          </w:p>
        </w:tc>
        <w:tc>
          <w:tcPr>
            <w:tcW w:w="1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6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240" w:type="dxa"/>
            <w:vAlign w:val="bottom"/>
            <w:shd w:val="clear" w:color="auto" w:fill="EEEEEE"/>
          </w:tcPr>
          <w:p>
            <w:pPr>
              <w:spacing w:after="0" w:line="194" w:lineRule="exact"/>
              <w:rPr>
                <w:sz w:val="20"/>
                <w:szCs w:val="20"/>
                <w:color w:val="auto"/>
              </w:rPr>
            </w:pPr>
            <w:r>
              <w:rPr>
                <w:rFonts w:ascii="Times New Roman" w:cs="Times New Roman" w:eastAsia="Times New Roman" w:hAnsi="Times New Roman"/>
                <w:sz w:val="18"/>
                <w:szCs w:val="18"/>
                <w:color w:val="auto"/>
              </w:rPr>
              <w:t>Includes cash and digital</w:t>
            </w:r>
          </w:p>
        </w:tc>
      </w:tr>
      <w:tr>
        <w:trPr>
          <w:trHeight w:val="238"/>
        </w:trPr>
        <w:tc>
          <w:tcPr>
            <w:tcW w:w="2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520" w:type="dxa"/>
            <w:vAlign w:val="bottom"/>
            <w:gridSpan w:val="3"/>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6,008,237.25*</w:t>
            </w:r>
          </w:p>
        </w:tc>
        <w:tc>
          <w:tcPr>
            <w:tcW w:w="2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r>
    </w:tbl>
    <w:p>
      <w:pPr>
        <w:spacing w:after="0" w:line="196" w:lineRule="exact"/>
        <w:rPr>
          <w:sz w:val="20"/>
          <w:szCs w:val="20"/>
          <w:color w:val="auto"/>
        </w:rPr>
      </w:pPr>
    </w:p>
    <w:p>
      <w:pPr>
        <w:ind w:right="7460" w:firstLine="8"/>
        <w:spacing w:after="0" w:line="502" w:lineRule="auto"/>
        <w:tabs>
          <w:tab w:leader="none" w:pos="1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Company-provided values as of October 29, 2026. Global Economic Disruption</w:t>
      </w:r>
    </w:p>
    <w:p>
      <w:pPr>
        <w:jc w:val="both"/>
        <w:spacing w:after="0" w:line="255" w:lineRule="auto"/>
        <w:rPr>
          <w:sz w:val="20"/>
          <w:szCs w:val="20"/>
          <w:color w:val="auto"/>
        </w:rPr>
      </w:pPr>
      <w:r>
        <w:rPr>
          <w:rFonts w:ascii="Times New Roman" w:cs="Times New Roman" w:eastAsia="Times New Roman" w:hAnsi="Times New Roman"/>
          <w:sz w:val="18"/>
          <w:szCs w:val="18"/>
          <w:color w:val="auto"/>
        </w:rPr>
        <w:t>While at present the majority of our products are sourced either in the United States or China, the military conflict between Russia and Ukraine, as well as the ongoing conflict in the Middle East, may nonetheless increase the likelihood of supply chain interruptions and hinder our ability to find the materials we need to make our products. Thus far, as a result of the general global economic disruption, we have experienced a decrease in the speed with which we have been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212529"/>
        </w:rPr>
        <w:t>Recent Developments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22, 2025, the Company entered into the Purchase Agreement with the Investor providing for the purchase by the Investor of a 6% original issue discount (OID) convertible note facility in the aggregate original principal amount of $30,000,000 (the “Convertible Note Facility”), in which the Investor agreed to initially purchase (i) a Series A Convertible Note in the aggregate original principal amount of $5,184,024, and shares of common stock issuable pursuant to the terms of the Series A Convertible Notes in reliance upon the exemption from securities registration afforded by Section 4(a)(2) of the Securities Act, and Rule 506(b) of Regulation D as promulgated thereunder, and (ii) $1,815,976 aggregate principal amount of a Series B Convertible Note, and shares of common stock issuable pursuant to the terms of the Series B Convertible Notes in a registered direct offering pursuant to a currently effective shelf registration statement on Form S-3 (File No. 333-274665), which was declared effective by the SEC on September 29, 2023. In addition, pursuant to the Purchase Agreement, the parties closed on an additional $5,000,000 of Series A Convertible Notes (the “Additional Series A Notes”) upon effectiveness of a resale registration statement. 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 To date, in addition to the Series B convertible note sold in December 2025, the Company has sold a total of $12,184,024 in Series A convertible notes, with an additional $18,000,000 in Additional Series A Notes remaining available for issuance under the Convertible Note Facility. Digital Offering LLC has acted as placement agent and receives a 6% cash commission for each closing consummated under the Convertible Note Facility. As of October 15, 2026, the Investor has converted a total of $11,366,224 of the Series A Notes, resulting in the conversion of a total of 3,151,026 shares at an average conversion per share conversion price of $3.61 on a post-reverse stock split basis (accounting for a 1-for-8 reverse stock split effectuated May 22, 2026 and a 1-for-9 reverse stock split effectuated August 7, 2026).</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 2026, the Company entered into a software asset transfer agreement (the “Software Asset Transfer Agreement”) with its then-wholly owned subsidiary, Global Product Marketing, Inc., a Nevada corporation (“GPM”), pursuant to which GPM assigned, transferred and conveyed to the Company all of GPM’s right, title and interest in its Software Assets (as defined in the agreement), and iPower assumed all outstanding vendor payables related to the Software Assets. In addition, the Software Asset Transfer Agreement granted GPM a non-exclusive worldwide, perpetual, irrevocable and royalty free license to use, reproduce and modify the licensed software, thus allowing iPower and GPM to collaborate in the software development on a going forward basis. Further, in the event GPM resells the Original Software code (as defined in the agreement), GPM shall pay iPower 50% of the proceeds received in relation to such sale. Thereafter, on February 1, 2026, the Company entered into a stock purchase agreement with ETTS AI Investment LLC, a Nevada limited liability company (“ETTS AI”), pursuant to which the Company sold all of its equity interest in GPM and its underlying entities to ETTS AI in exchange for a $2.3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(the “Supply and Distribution Agreement”), between the Company, GPM and ETTS AI.</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Supply and Distribution Agreement, the Company and GPM agreed that the Company would act as exclusive supplier in the United States, Canada and Mexico for all existing SKUs that have historically been distributed from iPower to GPM, thus allowing iPower to continue in its role of supplier to GPM while divesting of the cost center associated with GPM’s sales function. As supplier, iPower will charge GPM, as distributor, a price mutually agreed on for each product and has the right to add up to 15% margin on top of the net cost. In addition, GPM will charge iPower a cooperative marketing fee, which will be defined in a subsequent agreement between the parties. Under the Supply and Distribution Agreement, payment on all purchase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 year terms, unless 90 days’ notice is provided prior to the expiration of such term. In addition, the Supply and Distribution Agreement contains standard limitation on liability, indemnification and other provisions standard for an agreement of this nature.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2026, the Company, GPM and ETTS AI entered into a supplement to the Supply and Distribution Agreement (the “Supplement”) pursuant to which GPM assumed $2,007,366.86 of accounts payable owed to the Company’s suppliers in exchange for acquiring an equal amount of the Company’s existing inventory. Additionally, the Supplement releases the Company and GPM from exclusive sourcing and distribution obligations owed to one another under the Supply and Distribution Agreement.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Effective May 22, 2026, the Company implemented a 1-for-8 reverse stock split of its common stock, under which every eight issued and outstanding pre-split shares were automatically reclassified into one post-split share with no change in par value, resulting in a proportionate adjustment to outstanding equity awards, warrants, and exercise prices (the “May Reverse Split”).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August 7, 2026, the Company implemented a 1-for-9 reverse split of its common stock, under which every nine issued and outstanding pre-split shares were automatically reclassified into one post-split share with no change in par value, resulting in a proportionate adjustment to outstanding equity awards, warrants and exercise prices (the “August Reverse Split”).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October 26, 2026, the Company implemented a 1-for 12 reverse split of its common stock, under which every 12 issued and outstanding pre-split shares were automatically reclassified into one post-split share with no change in par value, resulting in a proportionate adjustment to outstanding equity awards, warrants and exercise prices (the “October Reverse Split,” and together with the August Reverse Split and May Reverse Split referred to as the “Reverse Splits”). Unless otherwise noted, all information contained in this prospectus has been adjusted to reflect the Reverse Splits. The Reverse Splits had no effect on the total number of authorized shares of common stock or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formed on April 11, 2018 in the State of Nevada under the name BZRTH Inc. On September 4, 2020, we filed a Certificate of Amendment with the State of Nevada changing our name to iPower Inc. Our principal offices are located at 8798 9th Street, Rancho Cucamonga, CA 91730 and our phone number is (626) 863-7344. Our business website is www.meetipower.com. The website addresses referenced herein are not intended to function as hyperlinks, and the information contained in our websites is not incorporated by reference into this registration statement and should not be considered to be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below contains basic information about the Series A Convertible Notes and is not intended to be complete. It does not contain all the information that is important to you. For a more complete understanding of the Series A Convertible Notes, please refer to the section of this registration statement entitled “</w:t>
      </w:r>
      <w:r>
        <w:rPr>
          <w:rFonts w:ascii="Times New Roman" w:cs="Times New Roman" w:eastAsia="Times New Roman" w:hAnsi="Times New Roman"/>
          <w:sz w:val="18"/>
          <w:szCs w:val="18"/>
          <w:u w:val="single" w:color="auto"/>
          <w:color w:val="0000EE"/>
        </w:rPr>
        <w:t>Description of the Series A Convertible Notes</w:t>
      </w:r>
      <w:r>
        <w:rPr>
          <w:rFonts w:ascii="Times New Roman" w:cs="Times New Roman" w:eastAsia="Times New Roman" w:hAnsi="Times New Roman"/>
          <w:sz w:val="18"/>
          <w:szCs w:val="18"/>
          <w:color w:val="auto"/>
        </w:rPr>
        <w:t>” on page 24.</w:t>
      </w:r>
    </w:p>
    <w:p>
      <w:pPr>
        <w:sectPr>
          <w:pgSz w:w="11900" w:h="16838" w:orient="portrait"/>
          <w:cols w:equalWidth="0" w:num="1">
            <w:col w:w="11240"/>
          </w:cols>
          <w:pgMar w:left="320" w:top="792"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Offered: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 to 8,089,888 shares of common stock issuable upon conversion of the $3,000,000 aggregate principal amount, plus interest, of the Series A Convertible Notes.</w:t>
      </w:r>
    </w:p>
    <w:p>
      <w:pPr>
        <w:spacing w:after="0" w:line="158" w:lineRule="exact"/>
        <w:rPr>
          <w:sz w:val="20"/>
          <w:szCs w:val="20"/>
          <w:color w:val="auto"/>
        </w:rPr>
      </w:pPr>
    </w:p>
    <w:p>
      <w:pPr>
        <w:sectPr>
          <w:pgSz w:w="11900" w:h="16838" w:orient="portrait"/>
          <w:cols w:equalWidth="0" w:num="2">
            <w:col w:w="2440" w:space="720"/>
            <w:col w:w="808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Original 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$3,000,000.</w:t>
      </w:r>
    </w:p>
    <w:p>
      <w:pPr>
        <w:spacing w:after="0" w:line="207" w:lineRule="exact"/>
        <w:rPr>
          <w:sz w:val="20"/>
          <w:szCs w:val="20"/>
          <w:color w:val="auto"/>
        </w:rPr>
      </w:pPr>
    </w:p>
    <w:p>
      <w:pPr>
        <w:sectPr>
          <w:pgSz w:w="11900" w:h="16838" w:orient="portrait"/>
          <w:cols w:equalWidth="0" w:num="2">
            <w:col w:w="2440" w:space="720"/>
            <w:col w:w="8080"/>
          </w:cols>
          <w:pgMar w:left="320" w:top="7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Interest Rate: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Series A Convertible Notes bear interest at the rate of 10% per annum.</w:t>
      </w:r>
    </w:p>
    <w:p>
      <w:pPr>
        <w:spacing w:after="0" w:line="207" w:lineRule="exact"/>
        <w:rPr>
          <w:sz w:val="20"/>
          <w:szCs w:val="20"/>
          <w:color w:val="auto"/>
        </w:rPr>
      </w:pPr>
    </w:p>
    <w:p>
      <w:pPr>
        <w:sectPr>
          <w:pgSz w:w="11900" w:h="16838" w:orient="portrait"/>
          <w:cols w:equalWidth="0" w:num="2">
            <w:col w:w="2440" w:space="720"/>
            <w:col w:w="8080"/>
          </w:cols>
          <w:pgMar w:left="320" w:top="7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Ranking: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Senior secured obligations of the Company, ranking senior to all of the Company’s outstanding and future indebtedness, subject to certain exceptions.</w:t>
      </w:r>
    </w:p>
    <w:p>
      <w:pPr>
        <w:spacing w:after="0" w:line="158" w:lineRule="exact"/>
        <w:rPr>
          <w:sz w:val="20"/>
          <w:szCs w:val="20"/>
          <w:color w:val="auto"/>
        </w:rPr>
      </w:pPr>
    </w:p>
    <w:p>
      <w:pPr>
        <w:sectPr>
          <w:pgSz w:w="11900" w:h="16838" w:orient="portrait"/>
          <w:cols w:equalWidth="0" w:num="2">
            <w:col w:w="2440" w:space="720"/>
            <w:col w:w="808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Each Series A Convertible Note matures on the 24-month anniversary of the applicable issuance date.</w:t>
      </w:r>
    </w:p>
    <w:p>
      <w:pPr>
        <w:spacing w:after="0" w:line="207" w:lineRule="exact"/>
        <w:rPr>
          <w:sz w:val="20"/>
          <w:szCs w:val="20"/>
          <w:color w:val="auto"/>
        </w:rPr>
      </w:pPr>
    </w:p>
    <w:p>
      <w:pPr>
        <w:sectPr>
          <w:pgSz w:w="11900" w:h="16838" w:orient="portrait"/>
          <w:cols w:equalWidth="0" w:num="2">
            <w:col w:w="2440" w:space="720"/>
            <w:col w:w="8080"/>
          </w:cols>
          <w:pgMar w:left="320" w:top="7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Common Stock Outstanding Immediately </w:t>
      </w:r>
      <w:r>
        <w:rPr>
          <w:rFonts w:ascii="Times New Roman" w:cs="Times New Roman" w:eastAsia="Times New Roman" w:hAnsi="Times New Roman"/>
          <w:sz w:val="18"/>
          <w:szCs w:val="18"/>
          <w:color w:val="auto"/>
        </w:rPr>
        <w:t>644,010 shares (only giving effect to shares converted to date under the Series B Convertible Notes in</w:t>
      </w:r>
    </w:p>
    <w:p>
      <w:pPr>
        <w:spacing w:after="0" w:line="31" w:lineRule="exact"/>
        <w:rPr>
          <w:sz w:val="20"/>
          <w:szCs w:val="20"/>
          <w:color w:val="auto"/>
        </w:rPr>
      </w:pPr>
    </w:p>
    <w:p>
      <w:pPr>
        <w:ind w:left="3160" w:right="20" w:hanging="3144"/>
        <w:spacing w:after="0" w:line="260" w:lineRule="auto"/>
        <w:tabs>
          <w:tab w:leader="none" w:pos="3140" w:val="left"/>
        </w:tabs>
        <w:rPr>
          <w:sz w:val="20"/>
          <w:szCs w:val="20"/>
          <w:color w:val="auto"/>
        </w:rPr>
      </w:pPr>
      <w:r>
        <w:rPr>
          <w:rFonts w:ascii="Times New Roman" w:cs="Times New Roman" w:eastAsia="Times New Roman" w:hAnsi="Times New Roman"/>
          <w:sz w:val="18"/>
          <w:szCs w:val="18"/>
          <w:b w:val="1"/>
          <w:bCs w:val="1"/>
          <w:i w:val="1"/>
          <w:iCs w:val="1"/>
          <w:color w:val="auto"/>
        </w:rPr>
        <w:t>Prior to This Offering:</w:t>
      </w:r>
      <w:r>
        <w:rPr>
          <w:sz w:val="20"/>
          <w:szCs w:val="20"/>
          <w:color w:val="auto"/>
        </w:rPr>
        <w:tab/>
      </w:r>
      <w:r>
        <w:rPr>
          <w:rFonts w:ascii="Times New Roman" w:cs="Times New Roman" w:eastAsia="Times New Roman" w:hAnsi="Times New Roman"/>
          <w:sz w:val="18"/>
          <w:szCs w:val="18"/>
          <w:color w:val="auto"/>
        </w:rPr>
        <w:t>conjunction with a registered direct offering and to shares converted to date under the Series A Convertible Notes).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Common Stock Outstanding Immediately </w:t>
      </w:r>
      <w:r>
        <w:rPr>
          <w:rFonts w:ascii="Times New Roman" w:cs="Times New Roman" w:eastAsia="Times New Roman" w:hAnsi="Times New Roman"/>
          <w:sz w:val="18"/>
          <w:szCs w:val="18"/>
          <w:color w:val="auto"/>
        </w:rPr>
        <w:t>8,686,696 shares (giving effect only to the shares being registered herein and issuable upon conversion of the</w:t>
      </w:r>
    </w:p>
    <w:p>
      <w:pPr>
        <w:spacing w:after="0" w:line="31" w:lineRule="exact"/>
        <w:rPr>
          <w:sz w:val="20"/>
          <w:szCs w:val="20"/>
          <w:color w:val="auto"/>
        </w:rPr>
      </w:pPr>
    </w:p>
    <w:p>
      <w:pPr>
        <w:ind w:left="3160" w:hanging="3144"/>
        <w:spacing w:after="0" w:line="260" w:lineRule="auto"/>
        <w:tabs>
          <w:tab w:leader="none" w:pos="3140" w:val="left"/>
        </w:tabs>
        <w:rPr>
          <w:sz w:val="20"/>
          <w:szCs w:val="20"/>
          <w:color w:val="auto"/>
        </w:rPr>
      </w:pPr>
      <w:r>
        <w:rPr>
          <w:rFonts w:ascii="Times New Roman" w:cs="Times New Roman" w:eastAsia="Times New Roman" w:hAnsi="Times New Roman"/>
          <w:sz w:val="18"/>
          <w:szCs w:val="18"/>
          <w:b w:val="1"/>
          <w:bCs w:val="1"/>
          <w:i w:val="1"/>
          <w:iCs w:val="1"/>
          <w:color w:val="auto"/>
        </w:rPr>
        <w:t>after This Offering:</w:t>
      </w:r>
      <w:r>
        <w:rPr>
          <w:sz w:val="20"/>
          <w:szCs w:val="20"/>
          <w:color w:val="auto"/>
        </w:rPr>
        <w:tab/>
      </w:r>
      <w:r>
        <w:rPr>
          <w:rFonts w:ascii="Times New Roman" w:cs="Times New Roman" w:eastAsia="Times New Roman" w:hAnsi="Times New Roman"/>
          <w:sz w:val="18"/>
          <w:szCs w:val="18"/>
          <w:color w:val="auto"/>
        </w:rPr>
        <w:t>Series A Convertible Note, and not including shares issuable upon conversion of Series A convertible Notes registered elsewhere).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holder may convert at (i) a fixed conversion price or (ii) an alternate conversion price equal to the lower of</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(A) the conversion price or (B) the greater of the floor price or 95% of the lowest VWAP during the seven (7)</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trading day period preceding conversion (or 90% of the lowest VWAP during the ten (10) trading day period</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during an event of default).</w:t>
            </w:r>
          </w:p>
        </w:tc>
        <w:tc>
          <w:tcPr>
            <w:tcW w:w="0" w:type="dxa"/>
            <w:vAlign w:val="bottom"/>
          </w:tcPr>
          <w:p>
            <w:pPr>
              <w:spacing w:after="0"/>
              <w:rPr>
                <w:sz w:val="1"/>
                <w:szCs w:val="1"/>
                <w:color w:val="auto"/>
              </w:rPr>
            </w:pP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Ownership Limitation:</w:t>
            </w: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Conversions are prohibited to the extent they would cause the Investor (together with its affiliates) to</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beneficially own more than 4.99% of our outstanding common stock. The Investor may elect to increase this</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limit to 9.99% with 61 days’ prior written notice to us.</w:t>
            </w:r>
          </w:p>
        </w:tc>
        <w:tc>
          <w:tcPr>
            <w:tcW w:w="0" w:type="dxa"/>
            <w:vAlign w:val="bottom"/>
          </w:tcPr>
          <w:p>
            <w:pPr>
              <w:spacing w:after="0"/>
              <w:rPr>
                <w:sz w:val="1"/>
                <w:szCs w:val="1"/>
                <w:color w:val="auto"/>
              </w:rPr>
            </w:pP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Issuer Redemption Rights:</w:t>
            </w: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Company may redeem all or any portion of the Series A Convertible Notes at 10% premium on the</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conversion amount being redeemed (or 15% premium during an event of default).</w:t>
            </w:r>
          </w:p>
        </w:tc>
        <w:tc>
          <w:tcPr>
            <w:tcW w:w="0" w:type="dxa"/>
            <w:vAlign w:val="bottom"/>
          </w:tcPr>
          <w:p>
            <w:pPr>
              <w:spacing w:after="0"/>
              <w:rPr>
                <w:sz w:val="1"/>
                <w:szCs w:val="1"/>
                <w:color w:val="auto"/>
              </w:rPr>
            </w:pP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We will not receive any proceeds in connection with the Selling Stockholder’s sale of the shares of common</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stock underlying the Series A Convertible Notes. For a more detailed description of the use of proceeds, see</w:t>
            </w: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8400" w:type="dxa"/>
            <w:vAlign w:val="bottom"/>
            <w:gridSpan w:val="5"/>
          </w:tcPr>
          <w:p>
            <w:pPr>
              <w:ind w:left="320"/>
              <w:spacing w:after="0" w:line="1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Use of Proceeds</w:t>
            </w:r>
            <w:r>
              <w:rPr>
                <w:rFonts w:ascii="Times New Roman" w:cs="Times New Roman" w:eastAsia="Times New Roman" w:hAnsi="Times New Roman"/>
                <w:sz w:val="18"/>
                <w:szCs w:val="18"/>
                <w:color w:val="auto"/>
              </w:rPr>
              <w:t>” in this registration statement.</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tc>
        <w:tc>
          <w:tcPr>
            <w:tcW w:w="4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40" w:type="dxa"/>
            <w:vAlign w:val="bottom"/>
            <w:vMerge w:val="continue"/>
          </w:tcPr>
          <w:p>
            <w:pPr>
              <w:spacing w:after="0"/>
              <w:rPr>
                <w:sz w:val="24"/>
                <w:szCs w:val="24"/>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Investing in our securities involves significant risks. See “</w:t>
            </w:r>
            <w:r>
              <w:rPr>
                <w:rFonts w:ascii="Times New Roman" w:cs="Times New Roman" w:eastAsia="Times New Roman" w:hAnsi="Times New Roman"/>
                <w:sz w:val="18"/>
                <w:szCs w:val="18"/>
                <w:color w:val="0000EE"/>
              </w:rPr>
              <w:t>Risk Factors</w:t>
            </w:r>
            <w:r>
              <w:rPr>
                <w:rFonts w:ascii="Times New Roman" w:cs="Times New Roman" w:eastAsia="Times New Roman" w:hAnsi="Times New Roman"/>
                <w:sz w:val="18"/>
                <w:szCs w:val="18"/>
                <w:color w:val="auto"/>
              </w:rPr>
              <w:t>” on page 9 of this registration statement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tcPr>
          <w:p>
            <w:pPr>
              <w:spacing w:after="0"/>
              <w:rPr>
                <w:sz w:val="18"/>
                <w:szCs w:val="18"/>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and in the documents incorporated by reference herein for a discussion of factors you should consider carefully</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before deciding to invest in our securities.</w:t>
            </w: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Nasdaq Trading Symbol:</w:t>
            </w: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IPW</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outstanding after the offering is based on 644,010 shares of our common stock outstanding as of November 4, 2026, and excludes the following:</w:t>
      </w:r>
    </w:p>
    <w:p>
      <w:pPr>
        <w:spacing w:after="0" w:line="162" w:lineRule="exact"/>
        <w:rPr>
          <w:sz w:val="20"/>
          <w:szCs w:val="20"/>
          <w:color w:val="auto"/>
        </w:rPr>
      </w:pPr>
    </w:p>
    <w:p>
      <w:pPr>
        <w:jc w:val="both"/>
        <w:ind w:left="660" w:hanging="328"/>
        <w:spacing w:after="0" w:line="265"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50,000,000 shares of common stock which are reserved for issuance under our Third Amended and Restated 2020 Equity Incentive Plan, of which a total of 381,706 shares have been granted and 296 shares remain subject to vesting conditions including (i) 167 restricted stock units, and (ii) options to purchase 162 shares of common stock, of which 36 shares are vested and the remainder of which remain subject to vesting conditions;</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81 shares of common stock underlying the warrants issued on June 18, 2024, in a registered direct offering; and</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excludes all shares issuable upon conversion of the Series A Convertible Notes registered elsewhere, other than shares under the Series A Convertible Notes that have been converted to date.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making an investment decision, you should carefully consider the risks described below and under the section titled “Risk Factors” in our most recent Annual Report on Form 10-K, Quarterly Reports on Form 10-Q and Current Reports on Form 8-K incorporated by reference in this registration statement, any amendment or update thereto reflected in our subsequent filings with the SEC, and all of the other information in this registration statement and the documents that we have incorporated by reference herein and therein, including our financial statements and related notes incorporated by reference in this registration statement.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the price of our common stock to decline.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 We have registered shares of our common stock that we have issued and may in the future issue under our employee equity incentive plans. These shares may be sold freely in the public market upon issuance, subject to relevant vesting schedules, and applicable securities laws. In addition, we may in the future issue equity securities as consideration for various types of corporate transactions, including acquisitions, strategic partnerships and licensing transactions, which results in dilution to our existing stockholders and may result in additional sales of our common stock. 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shares issuable upon conversion of the Convertible Notes may depress the price of our common stock and encourage short sales by third parties, which could further depress the price of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one or more investors in the Convertible Notes sell shares of our common stock issued upon conversion of the Convertible Notes, the market price of such shares may decrease due to the additional selling pressure in the market. In addition, the risk of dilution from issuances of such shares may cause stockholders to sell their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we are unable to convert the Series A Convertible Notes, servicing our debt may require a significant amount of cash, and we may not have sufficient cash flow from our business to pay our obligations under the Convertible Note Facility.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make payments of principal or to pay interest on or to refinance the Series A Convertible Notes issued under the Convertible Note Facility depends on our future performance, which is subject to economic, financial, competitive and other factors, some of which are beyond our control. Our business may not continue to generate cash flow from operations in the future sufficient to satisfy our obligations under the Series A Convertible Notes.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the Series A Convertible Notes, should we be unable to timely repay our debt thereunder, will depend on the capital markets and our financial condition at such time. We may not be able to engage in any of these activities or engage in these activities on desirable terms, which could result in a default on the Series A Convertible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investor, you may lose all of your investment.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As an investor, you may never recoup all, or even part, of your investment and you may never realize any return on your investment. You must be prepared to lose all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as a result of future equity offerings.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or other securities convertible into or exchangeable for our common stock at prices that may not be the same as the price per share in this offering. The price per share at which we sell additional shares of common stock, or securities convertible or exchangeable into shares of common stock, in future transactions may be lower than the price per share paid by investors in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maintained.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currently traded on The Nasdaq Capital Market, but we can provide no assurance that we will be able to maintain an active trading market on this or any other exchange in the future. If an active market for our common stock is not maintained, it may be difficult for our stockholders to sell or purchase shares. An inactive market may also impair our ability to raise capital to continue to fund operations by selling shares.</w:t>
      </w:r>
    </w:p>
    <w:p>
      <w:pPr>
        <w:spacing w:after="0" w:line="17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Risks Related to Our Digital Asset Treasury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 Strategy exposes us to various risks, including risks associated with bitcoin.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DAT Strategy exposes us to various risks, including the following:</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digital assets are subject to a first priority security interest and are not freely available for our use or for use by our stockholders. </w:t>
      </w:r>
      <w:r>
        <w:rPr>
          <w:rFonts w:ascii="Times New Roman" w:cs="Times New Roman" w:eastAsia="Times New Roman" w:hAnsi="Times New Roman"/>
          <w:sz w:val="18"/>
          <w:szCs w:val="18"/>
          <w:color w:val="auto"/>
        </w:rPr>
        <w:t>Our digital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controlled-account cash and related proceeds are subject to a first-priority security interest and are not freely available to us or our common stockholders. Substantially all digital assets, cash and other property held in the applicable controlled accounts, together with related proceeds, are pledged to the Collateral Agent, an affiliate of the Convertible Note Investor, for the benefit of the holders of the Convertible Notes. The Collateral Agent has contractual control over the blocked custodial account. A sale, redemption or conversion of a digital asset into cash within the account does not release the collateral; the resulting cash remains pledged. We may withdraw or use collateral only if the applicable release conditions are satisfied or the required consent is obtained. If an Event of Default occurs, as defined in the Convertible Notes, the Collateral Agent may take control of and dispose of the collateral and apply the proceeds to the secured obligations before any residual value is available to holders of our common stock. Accordingly, the gross value of our controlled-account assets should not be viewed as unrestricted cash or net asset value available to common stockholders.</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Bitcoin and other digital assets are highly volatile assets. </w:t>
      </w:r>
      <w:r>
        <w:rPr>
          <w:rFonts w:ascii="Times New Roman" w:cs="Times New Roman" w:eastAsia="Times New Roman" w:hAnsi="Times New Roman"/>
          <w:sz w:val="18"/>
          <w:szCs w:val="18"/>
          <w:color w:val="auto"/>
        </w:rPr>
        <w:t>Bitcoin (or BTC) and Ethereum (or ETH) are highly volatile assets. BTC has traded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$57,725 per bitcoin and above $126,279 per bitcoin on the Coinbase exchange (a principal market for bitcoin) in the 12 months preceding the date of this Offering. The trading price of bitcoin significantly decreased during prior periods, and such declines may occur again in the future.</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Bitcoin does not pay interest or dividends. </w:t>
      </w:r>
      <w:r>
        <w:rPr>
          <w:rFonts w:ascii="Times New Roman" w:cs="Times New Roman" w:eastAsia="Times New Roman" w:hAnsi="Times New Roman"/>
          <w:sz w:val="18"/>
          <w:szCs w:val="18"/>
          <w:color w:val="auto"/>
        </w:rPr>
        <w:t>Bitcoin does not pay interest or other returns and we can only generate cash from our bitcoin holdings if we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bitcoin or implement strategies to create income streams or otherwise generate cash by using our bitcoin holdings. Even if we pursue any such strategies, we may be unable to create income streams or otherwise generate cash from our bitcoin holdings, and any such strategies may subject us to additional risks.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While our DAT Strategy is new, our bitcoin holdings could significantly impact our financial results and the market price of our listed securities. </w:t>
      </w:r>
      <w:r>
        <w:rPr>
          <w:rFonts w:ascii="Times New Roman" w:cs="Times New Roman" w:eastAsia="Times New Roman" w:hAnsi="Times New Roman"/>
          <w:sz w:val="18"/>
          <w:szCs w:val="18"/>
          <w:color w:val="auto"/>
        </w:rPr>
        <w:t>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bitcoin holdings we purchase could significantly affect our financial results. If we continue to invest in bitcoin and increase our overall holdings of bitcoin in the future, they will have an even greater impact on our financial results and the market price of our listed securities.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 intend to purchase bitcoin primarily using proceeds from equity and debt financings. </w:t>
      </w:r>
      <w:r>
        <w:rPr>
          <w:rFonts w:ascii="Times New Roman" w:cs="Times New Roman" w:eastAsia="Times New Roman" w:hAnsi="Times New Roman"/>
          <w:sz w:val="18"/>
          <w:szCs w:val="18"/>
          <w:color w:val="auto"/>
        </w:rPr>
        <w:t>Our ability to achieve the objectives of our DAT Strategy depends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significant part on our ability to obtain equity and debt financing. If we are unable to obtain equity or debt financing on favorable terms or at all, we may not be able to successfully execute on our DAT Strategy</w:t>
      </w:r>
      <w:r>
        <w:rPr>
          <w:rFonts w:ascii="Times New Roman" w:cs="Times New Roman" w:eastAsia="Times New Roman" w:hAnsi="Times New Roman"/>
          <w:sz w:val="18"/>
          <w:szCs w:val="18"/>
          <w:i w:val="1"/>
          <w:iCs w:val="1"/>
          <w:color w:val="auto"/>
        </w:rPr>
        <w: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DAT Strategy has not been tested and we cannot be certain it will be successful. </w:t>
      </w:r>
      <w:r>
        <w:rPr>
          <w:rFonts w:ascii="Times New Roman" w:cs="Times New Roman" w:eastAsia="Times New Roman" w:hAnsi="Times New Roman"/>
          <w:sz w:val="18"/>
          <w:szCs w:val="18"/>
          <w:color w:val="auto"/>
        </w:rPr>
        <w:t>As we roll out our new DAT Strategy, we will need to continually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examine the risks and rewards of our strategy to acquire and hold BTC and ETH. This strategy has not been tested over an extended period of time or under different market conditions. For example, although we believe BTC, due to its limited supply, has the potential to serve as a hedge against inflation in the long term, the short-term price of BTC declined in recent periods during which the inflation rate increased. If BTC or ETH prices were to decrease or our DAT Strategy otherwise proves unsuccessful, our financial condition, results of operations, and the market price of our listed securities would be materially adversely impacted.</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 will be subject to counterparty risks, including in particular risks relating to our custodians. </w:t>
      </w:r>
      <w:r>
        <w:rPr>
          <w:rFonts w:ascii="Times New Roman" w:cs="Times New Roman" w:eastAsia="Times New Roman" w:hAnsi="Times New Roman"/>
          <w:sz w:val="18"/>
          <w:szCs w:val="18"/>
          <w:color w:val="auto"/>
        </w:rPr>
        <w:t>Although we will implement various measures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mitigate our counterparty risks, including by storing substantially all of the digital assets we own in custody accounts at institutional-grade custodians and negotiating contractual arrangements intended to establish that our property interest in custodially-held bitcoin is not subject to claims of our custodians’ creditors, applicable insolvency law is not fully developed with respect to the holding of digital assets in custodial accounts. If our custodially-held BTC or ETH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digital assets, or delaying or hindering our access to our digital asset holdings, and this may ultimately result in the loss of the value related to some or all of such bitcoin, which could have a material adverse effect on our financial condition as well as the market price of our listed securities.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broader digital assets industry is subject to counterparty risks, which could adversely impact the adoption rate, price, and use of BTC, ETH or stablecoins. </w:t>
      </w:r>
      <w:r>
        <w:rPr>
          <w:rFonts w:ascii="Times New Roman" w:cs="Times New Roman" w:eastAsia="Times New Roman" w:hAnsi="Times New Roman"/>
          <w:sz w:val="18"/>
          <w:szCs w:val="18"/>
          <w:color w:val="auto"/>
        </w:rPr>
        <w:t>A series of recent high-profile bankruptcies, closures, liquidations, regulatory enforcement actions and other events relating to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 the digital asset industry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BTC or ETH,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BTC or ETH, limit the availability to us of financing collateralized by BTC or ETH or create or expose additional counterparty risks.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Changes in the accounting treatment of our bitcoin holdings could have significant accounting impacts, including increasing the volatility of our results. </w:t>
      </w:r>
      <w:r>
        <w:rPr>
          <w:rFonts w:ascii="Times New Roman" w:cs="Times New Roman" w:eastAsia="Times New Roman" w:hAnsi="Times New Roman"/>
          <w:sz w:val="18"/>
          <w:szCs w:val="18"/>
          <w:color w:val="auto"/>
        </w:rPr>
        <w:t>Our digital asset holdings and related transactions may create significant volatility in our reported results and our historical financial statements do not reflect all recent developments. Our financial statements through March 31, 2026 reflected our BTC and ETH acquisitions and related fair-value changes. They do not reflect our June 2026 USDai acquisition, subsequent conversion or staking into sUSDai, or our August 2026 instructions to redeem sUSDai and sell ETH. We adopted ASU 2023-08 on July 1, 2025 and record qualifying digital assets at fair value, with realized and unrealized changes recognized in earnings. As a result, changes in digital asset values and any sale or redemption may materially increase volatility in our reported earnings. The accounting and valuation treatment of sUSDai and related redemption proceeds may involve judgment and may differ from the value displayed by the custodian or protocol dashboard.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Digital assets can be highly volatile assets, and, in the event we develop significant digital asset holdings, fluctuations in the price are likely to influence our financial results and the market price of our listed securities.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Digital assets can be highly volatile assets, and, in the event we develop significant holdings, fluctuations in the price are likely to influence our financial results and the market price of our listed securities. Our financial results and the market price of our listed securities would be adversely affected, and our business and financial condition would be negatively impacted, if we hold substantial digital assets and the price decreased substantially, including as a result of:</w:t>
      </w:r>
    </w:p>
    <w:p>
      <w:pPr>
        <w:spacing w:after="0" w:line="18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decreased user and investor confidence in our digital asset holdings, including due to the various factors described herein;</w:t>
      </w:r>
    </w:p>
    <w:p>
      <w:pPr>
        <w:spacing w:after="0" w:line="26"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investment and trading activities, such as (i) trading activities of highly active retail and institutional users, speculators, miners and investors; (ii) actual or expected significant dispositions of digital assets by large holders, including the expected liquidation of digital assets associated with entities that have filed for bankruptcy protection and the transfer and sale of digital assets associated with significant hacks, seizures, or forfeitures, such as the transfers of BTC to (a) creditors of the hacked cryptocurrency exchange Mt. Gox which distribution began in July 2024, (b) claimants following proceedings related to a 2016 hack of Bitfinex—which claims are currently being adjudicated, (c) the German government following the seizure of about 50,000 bitcoin in January 2024 from the operator of Movie2k.to, or (d) the Northern District Court of California granting the U.S. Department of Justice in January 2025 the right to liquidate 69,370 bitcoin seized from the Silk Road marketplace; and (iii) actual or perceived manipulation of the spot or derivative markets for bitcoin or spot bitcoin exchange-traded products (“ETPs”);</w:t>
      </w:r>
    </w:p>
    <w:p>
      <w:pPr>
        <w:spacing w:after="0" w:line="2"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negative publicity, media or social media coverage, or sentiment due to events in or relating to, or perception of, digital asset or the broader digital assets industry, for example, (i) public perception that bitcoin can be used as a vehicle to circumvent sanctions, including sanctions imposed on Russia or certain regions related to the ongoing conflict between Russia and Ukraine, or to fund criminal or terrorist activities, such as the purported use of digital assets by Hamas to fund its terrorist attack against Israel in October 2023; (ii) expected or pending civil, criminal, regulatory enforcement or other high profile actions against major participants in the bitcoin ecosystem, including the SEC’s enforcement actions against Coinbase, Inc. and Binance Holdings Ltd.; (iii) additional filings for bankruptcy protection or bankruptcy proceedings of major digital asset industry participants, such as the bankruptcy proceeding of FTX Trading and its affiliates; and (iv) the actual or perceived environmental impact of bitcoin and related activities, including environmental concerns raised by private individuals, governmental and non-governmental organizations, and other actors related to the energy resources consumed in the bitcoin mining process;</w:t>
      </w:r>
    </w:p>
    <w:p>
      <w:pPr>
        <w:spacing w:after="0" w:line="2" w:lineRule="exact"/>
        <w:rPr>
          <w:rFonts w:ascii="Arial" w:cs="Arial" w:eastAsia="Arial" w:hAnsi="Arial"/>
          <w:sz w:val="18"/>
          <w:szCs w:val="18"/>
          <w:b w:val="1"/>
          <w:bCs w:val="1"/>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consumer preferences and the perceived value or prospects of bitcoin;</w:t>
      </w:r>
    </w:p>
    <w:p>
      <w:pPr>
        <w:spacing w:after="0" w:line="8"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p>
      <w:pPr>
        <w:jc w:val="both"/>
        <w:ind w:left="980" w:hanging="324"/>
        <w:spacing w:after="0" w:line="250" w:lineRule="auto"/>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decrease in the price of other digital assets, including stablecoins, or the crash or unavailability of stablecoins that are used as a medium of exchange for bitcoin purchase and sale transactions, such as the crash of the stablecoin Terra USD in 2022, to the extent the decrease in the price of such other digital assets or the unavailability of such stablecoins may cause a decrease in the price of bitcoin or adversely affect investor confidence in digital assets generally;</w:t>
      </w:r>
    </w:p>
    <w:p>
      <w:pPr>
        <w:ind w:left="980" w:hanging="324"/>
        <w:spacing w:after="0" w:line="249" w:lineRule="auto"/>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identification of Satoshi Nakamoto, the pseudonymous person or persons who developed bitcoin, or the transfer of substantial amounts of bitcoin from bitcoin wallets attributed to Mr. Nakamoto;</w:t>
      </w:r>
    </w:p>
    <w:p>
      <w:pPr>
        <w:spacing w:after="0" w:line="1" w:lineRule="exact"/>
        <w:rPr>
          <w:rFonts w:ascii="Arial" w:cs="Arial" w:eastAsia="Arial" w:hAnsi="Arial"/>
          <w:sz w:val="18"/>
          <w:szCs w:val="18"/>
          <w:b w:val="1"/>
          <w:bCs w:val="1"/>
          <w:color w:val="auto"/>
        </w:rPr>
      </w:pPr>
    </w:p>
    <w:p>
      <w:pPr>
        <w:jc w:val="both"/>
        <w:ind w:left="980" w:hanging="324"/>
        <w:spacing w:after="0" w:line="252" w:lineRule="auto"/>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relating to the Bitcoin protocol, including (i) changes to the Bitcoin protocol that impact its security, speed, scalability, usability, or value, such as changes to the cryptographic security protocol underpinning the Bitcoin blockchain, changes to the maximum number of bitcoin outstanding, changes to the mutability of transactions, changes relating to the size of blockchain blocks, and similar changes, (ii) failures to make upgrades to the Bitcoin protocol to adapt to security, technological, legal or other challenges, and (iii) changes to the Bitcoin protocol that introduce software bugs, security risks or other elements that adversely affect bitcoin;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both"/>
        <w:ind w:left="980" w:hanging="324"/>
        <w:spacing w:after="0" w:line="254"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disruptions, failures, unavailability, or interruptions in service of trading venues for bitcoin, such as, for example, the announcement by the digital asset exchange FTX Trading that it would freeze withdrawals and transfers from its accounts and subsequent filing for bankruptcy protection and the SEC enforcement action brought against Binance Holdings Ltd., which has now been dropped but which initially sought to freeze all of its assets during the pendency of the enforcement action and has since resulted in Binance discontinuing all fiat deposits and withdrawals in the U.S.;</w:t>
      </w:r>
    </w:p>
    <w:p>
      <w:pPr>
        <w:spacing w:after="0" w:line="2"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filing for bankruptcy protection by, liquidation of, or market concerns about the financial viability of digital asset custodians, trading venues, lending platforms, investment funds, or other digital asset industry participants, such as the filing for bankruptcy protection by digital asset trading venues FTX Trading and BlockFi and digital asset lending platforms Celsius Network and Voyager Digital Holdings in 2022, the ordered liquidation of the digital asset investment fund Three Arrows Capital in 2022, the announced liquidation of Silvergate Bank in 2023, the government-mandated closure and sale of Signature Bank in 2023, the placement of Prime Trust, LLC into receivership following a cease-and-desist order issued by the Nevada Department of Business and Industry in 2023, and the exit of Binance from the U.S. market as part of its settlement with the Department of Justice and other federal regulatory agencies;</w:t>
      </w:r>
    </w:p>
    <w:p>
      <w:pPr>
        <w:spacing w:after="0" w:line="1"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regulatory, legislative, enforcement and judicial actions that adversely affect the price, ownership, transferability, trading volumes, legality or public perception of bitcoin, or that adversely affect the operations of or otherwise prevent digital asset custodians, trading venues, lending platforms or other digital assets industry participants from operating in a manner that allows them to continue to deliver services to the digital assets industry;</w:t>
      </w:r>
    </w:p>
    <w:p>
      <w:pPr>
        <w:jc w:val="both"/>
        <w:ind w:left="980" w:hanging="324"/>
        <w:spacing w:after="0" w:line="250"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further reductions in mining rewards of bitcoin, including due to block reward halving events, which are events that occur after a specific period of time (approximately once every four years, the most recent of which occurred in April 2024) that reduce the block reward earned by “miners” who validate bitcoin transactions; increases in the costs associated with bitcoin mining, including increases in electricity costs and hardware and software used in mining; new or enhanced regulation or taxation of bitcoin mining, which could further increase the costs associated with bitcoin mining, any of which may cause a decline in support for the Bitcoin network;</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transaction congestion and fees associated with processing transactions on the Bitcoin network;</w:t>
      </w:r>
    </w:p>
    <w:p>
      <w:pPr>
        <w:spacing w:after="0" w:line="8"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macroeconomic changes, such as changes in the level of interest rates and inflation, fiscal and monetary policies of governments, trade restrictions, and fiat currency devaluations;</w:t>
      </w:r>
    </w:p>
    <w:p>
      <w:pPr>
        <w:spacing w:after="0" w:line="1"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in mathematics or technology, including in digital computing, algebraic geometry and quantum computing, that could result in the cryptography used by the Bitcoin blockchain becoming insecure or ineffective; and</w:t>
      </w:r>
    </w:p>
    <w:p>
      <w:pPr>
        <w:spacing w:after="0" w:line="1" w:lineRule="exact"/>
        <w:rPr>
          <w:rFonts w:ascii="Arial" w:cs="Arial" w:eastAsia="Arial" w:hAnsi="Arial"/>
          <w:sz w:val="18"/>
          <w:szCs w:val="18"/>
          <w:b w:val="1"/>
          <w:bCs w:val="1"/>
          <w:color w:val="auto"/>
        </w:rPr>
      </w:pPr>
    </w:p>
    <w:p>
      <w:pPr>
        <w:jc w:val="both"/>
        <w:ind w:left="980" w:right="20" w:hanging="324"/>
        <w:spacing w:after="0" w:line="255"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national and international economic and political conditions, including, without limitation, federal government policies, trade tariffs and trade disputes, the adverse impacts attributable to the current conflict between Russia and Ukraine and the economic sanctions adopted in response to the conflict, and the broadening of the Israel-Hamas conflict to other countries in the Middle East.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and other digital assets are novel assets, and are subject to significant legal, commercial, regulatory and technical uncertainty.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Bitcoin and other digital assets are relatively novel and are subject to significant uncertainty, which could adversely impact their price. The application of state and federal securities laws and other laws and regulations to digital assets is evolving, and it is possible that regulators in the United States or foreign countries may interpret or apply existing laws and regulations in a manner that adversely affects the price of bitcoin or the ability of individuals or institutions such as us to own or transfer bitcoin.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within the past several years:</w:t>
      </w:r>
    </w:p>
    <w:p>
      <w:pPr>
        <w:spacing w:after="0" w:line="176" w:lineRule="exact"/>
        <w:rPr>
          <w:sz w:val="20"/>
          <w:szCs w:val="20"/>
          <w:color w:val="auto"/>
        </w:rPr>
      </w:pPr>
    </w:p>
    <w:p>
      <w:pPr>
        <w:jc w:val="both"/>
        <w:ind w:left="980" w:hanging="324"/>
        <w:spacing w:after="0" w:line="255"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and the working group recently released a report outlining a proposed framework for regulating the digital asset market in the U.S.;</w:t>
      </w:r>
    </w:p>
    <w:p>
      <w:pPr>
        <w:spacing w:after="0" w:line="1"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European Union adopted Markets in Crypto Assets Regulation (“MiCA”), a comprehensive digital asset regulatory framework for the issuance and use of digital assets, like bitcoin;</w:t>
      </w:r>
    </w:p>
    <w:p>
      <w:pPr>
        <w:spacing w:after="0" w:line="1" w:lineRule="exact"/>
        <w:rPr>
          <w:rFonts w:ascii="Arial" w:cs="Arial" w:eastAsia="Arial" w:hAnsi="Arial"/>
          <w:sz w:val="18"/>
          <w:szCs w:val="18"/>
          <w:b w:val="1"/>
          <w:bCs w:val="1"/>
          <w:color w:val="auto"/>
        </w:rPr>
      </w:pPr>
    </w:p>
    <w:p>
      <w:pPr>
        <w:ind w:left="980" w:hanging="324"/>
        <w:spacing w:after="0" w:line="259"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June 2023, the SEC filed complaints against Binance Holdings Ltd. (“Binance”) and Coinbase, Inc., and their respective affiliated entities, relating to, among other claims, that each party was operating as an unregistered securities exchange, broker, dealer, and clearing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 w:name="page16"/>
    <w:bookmarkEnd w:id="15"/>
    <w:p>
      <w:pPr>
        <w:ind w:left="980" w:hanging="324"/>
        <w:spacing w:after="0" w:line="260"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November 2023, the SEC filed a complaint against Payward Inc. and Payward Ventures Inc., together known as Kraken, alleging, among other claims, that Kraken’s crypto trading platform was operating as an unregistered securities exchange, broker, dealer, and clearing agency;</w:t>
      </w:r>
    </w:p>
    <w:p>
      <w:pPr>
        <w:spacing w:after="0" w:line="1"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June 2023, the United Kingdom adopted and implemented the Financial Services and Markets Act 2023 (“FSMA 2023”), which regulates market activities in “cryptoassets”;</w:t>
      </w:r>
    </w:p>
    <w:p>
      <w:pPr>
        <w:spacing w:after="0" w:line="1"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November 2023, Binance and its then chief executive officer reached a settlement with the U.S. Department of Justice, CFTC, the U.S. Department of Treasury’s Office of Foreign Asset Control, and the Financial Crimes Enforcement Network to resolve a multi-year investigation by the agencies and a civil suit brought by the CFTC, pursuant to which Binance Holdings Ltd. agreed to, among other things, pay $4.3 billion in penalties across the four agencies and to discontinue its operations in the United States;</w:t>
      </w:r>
    </w:p>
    <w:p>
      <w:pPr>
        <w:jc w:val="both"/>
        <w:ind w:left="980" w:hanging="324"/>
        <w:spacing w:after="0" w:line="250"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May 2025, the SEC dismissed its civil enforcement action, which included charges of operating unregistered exchanges, broker-dealers and clearing agencies, as well as charges of the unregistered offer and sale of securities, against Binance, its related entities BAM Trading Services Inc. and BAM Management US Holdings Inc, and its founder, Changpeng Zhao; and</w:t>
      </w:r>
    </w:p>
    <w:p>
      <w:pPr>
        <w:ind w:left="980" w:hanging="324"/>
        <w:spacing w:after="0" w:line="259"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China, the People’s Bank of China and the National Development and Reform Commission have outlawed cryptocurrency mining and declared all cryptocurrency transactions illegal within the country.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bitcoin specifically. The consequences of any new law or regulation relating to digital assets and digital asset activities could adversely affect the market price of bitcoin, as well as our ability to hold or transact in bitcoin, and in turn adversely affect the market price of our listed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the risks of engaging in the DAT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growth of the digital assets industry in general, and the use and acceptance of BTC or ETH in particular, may also impact the price of BTC or ETH and is subject to a high degree of uncertainty. The pace of worldwide growth in the adoption and use of BTC, ETH or other cryptocurrency may depend, for instance, on public familiarity with digital assets, ease of buying, accessing or gaining exposure to BTC, ETH or other cryptocurrency, institutional demand for cryptocurrency as an investment asset, the participation of traditional financial institutions in the digital assets industry, consumer demand for BTC or ETH as a store of value or means of payment, and the availability and popularity of alternatives to BTC or ETH. Even if growth in bitcoin adoption occurs in the near or medium-term, there is no assurance that bitcoin usage will continue to grow over the long-term.</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digital assets have no physical existence beyond the record of transactions on the Bitcoin or other blockchain, a variety of technical factors related to the BTC blockchain could also impact the price of BTC.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Actions by U.S. banking regulators, such as the issuance in February 2023 by Federal banking agencies of the “Interagency Liquidity Risk Statement,” which cautioned banks on contagion risks posed by providing services to digital assets customers, and similar actions, have in the past resulted in or contributed to reductions in access to banking services for bitcoin-related customers and service providers, or the willingness of traditional financial institution to participate in markets for digital assets. The liquidity of bitcoin may also be impacted to the extent that changes in applicable laws and regulatory requirements negatively impact the ability of exchanges and trading venues to provide services for bitcoin and other digital assets.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hold USDai and sUSDai. Such holdings of USDai and sUSDai would expose us to risks specific to the USD.AI protocol and sUSDai’s yield-bearing and redemption mechanics. In addition to the risks associated with our DAT Strategy and digital asset holdings described above, our holdings of USDai and staked USDai, or sUSDai, will be subject to risks specific to the USD.AI protocol, including risks relating to the protocol’s reserve, staking, share-pricing, lending and redemption mechanics. Although USDai is intended to function as a fully backed synthetic dollar, it is not cash or an insured bank deposit, and its redeemability depends on the continued availability and operation of the protocol’s supported stablecoin reserves, swap adapters and related processes. sUSDai is a yield-bearing vault/share token rather than a stablecoin, and its value, yield and redemption proceeds depend on the performance, valuation and liquidity of underlying lending positions, unallocated USDai and protocol-administered share-pricing methodology. Redemptions of sUSDai may be asynchronous, queued, subject to timelocks and serviced periodically, and the redemption share price may be lower than the deposit share price or the value reflected in accrued yield, including if underlying loans default, collateral values are impaired, liquidity is unavailable, or the applicable position managers, administrators or governance-controlled processes do not operate as expected. Any inability to redeem USDai or sUSDai when needed, any shortfall between expected and realized redemption value or yield, or any adverse change in the USD.AI protocol, its collateral, loan performance, reserves or redemption process could reduce the value or liquidity of these holdings and adversely affect our liquidity, financial condition and results of operations.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historical financial statements do not reflect the potential variability in earnings that we may experience in the future relating to our bitcoin holdings.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only recently commenced our DAT Strategy. As a result, our historical financial statements do not reflect the potential variability in earnings that we may experience in the future from holding or selling significant amounts of bitcoin.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of bitcoin has historically been subject to dramatic price fluctuations and is highly volatile. In December 2023, the FASB issued ASU 2023-08, which we will need to adopt going forward. We determine the fair value of our bitcoin based on quoted (unadjusted) prices on the Coinbase exchange (our principal market for bitcoin).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2023-08 requires us to measure our bitcoin holdings at fair value in our statement of financial position, and to recognize gains and losses from changes in the fair value of our digital assets in net income each reporting period. ASU 2023-08 also requires us to provide certain interim and annual disclosures with respect to our digital asset holdings. ASU 2023-08 does not permit retrospective restatement of prior periods. Accordingly, we expect the adoption of ASU 2023-08 to significantly affect the carrying value of our digital assets on our balance sheet.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our adoption of ASU 2023-08, we may incur greater losses during periods when we previously would have incurred smaller losses or no losses because we had already impaired the carrying value of our digital assets to a low price observed during a prior period, and we may also incur gains during periods when the market value of BTC or ETH rises, as compared to periods prior to January 1, 2025, when we would not have incurred any gains under similar circumstances. Accordingly, due in particular to the volatility in the price of bitcoin, we expect the adoption of ASU 2023-08 to increase the volatility of our financial results. Additionally, as a result of ASU 2023-08 requiring a cumulative-effect adjustment to our opening balance of retained earnings as of January 1, 2025 and not permitting retrospective restatement of prior periods, our future results will not be comparable to results from periods prior to our adoption of the guidance.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we may purchase additional bitcoin in future periods and increase our overall holdings of BTC, ETH or other digital assets, we expect that the proportion of our total assets represented by our DAT holdings will increase in the future. As a result, and in particular due to our adoption of ASU 2023-08, volatility in our earnings may be significantly more than what we experienced in prior periods.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availability of spot exchange traded products (“ETPs”) for bitcoin and other digital assets may adversely affect the market price of our listed securities.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bitcoin and other digital assets have experienced a surge of investor attention since bitcoin was invented in 2008, until recently investors in the United States had limited means to gain direct exposure to bitcoin and other digital assets through traditional investment channels, and instead generally were only able to hold bitcoin or other digital assets through “hosted” wallets provided by digital asset service providers or through “unhosted” wallets that expose the investor to risks associated with loss or hacking of their private keys. Given the relative novelty of digital assets, general lack of familiarity with the processes needed to hold bitcoin directly, as well as the potential reluctance of financial planners and advisers to recommend direct bitcoin holdings to their retail customers because of the manner in which such holdings are custodied, some investors have sought exposure to bitcoin through investment vehicles that hold bitcoin and issue shares representing fractional undivided interests in their underlying bitcoin holdings. These vehicles, which were previously offered only to “accredited investors” on a private placement basis, have in the past traded at substantial premiums to net asset value, possibly due to the relative scarcity of traditional investment vehicles providing investment exposure to bitcoin.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2024, the SEC approved the listing and trading of spot bitcoin ETPs, the shares of which can be sold in public offerings and are traded on U.S. national securities exchanges. The approved ETPs commenced trading directly to the public on January 11, 2024, with a trading volume of $4.6 billion on the first trading day. Additionally, on May 23, 2024, the SEC approved rule changes permitting the listing and trading of spot ETPs that invest in ether, the main crypto asset supporting the Ethereum blockchain. The approved spot ETPs commenced trading directly to the public on July 23, 2024. The listing and trading of spot ETPs for ether offers investors another alternative to gain exposure to digital assets, which could result in a decline in the trading price of bitcoin as well as a decline in the value of our common stock relative to the value of our bitcoin.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are an operating company, and we believe we offer a different value proposition than a bitcoin investment vehicle such as a spot bitcoin ETP, investors may nevertheless view our common stock as an alternative to an investment in an ETP, and choose to purchase shares of a spot bitcoin ETP instead of our common stock. They may do so for a variety of reasons, including if they believe that ETPs offer a “pure play” exposure to bitcoin that is generally not subject to federal income tax at the entity level as we are, or the other risk factors applicable to an operating business, such as ours. Additionally, unlike spot bitcoin ETPs, we (i) do not seek for our shares of common stock to track the value of the underlying bitcoin or other digital asset we hold before payment of expenses and liabilities, (ii) do not benefit from various exemptions and relief under the Securities Exchange Act of 1934, as amended, including Regulation M, and other securities laws, which enable ETPs to continuously align the value of their shares to the price of the underlying assets they hold through share creation and redemption, (iii) are a Nevada corporation rather than a statutory trust, and do not operate pursuant to a trust agreement that would require us to pursue one or more stated investment objectives, and (iv) are not required to provide daily transparency as to our bitcoin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our common stock. Based on how we are viewed in the market relative to ETPs, and other vehicles which offer economic exposure to bitcoin, such as bitcoin futures exchange-traded funds (“ETFs”), leveraged bitcoin futures ETFs, and similar vehicles offered on international exchanges, any premium or discount in our common stock relative to the value of our bitcoin holdings may increase or decrease in different market conditions.</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foregoing factors, availability of spot ETPs for bitcoin and other digital assets could have a material adverse effect on the market price of our listed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 Strategy subjects us to enhanced regulatory oversight.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several spot bitcoin ETPs have received approval from the SEC to list their shares on a U.S. national securities exchange with continuous share creation and redemption at net asset value. Even though we are not, and do not function in the manner of, a spot bitcoin ETP, it is possible that we nevertheless could face regulatory scrutiny from the SEC or other federal or state agencies due to our bitcoin holdings.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and maintain policies and procedures reasonably designed to promote compliance with applicable anti-money laundering and sanctions laws and regulations and take care to only acquire our bitcoin through entities subject to anti-money laundering regulation and related compliance rules in the United States, if we are found to have purchased any of our bitcoin from bad actors that have used bitcoin to launder money or persons subject to sanctions, we may be subject to regulatory proceedings and any further transactions or dealings in bitcoin by us may be restricted or prohibited.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bitcoin holdings will serve as collateral securing our outstanding indebtedness to the Investor following this Offering. In addition, we may incur indebtedness or enter into other financial instruments in the future that may be collateralized by our bitcoin or other digital asset holdings. We may also consider pursuing strategies to create income streams or otherwise generate funds using our digital asset holdings. These types of bitcoin- and cryptocurrency-related transactions are the subject of enhanced regulatory oversight. These and any other bitcoin- or cryptocurrency-related transactions we may enter into, beyond simply acquiring and holding BTC or ETH, may subject us to additional regulatory compliance requirements and scrutiny, including under federal and state money services regulations, money transmitter licensing requirements and various commodity and securities laws and regulations.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laws, guidance and policies may be issued by domestic and foreign regulators following the filing for Chapter 11 bankruptcy protection by FTX, one of the world’s largest cryptocurrency exchanges, in November 2022, which brought increased regulatory scrutiny to the digital asset industry. Increased enforcement activity and changes in the regulatory environment, including changing interpretations and the implementation of new or varying regulatory requirements by the government or any new legislation affecting bitcoin, as well as enforcement actions involving or impacting our trading venues, counterparties and custodians, may impose significant costs or significantly limit our ability to hold and transact in bitcoin or other digital assets.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private actors that are wary of bitcoin, other digital assets, or the regulatory concerns associated with digital assets in general have in the past taken and may in the future take further actions that may have an adverse effect on our business or the market price of our listed securities.</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unregulated nature and lack of transparency surrounding the operations of many bitcoin and digital asset trading venues, such trading venues may experience greater fraud, security failures or regulatory or operational problems than trading venues for more established asset classes, which may result in a loss of confidence in bitcoin trading venues and adversely affect the value of our bitcoin.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Bitcoin and other digital asset trading venues are relatively new and, in many cases, unregulated. Furthermore, there are many digital asset trading venues which do not provide the public with significant information regarding their ownership structure, management teams, corporate practices and regulatory compliance. As a result, the marketplace may lose confidence in BTC, ETH or other digital asset trading venues, including prominent exchanges that handle a significant volume of digital asset trading and/or are subject to regulatory oversight, in the event one or more bitcoin trading venues cease or pause for a prolonged period the trading of bitcoin or other digital assets, or experience fraud, significant volumes of withdrawal, security failures or operational problems.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2019 there were reports claiming that 80-95% of bitcoin trading volume on trading venues was false or non-economic in nature, with specific focus on unregulated exchanges located outside of the United States. The SEC also alleged as part of its June 5, 2023 complaint against Binance Holdings Ltd. that Binance committed strategic and targeted “wash trading” through its affiliates to artificially inflate the volume of certain digital assets traded on its exchange. 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bitcoin market is significantly smaller than expected and that the United States makes up a significantly larger percentage of the bitcoin market than is commonly understood. Any actual or perceived wash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 reason, may result in a decline in confidence in bitcoin and the broader bitcoin ecosystem and greater volatility in the price of bitcoin. For example, in 2022, each of Celsius Network, Voyager Digital, Three Arrows Capital, FTX, and BlockFi filed for bankruptcy, after which the market prices of bitcoin and other digital assets significantly declined. In addition, in June 2023, the SEC announced enforcement actions against Coinbase, Inc., and Binance Holdings Ltd., two providers of large trading venues for digital assets, which similarly was followed by a decrease in the market price of bitcoin and other digital assets. These were followed in November 2023, by an SEC enforcement action against Payward Inc. and Payward Ventures Inc., together known as Kraken, another large trading venue for digital assets. As the price of our listed securities is affected by the value of our bitcoin holdings, the failure of a major participant in the bitcoin ecosystem could have a material adverse effect on the market price of our listed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concentration of our bitcoin holdings enhances the risks inherent in our DAT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only just recently began our acquisition of bitcoin, we anticipate that the concentration of our bitcoin holdings will limit the risk mitigation that we could achieve if we were to purchase a more diversified portfolio of treasury assets, and the absence of diversification enhances the risks inherent in our DAT Strategy. Any future significant declines in the price of bitcoin would have a pronounced impact on our financial condition than if we used our cash to purchase a more diverse portfolio of assets.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emergence or growth of other digital assets, including those with significant private or public sector backing, could have a negative impact on the price of bitcoin and adversely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our DAT Strategy, our digital assets have been concentrated in BTC and ETH holdings. Accordingly, the emergence or growth of digital assets other than BTC or ETH may have a material adverse effect on our financial condition. However, there are numerous alternative digital assets and many entities, including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that requires significantly less computing power than proof-of-work mining. The Ethereum network has completed another major upgrade since then and may undertake additional upgrades in the future. If the mechanisms for validating transactions in Ethereum and other alternative digital assets are perceived as superior to proof-of-work mining, those digital assets could gain market share relative to bitcoin.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alternative digital assets that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central banks in some countries have started to introduce digital forms of legal tender. For example, China’s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to decrease, which could have a material adverse effect on our business, prospects, financial condition, and operating results.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When acquired, our bitcoin holdings will be less liquid than our existing cash and cash equivalents and may not be able to serve as a source of liquidity for us to the same extent as cash and cash equivalents.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As a result, our bitcoin holdings may not be able to serve as a source of liquidity for us to the same extent as cash and cash equivalents.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or cyberattack and unauthorized parties obtain access to our bitcoin, or if our private keys are lost or destroyed, or other similar circumstances or events occur, we may lose some or all of our bitcoin and our financial condition and results of operations could be materially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the bitcoin we own is held in custody accounts at institutional-grade digital asset custodians.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spacing w:after="0" w:line="189" w:lineRule="exact"/>
        <w:rPr>
          <w:sz w:val="20"/>
          <w:szCs w:val="20"/>
          <w:color w:val="auto"/>
        </w:rPr>
      </w:pPr>
    </w:p>
    <w:p>
      <w:pPr>
        <w:ind w:left="980" w:hanging="324"/>
        <w:spacing w:after="0" w:line="260" w:lineRule="auto"/>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partial or total loss of our bitcoin in a manner that may not be covered by insurance or the liability provisions of the custody agreements with the custodians who hold our bitcoin;</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harm to our reputation and brand;</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improper disclosure of data and violations of applicable data privacy and other laws; or</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significant regulatory scrutiny, investigations, fines, penalties, and other legal, regulatory, contractual and financial exposure.</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since the onset of the COVID-19 pandemic.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bitcoin industry, including third-party services on which we rely, could materially and adversely affect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relating to the custody of our bitcoin, including the loss or destruction of private keys required to access our bitcoin and cyberattacks or other data loss relating to our bitcoin.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hold, or will hold, our bitcoin with regulated custodians that have duties to safeguard our private keys. Our custodial services contracts do not restrict our ability to reallocate our bitcoin among our custodians, and our bitcoin holdings may be concentrated with a single custodian from time to time. In light of the significant amount of bitcoin we hold, we continually seek to engage additional custodians to achieve a greater degree of diversification in the custody of our bitcoin as the extent of potential risk of loss is dependent, in part, on the degree of diversification. If there is a decrease in the availability of digital asset custodians that we believe can safely custody our bitcoin, for example, due to regulatory developments or enforcement actions that cause custodians to discontinue or limit their services in the United States, we may need to enter into agreements that are less favorable than our current agreements or take other measures to custody our bitcoin, and our ability to seek a greater degree of diversification in the use of custodial services would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The insurance that covers losses of our bitcoin holdings covers only a small fraction of the value of the entirety of our bitcoin holdings, and there can be no guarantee that such insurance will be maintained as part of the custodial services we have or that such coverage will cover losses with respect to our bitcoin. Moreover, our use of custodians exposes us to the risk that the bitcoin our custodians hold on our behalf could be subject to insolvency proceedings and we could be treated as a general unsecured creditor of the custodian, inhibiting our ability to exercise ownership rights with respect to such bitcoin. Any loss associated with such insolvency proceedings is unlikely to be covered by any insurance coverage we maintain related to our bitcoin.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Bitcoin is controllable only by the possessor of both the unique public key and private key(s) relating to the local or online digital wallet in which the bitcoin is held. While the Bitcoin blockchain ledger requires a public key relating to a digital wallet to be published when used in a transaction, private keys must be safeguarded and kept private in order to prevent a third party from accessing the bitcoin held in such wallet. To the extent the private key(s) for a digital wallet are lost, destroyed, or otherwise compromised and no backup of the private key(s) is accessible, neither we nor our custodians will be able to access the bitcoin held in the related digital wallet. Furthermore, we cannot provide assurance that our digital wallets, nor the digital wallets of our custodians held on our behalf, will not be compromised as a result of a cyberattack. The bitcoin and blockchain ledger, as well as other digital assets and blockchain technologies, have been, and may in the future be, subject to security breaches, cyberattacks, or other malicious activities.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change reclassifying bitcoin as a security could lead to our classification as an “investment company” under the Investment Company Act of 1940 and could adversely affect the market price of bitcoin and the market price of our listed securities.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are only just commencing our DAT Strategy, in the future our assets may be concentrated in bitcoin holdings. While senior SEC officials have stated their view that bitcoin is not a “security” for purposes of the federal securities laws, a contrary determination by the SEC could lead to our classification as an “investment company” under the Investment Company Act of 1940, which would subject us to significant additional regulatory controls that could have a material adverse effect on our ability to execute on our DAT Strategy, and our business and operations and may also require us to substantially change the manner in which we conduct our business.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bitcoin is determined to constitute a security for purposes of the federal securities laws, the additional regulatory restrictions imposed by such a determination could adversely affect the market price of bitcoin and in turn adversely affect the market price of our listed securities.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monitor our assets and income in order to conduct our business activities in a manner such that we do not fall within the definition of “investment company” under the 1940 Act or would qualify under one of the exemptions or exclusions provided by the 1940 Act and corresponding SEC rules. If bitcoin is determined to be a security for purposes of the federal securities laws, we would take steps to reduce our holdings of bitcoin as a percentage of our total assets. These steps may include, among others, selling bitcoin that we might otherwise hold for the long term and deploying our cash in assets that are not considered to be investment securities under the 1940 Act, in which case we may be forced to sell our bitcoin at unattractive prices. We may also seek to acquire additional assets that are not considered to be investment securities under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meeting the definition of “investment company” under the 1940 Act and becoming subject to its requirements. If bitcoin is determined to constitute a security for purposes of the federal securities laws, and if we are not able to come within an available exemption or exclusion under the 1940 Act, then we would have to register as an investment company and require us to change the manner in which we conduct our business. In addition, such a determination could adversely affect the market price of bitcoin and in turn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DAT Strategy would require the approval of our board of directors, no shareholder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bitcoin.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 Strategy exposes us to risk of non-performance by counterparties.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DAT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bitcoin, a loss of the opportunity to generate funds, or other losses.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counterparty risk with respect to our bitcoin is custodian performance obligations under the various custody arrangements we have entered into. A series of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the closure or liquidation of certain financial institutions that provided lending and other services to the digital assets industry, including Signature Bank and Silvergate Bank, SEC enforcement actions against Coinbase, Inc., Binance Holdings Ltd., and Kraken, the placement of Prime Trust, LLC into receivership following a cease-and-desist order issued by Nevada’s Department of Business and Industry, and the filing and subsequent settlement of a civil fraud lawsuit by the New York Attorney General against Genesis Global Capital, its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bitcoin, nor have such events adversely impacted our access to our bitcoin,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our custodians are subject to regulatory regimes intended to protect customers in the event of a custodial bankruptcy, receivership or similar insolvency proceeding, no assurance can be provided that our custodially-held bitcoin will not become part of the custodian’s insolvency estate if one or more of our custodians enters bankruptcy, receivership or similar insolvency proceedings. Additionally, if we pursue any strategies to create income streams or otherwise generate funds using our bitcoin holdings, we would become subject to additional counterparty risks. Any significant non-performance by counterparties, including in particular the custodians with which we custody substantially all of our bitcoin, could have a material adverse effect on our business, prospects,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and the market price of our common stock may be affected by the price of Bitcoin.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capital allocation strategy for assets that are not required to provide working capital for our ongoing operations, we have invested and will continue to invest in bitcoin. After closing on the sale of Series A Convertible Notes and Series B Convertibles, we intend to purchase approximately $4.4 million in BTC and ETH, which will remain in a controlled account. The price of bitcoin has historically been subject to dramatic price fluctuations and is highly volatile. Moreover, digital assets, such as bitcoin, are relatively novel and the application of securities laws and other regulations to such assets is unclear in many respects. It is possible that regulators may interpret laws in a manner that adversely affects the liquidity or value of bitcoin.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Any decrease in the fair value of bitcoin below our carrying value for such assets could require us to incur an impairment charge, and such charge could be material to our financial results for the applicable reporting period, which may create significant volatility in our reported earnings. Any decrease in reported earnings or increased volatility of such earnings could have a material adverse effect on the market price of our common stock. In addition, the application of generally accepted accounting principles in the United States with respect to bitcoin remains uncertain in some respects, and any future changes in the manner in which we account for our bitcoin assets could have a material adverse effect on our financial results and the market price of our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investors view the value of our common stock as dependent upon or linked to the value or change in the value of our bitcoin holdings, the price of bitcoin may significantly influence the market price of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which could result in substantial losses for purchasers of 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has experienced extreme volatility that has often been unrelated to the operating performance of particular companies. With the adoption of our new bitcoin treasury strategy, we expect to see additional volatility. As a result of this volatility, you may not be able to sell your common stock. The market price for our common stock may be influenced by many factors, including:</w:t>
      </w:r>
    </w:p>
    <w:p>
      <w:pPr>
        <w:spacing w:after="0" w:line="18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bitcoin treasury strategy;</w:t>
      </w:r>
    </w:p>
    <w:p>
      <w:pPr>
        <w:spacing w:after="0" w:line="26"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success of competitive products, services or technologies;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recruitment or departure of key personnel;</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general economic, industry and market conditions; and</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other factors described in this ‘‘Risk Factors’’ section.</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may invest or spend the proceeds of any offering by the Company in ways with which you may not agree or in ways that may not yield a return.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any offering by the Company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additional products and services our pursuit of our new DAT Strategy. Pending their use, we may invest the net proceeds from this offering in a manner that does not produce income or that loses value. We will not receive any proceeds from sales by the Selling Stockholders.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bitcoin holdings are less liquid than our existing cash and cash equivalents and may not be able to serve as a source of liquidity for us to the same extent as cash and cash equivalents.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digital assets or otherwise generate funds using our bitcoin holdings, including in particular during times of market instability or when the price of bitcoin has declined significantly. If we are unable to sell our bitcoin, enter into additional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Mutual funds, exchange-traded funds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Treasury Reserve Policy would require the approval of our board of directors, no stockholder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digital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other risks related to our DAT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DAT Strategy exposes us to various risks, including the following:</w:t>
      </w:r>
    </w:p>
    <w:p>
      <w:pPr>
        <w:spacing w:after="0" w:line="225" w:lineRule="exact"/>
        <w:rPr>
          <w:sz w:val="20"/>
          <w:szCs w:val="20"/>
          <w:color w:val="auto"/>
        </w:rPr>
      </w:pPr>
    </w:p>
    <w:p>
      <w:pPr>
        <w:ind w:left="980" w:right="20" w:hanging="324"/>
        <w:spacing w:after="0" w:line="260" w:lineRule="auto"/>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bitcoin and other digital assets are subject to significant legal, commercial, regulatory, and technical uncertainty, and our DAT Strategy could subject us to enhanced regulatory oversight;</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regulatory changes could impact our ability to operate validators or receive rewards;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regulatory scrutiny of the Company’s activities may increase, potentially limiting our operations;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potential litigation risks exist related to smart contract vulnerabilities, validator operations, or our business activities;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uncertainty around bitcoin’s regulatory status may impact our ability to list on certain exchanges;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political administration may not guarantee a favorable regulatory environment for bitcoin;</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increased regulatory focus on Layer-1 blockchains beyond Bitcoin and Ethereum could result in new compliance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SERIES A CONVERTIBLE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shares of our common stock issuable upon conversion of up to $3,000,000 aggregate principal amount of our Series A senior secured convertible promissory notes, which we refer to herein as the “Series A Convertible Notes.” The Series A Convertible Notes are senior secured obligations of the Company, bear interest at 10% per annum and are convertible into shares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of the shares of our common stock issuable from time to time upon conversion of the Series A Convertible Notes.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Series A Convertible Notes and the Purchase Agreement. Capitalized terms used in this description but not otherwise defined herein have the meanings assigned to them in the Series A Convertible Notes or the Purchase Agreement, as applicable. This summary is not complete and is qualified in its entirety by reference to the Series A Convertible Notes and the Purchase Agreement. Copies of those documents are available as described under “</w:t>
      </w:r>
      <w:r>
        <w:rPr>
          <w:rFonts w:ascii="Times New Roman" w:cs="Times New Roman" w:eastAsia="Times New Roman" w:hAnsi="Times New Roman"/>
          <w:sz w:val="18"/>
          <w:szCs w:val="18"/>
          <w:u w:val="single" w:color="auto"/>
          <w:color w:val="0000EE"/>
        </w:rPr>
        <w:t>Where You Can Find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Series A Convertible Notes bear interest at 10% per annum, are senior secured obligations of the Company, and are convertible into shares of our common stock as described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the Series A Convertible Notes are outstanding, we are required to reserve at least 100% of the number of shares of common stock necessary to effect the conversion of all outstanding Series A Convertible Notes at the Floor Price then in effect. The Series A Convertible Notes contain customary adjustment mechanisms for stock splits, stock dividends and other similar corporate events, as well as protections in the event of a fundamental transaction, each as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Price; Principal Amount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registering for resale herein up to 8,089,888 shares of common stock issuable upon conversion of $3,000,000 aggregate principal amount of Series A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earlier converted or redeemed, each Series A Convertible Note matures on the 24-month anniversary of the Issuance Date. On the Maturity Dates, the Company is required to pay to the holder in cash all outstanding principal, accrued and unpaid interest and accrued and unpaid late charges. The Company may not prepay the Series A Convertible Notes except as specifically permitted.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Convertible Notes bear interest at 10% per annum, payable monthly on the first trading day of each calendar month. Upon the occurrence and during the continuance of an event of default, the interest rate on the Series A Convertible Notes will increase by 7.0% per annum. Interest is payable in shares of common stock, so long as there has been no Equity Conditions Failure or, at the Company’s option, in cash or a combination thereof. Interest payable in shares of common stock will be calculated based on the number of shares equal to the amount of interest payable divided by the Alternate Conversion Price in effect on the applicable interest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at the Option of the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may convert all or any portion of the outstanding principal and accrued interest at any time after the issuance date.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Conversion Price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fixed Conversion Price for the Series A Convertible Note issued on September 15, 2026 is $3.156, subject to adjustment as provided in the Series A Convertible Note.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 may elect to convert at an Alternate Conversion Price, which provides for conversion at a discounted price based on recent trading VWAP. The Alternate Optional Conversion Price is equal to the lower of (i) the Conversion Price or (ii) the greater of (x) the Floor Price or (y) 95% of the lowest VWAP during the seven (7) consecutive trading day period ending on the trading day immediately preceding delivery of the conversion notice. The Alternate Event of Default Conversion Price is equal to the lower of (i) the Conversion Price or (ii) the greater of (x) the Floor Price or (y) 90% of the lowest VWAP during the ten (10) consecutive trading day period ending on the trading day immediately preceding delivery of the conversion notice. The Floor Price is $0.388 per share for the Series A Convertible Note issued on September 15, 2026, subject to adjustment.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Limitation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Conversions are prohibited to the extent they would result in the holder beneficially owning more than 4.99% of our outstanding common stock. The holder may increase this limitation up to 9.99% upon 61 days’ prior written notice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Redemption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all or any portion of the outstanding conversion amount at any time at a premium of 10% of the conversion amount being redeemed (or a premium of 15% during an Event of Default Redemption Right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Transactions and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a Fundamental Transaction, the Company must either (i) cause any successor entity to assume the Company’s obligations under the Series A Convertible Notes or (ii) permit the holder to require redemption at the Change of Control Redemption Price. A Fundamental Transaction includes any transaction that would result in a change of control of the Company or a sale of substantially all of its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Anti-Dilution Adjustments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Conversion Price is subject to adjustment upon stock splits, stock dividends, stock combinations, recapitalizations and similar events, issuance of common stock, options or convertible securities at prices below 115% of the Conversion Price then in effect (subject to certain conditions), distributions to stockholders, and other dilutive events. The holder is entitled to participate in purchase rights and distributions made to common stockholders as if the holder had converted the Series A Convertible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Shares Upon Conversion</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Conversion shares must be delivered within one trading day after the Company’s receipt of a conversion notice. If the Company fails to deliver shares when due on more than two occasions, it is required to pay liquidated damages equal to 1% per day of the product of (i) the number of shares not delivered times</w:t>
      </w:r>
    </w:p>
    <w:p>
      <w:pPr>
        <w:spacing w:after="0" w:line="1" w:lineRule="exact"/>
        <w:rPr>
          <w:sz w:val="20"/>
          <w:szCs w:val="20"/>
          <w:color w:val="auto"/>
        </w:rPr>
      </w:pPr>
    </w:p>
    <w:p>
      <w:pPr>
        <w:ind w:firstLine="8"/>
        <w:spacing w:after="0" w:line="260" w:lineRule="auto"/>
        <w:tabs>
          <w:tab w:leader="none" w:pos="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trading price selected by the holder during the period from the conversion date to the share delivery deadline. The holder also has buy-in rights if the Company fails to timely deliver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Series A Convertible Notes remain outstanding, the Company is subject to various restrictive covenants, including limitations on incurrence of additional indebtedness (other than permitted indebtedness), creation of liens (other than permitted liens), restricted payments and investments, redemption of equity securities, transfer of assets (other than in the ordinary course), transactions with affiliates, and changes in the nature of business.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Series A Convertible Notes and the Series B Convertible Notes issued under the Purchase Agreement are secured obligations of the Company, secured by substantially all of the assets of the Company and certain of its subsidiaries pursuant to the Security Agreement and other security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Series A Convertible Notes constitute senior secured obligations of the Company and rank senior to all of the Company’s other outstanding and future indebtedness, subject to certain exceptions for permitted indebtedness.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Convertible Notes are convertible into shares of common stock, upon the conversion terms described above and as set forth in the Series A Convertible Notes. As of November 4, 2026, our authorized capital stock consists of 980,000,000 shares of common stock, par value $0.001 per share, of which 644,010 shares of common stock were issued and outstanding; and 20,000,000 shares of preferred stock, par value $0.001 per share, none of which were issued and outstanding. The authorized and unissued shares of common stock and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will not seek stockholder approval for the issuance and sale of our common stock.</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express terms of any outstanding preferred stock, dividends may be paid in cash or otherwise with respect to the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out of the assets of the Company legally available therefor, upon the terms, and subject to such limitations, as the board of directors may determine.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common stock are entitled to one (1) vote per share in voting or consenting to the election of directors and for all other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for which they are entitled to vote.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Subject to the express terms of any outstanding preferred stock, in the event of a Liquidation of the Corporation, the holders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shall be entitled to share in the distribution of any remaining assets available for distribution to the holders of common stock ratably in proportion to the total number of shares of common stock then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selling any common stock under this prospectus, and we will not receive any proceeds from the sale of the common stock by the Selling Stockholder. All net proceeds from the sale of the common stock covered by this prospectus will go to the Selling Stockholder. However, the Company will receive proceeds upon the sale of the Series A Convertible Notes issued in any additional closing pursuant to the Purchase Agreement, which proceeds the Company intends to use to pay off existing loans, investing in additional digital assets, and for general corporate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the Selling Stockholder will sell their Shares as described under “</w:t>
      </w:r>
      <w:r>
        <w:rPr>
          <w:rFonts w:ascii="Times New Roman" w:cs="Times New Roman" w:eastAsia="Times New Roman" w:hAnsi="Times New Roman"/>
          <w:sz w:val="18"/>
          <w:szCs w:val="18"/>
          <w:u w:val="single" w:color="auto"/>
          <w:color w:val="0000EE"/>
        </w:rPr>
        <w:t>Plan of Distribution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 common stock being offered by the Selling Stockholder are those shares issuable to the Selling Stockholder upon conversion of the Series A Convertible Notes, consisting of up to 8,089,888 shares of common stock underlying $3,000,000 of outstanding principal of the Series A Convertible Note, including accrued interest through October 30, 2026. The Series A Convertible Note was issued to the Selling Stockholder in a private placement which closed on September 15, 2026. For additional information regarding the issuance of the Series A Convertible Note, see “Prospectus Summary - Recent Developments - Registered Direct Offering” above. We are registering the shares of common stock issuable upon conversion of the Series A Convertible Note in order to permit the Selling Stockholder to offer the Shares for resale from time to time. Except as noted in this prospectus, the Selling Stockholder has not had any material relationship with us within the past three years.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lists the Selling Stockholder and other information regarding the beneficial ownership (as determined under Section 13(d) of the Securities Exchange Act of 1934, as amended, and the rules and regulations thereunder) of shares of our common stock held by the Selling Stockholder. The second column lists the number of shares of common stock beneficially owned by the Selling Stockholder, which number includes the shares underlying the Convertible Note, as of October 30, 2026, taking into account any limitations on conversions set forth therein. The third column lists the maximum number of the shares of common stock being offered in this prospectus by the Selling Stockholder and does not take into account any limitations on conversion of the Series A Convertible Notes set forth therein. The fourth column lists the amount of the shares of common stock owned after the offering, assuming in the sale of all of the Shares of common stock offered by the Selling Stockholder pursuant to this prospectus, and without regard to any limitations on conversions.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 this prospectus generally covers the resale of the maximum number of shares of common stock issued or issuable upon conversion of the Series A Convertible Note, including any interest due thereunder through October 30, 2026, determined as if the Series A Convertible Note was issued as of the date hereof and were converted in full (without regard to any limitations on conversion contained therein solely for the purpose of such calculation) at the floor price in effect on the date this registration statement was initially filed with the SEC. Because the conversion price and floor price of the Series A Convertible Notes may be adjusted, the number of shares that will actually be issued may be more or less than the number of shares being offered by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Series A Convertible Notes, the Selling Stockholder may not convert the Series A Convertible Notes to the extent such conversion would cause such Selling Stockholder, together with its affiliates, to beneficially own a number of shares of common stock which would exceed 4.99% of our then outstanding common stock following such conversion (the “Maximum Percentage”), excluding for purposes of such determination shares of common stock issuable upon conversion of such Series A Convertible Notes which have not been converted. The number of shares in the second column reflects this limitation. The Selling Stockholder may sell all, some, or none of its shares in this offering. See “</w:t>
      </w:r>
      <w:r>
        <w:rPr>
          <w:rFonts w:ascii="Times New Roman" w:cs="Times New Roman" w:eastAsia="Times New Roman" w:hAnsi="Times New Roman"/>
          <w:sz w:val="18"/>
          <w:szCs w:val="18"/>
          <w:u w:val="single" w:color="auto"/>
          <w:color w:val="0000EE"/>
        </w:rPr>
        <w:t>Plan of Distribution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Owned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Owned</w:t>
            </w:r>
          </w:p>
        </w:tc>
      </w:tr>
      <w:tr>
        <w:trPr>
          <w:trHeight w:val="216"/>
        </w:trPr>
        <w:tc>
          <w:tcPr>
            <w:tcW w:w="462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7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 xml:space="preserve">Prior to Offering </w:t>
            </w:r>
            <w:r>
              <w:rPr>
                <w:rFonts w:ascii="Times New Roman" w:cs="Times New Roman" w:eastAsia="Times New Roman" w:hAnsi="Times New Roman"/>
                <w:sz w:val="18"/>
                <w:szCs w:val="18"/>
                <w:color w:val="auto"/>
                <w:w w:val="99"/>
              </w:rPr>
              <w:t>(2)</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 xml:space="preserve">Prospectus </w:t>
            </w:r>
            <w:r>
              <w:rPr>
                <w:rFonts w:ascii="Times New Roman" w:cs="Times New Roman" w:eastAsia="Times New Roman" w:hAnsi="Times New Roman"/>
                <w:sz w:val="18"/>
                <w:szCs w:val="18"/>
                <w:color w:val="auto"/>
              </w:rPr>
              <w:t>(3)</w:t>
            </w: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After the Offering </w:t>
            </w:r>
            <w:r>
              <w:rPr>
                <w:rFonts w:ascii="Times New Roman" w:cs="Times New Roman" w:eastAsia="Times New Roman" w:hAnsi="Times New Roman"/>
                <w:sz w:val="18"/>
                <w:szCs w:val="18"/>
                <w:color w:val="auto"/>
                <w:w w:val="99"/>
              </w:rPr>
              <w:t>(2)(5)</w:t>
            </w:r>
          </w:p>
        </w:tc>
      </w:t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09"/>
        </w:trPr>
        <w:tc>
          <w:tcPr>
            <w:tcW w:w="45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ATW Digital Asset Opportunities XIV LLC (1)</w:t>
            </w:r>
          </w:p>
        </w:tc>
        <w:tc>
          <w:tcPr>
            <w:tcW w:w="1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31,344 (4)</w:t>
            </w:r>
          </w:p>
        </w:tc>
        <w:tc>
          <w:tcPr>
            <w:tcW w:w="12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8,089,888</w:t>
            </w:r>
          </w:p>
        </w:tc>
        <w:tc>
          <w:tcPr>
            <w:tcW w:w="1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6,744</w:t>
            </w:r>
          </w:p>
        </w:tc>
        <w:tc>
          <w:tcPr>
            <w:tcW w:w="1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-.08%</w:t>
            </w: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directly held by ATW Digital Asset Opportunities XIV LLC, which is wholly owned by ATW Master Fund V LP (the “Fund”), and may be deemed to be beneficially owned by: (i) ATW Partners Opportunities Management LLC, which serves as the investment manager of the Fund; and (ii) Antonio Ruiz-Gimenez and Kerry Propper, who serve as the managing members of the investment manager (the Selling Stockholder and Fund, together with (i) and (ii), the “Reporting Persons”). While the Reporting Persons may be deemed to have shared voting and dispositive power with respect to the securities beneficially owned by the Selling Stockholder, each of the Reporting Persons disclaim beneficial ownership of the Company’s securities reported herein. The address of ATW Digital Asset Opportunities XIV LLC is c/o ATW Partners Opportunities Management, LLC, 1 Pennsylvania Plaza, Suite 4810, New York, NY 10119.</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644,010 shares of our common stock outstanding as of November 4, 2026, and based on 8,686,696 shares of our common stock outstanding after the offering.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8,089,888 shares issuable upon conversion of $3,000,000 of a Series A Convertible Note, plus interest, issued to the Selling Stockholder on September 15, 2026, converted at an assumed floor price of $0.445.</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lists the number of shares of our common stock beneficially owned by this Selling Stockholder as of October 30, 2026, after giving effect to the Maximum Percentage (as defined above). Without regard to the Maximum Percentage, as of October 30, 2026, assuming the conversion of all Series A secured convertible notes held by the Selling Stockholder, including both the Series A Convertible Note and the $2,000,000 Series A convertible note issued to the Selling Stockholder on July 6, 2026 (the “July Convertible Note”), the Selling Stockholder would beneficially own an aggregate of 8,96,662 shares of our common stock, consisting of (i) 8,089,888 shares of common stock underlying the Series A Convertible Note held by the Selling Stockholder (assuming the Series A Convertible Note is converted in full at the floor price of $0.445 per share), all of which are being registered under this prospectus; and (ii) 6,744 shares of common stock underlying the July Convertible Note held by the Selling Stockholder (assuming the July Convertible Note is converted in full at a floor price of $43.20 per share), none of which are being registered under this prospectus.</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securities being offered pursuant to this prospectus and no other shares of common stock are acquired by the Selling Stockholder after giving effect to the Maximum Percentage. However, the Selling Stockholder is not obligated to sell all or any portion of the shares of our stock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registering the shares of common stock issuable upon conversion of the Series A Convertible Notes to permit the resale of these shares of common stock by the holders of the Series A Convertible Notes from time to time after the date of this prospectus. We will not receive any of the proceeds from the sale by the Selling Stockholder of the shares of common stock. We will bear all fees and expenses incident to our obligation to register the shares of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may sell all or a portion of the shares of common stock held by them and offered hereby from time to time directly or through one or more underwriters, broker-dealers or agents. If the shares of common stock are sold through underwriters or broker-dealers, the selling shareholders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8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over-the-counter market;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privately negotiated transactions;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broker-dealers may agree with a selling security holder to sell a specified number of such shares at a stipulated price per share;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combination of any such methods of sale;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method permitted pursuant to applicable law.</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Stockholder may also sell shares of common stock under Rule 144 promulgated under the Securities Act, if available, rather than under this prospectus. In addition, the Selling Stockholder may transfer the shares of common stock by other means not described in this prospectus. If the Selling Stockholder effects such transactions by selling shares of common stock to or through underwriters, broker-dealers or agents, such underwriters, broker-dealers or agents may receive commissions in the form of discounts, concessions or commissions from the Selling Stockholder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shareholders may enter into hedging transactions with broker-dealers, which may in turn engage in short sales of the shares of common stock in the course of hedging in positions they assume. The Selling Stockholder may also sell shares of common stock short and deliver shares of common stock covered by this prospectus to close out short positions and to return borrowed shares in connection with such short sales. The Selling Stockholder may also loan or pledge shares of common stock to broker-dealers that in turn may sell such shares.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 may pledge or grant a security interest in some or all of the Series A Convertible Notes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Stockholder also may transfer and donate the shares of common stock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Stockholder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shareholders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pursuant to the registration rights agreement, estimated to be $55,775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shareholders against liabilities, including some liabilities under the Securities Act in accordance with the registration rights agreements or the selling shareholders will be entitled to contribution. We may be indemnified by the selling shareholders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hereby and certain legal matters in connection with this offering relating to U.S. law will be passed upon for us by Dorsey &amp; Whitney LLP, New York, 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iPower Inc. as of June 30, 2025 and June 30, 2026 incorporated by reference in this prospectus have been audited by HTL International, LLC, independent registered public accounting firm, as set forth in their report thereon, included therein, and are included in reliance upon such report given on the authority of such firm as experts in accounting and auditing.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filed a registration statement on Form S-1 with the SEC under the Securities Act with respect to the securities offered in this prospectus. This prospectus, which is filed as part of a registration statement, does not contain all of the information set forth in the registration statement, some portions of which have been omitted in accordance with the SEC’s rules and regulations. Statements made in this prospectus as to the contents of any contract, agreement or other document referred to or incorporated in this prospectus are not necessarily complete and are qualified in their entirety by reference to each such contract, agreement or other document that is filed as an exhibit to the registration statement. You can read our SEC filings, including the registration statement, over the internet at the SEC’s website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periodic reports, proxy statements and other information with the SEC in accordance with requirements of the Exchange Act. These periodic reports, proxy statements and other information are available at the SEC’s website address referred to above. In addition, you may request a copy of any of our periodic reports filed with the SEC at no cost, by writing or telephoning us at the following address: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8798 9th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Rancho Cucamonga, CA 91730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will not, however, send exhibits to those documents, unless the exhibits are specifically incorporated by reference in those documents. We also maintain a website at </w:t>
      </w:r>
      <w:r>
        <w:rPr>
          <w:rFonts w:ascii="Times New Roman" w:cs="Times New Roman" w:eastAsia="Times New Roman" w:hAnsi="Times New Roman"/>
          <w:sz w:val="18"/>
          <w:szCs w:val="18"/>
          <w:i w:val="1"/>
          <w:iCs w:val="1"/>
          <w:color w:val="auto"/>
        </w:rPr>
        <w:t>www.meetipower.com</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However, the information contained in or accessible through our website is not part of this prospectus or the registration statement of which this prospectus forms a part, and investors should not rely on such information in making a decision to purchase our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This prospectus incorporates by reference our documents listed below and any future filings we make with the SEC under Sections 13(a), 13(c), 14 or 15(d) of the Exchange Act until all of the securities are sold:</w:t>
      </w:r>
    </w:p>
    <w:p>
      <w:pPr>
        <w:spacing w:after="0" w:line="18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2">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June 30, 2026, filed with the SEC on October 2,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3">
        <w:r>
          <w:rPr>
            <w:rFonts w:ascii="Times New Roman" w:cs="Times New Roman" w:eastAsia="Times New Roman" w:hAnsi="Times New Roman"/>
            <w:sz w:val="18"/>
            <w:szCs w:val="18"/>
            <w:u w:val="single" w:color="auto"/>
            <w:color w:val="0000EE"/>
          </w:rPr>
          <w:t>July 2, 2026</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July 6, 2026</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July 15, 2026</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July 21, 2026</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July 23, 2026</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August 5, 2026</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September 15,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September 22,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October 15, 2026</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001-40391) filed on May 5, 2021, and any amendments or reports filed for the purposes of updating this description;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76" w:lineRule="exact"/>
        <w:rPr>
          <w:rFonts w:ascii="Times New Roman" w:cs="Times New Roman" w:eastAsia="Times New Roman" w:hAnsi="Times New Roman"/>
          <w:sz w:val="18"/>
          <w:szCs w:val="18"/>
          <w:color w:val="0000EE"/>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the foregoing, we are not incorporating any document or portion thereof or information deemed to have been furnished and not filed in accordance with SEC rules including any information furnished under Items 2.02 or 7.01 of any Current Report on Form 8-K.</w:t>
      </w:r>
    </w:p>
    <w:p>
      <w:pPr>
        <w:spacing w:after="0" w:line="162" w:lineRule="exact"/>
        <w:rPr>
          <w:rFonts w:ascii="Times New Roman" w:cs="Times New Roman" w:eastAsia="Times New Roman" w:hAnsi="Times New Roman"/>
          <w:sz w:val="18"/>
          <w:szCs w:val="18"/>
          <w:color w:val="0000EE"/>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You may obtain documents incorporated by reference in this prospectus by requesting them in writing or by telephone at the following address:</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8798 9th Street</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Rancho Cucamonga, CA 91730</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Phone: (626) 863-7344</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63"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156845</wp:posOffset>
            </wp:positionV>
            <wp:extent cx="1714500" cy="386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7145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8,089,888 Shares of Common Stock Underlying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$3,000,000 of Series A Senior Secured Convertible Notes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2419985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Roman"/>
      <w:start w:val="2"/>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jpeg"/><Relationship Id="rId55" Type="http://schemas.openxmlformats.org/officeDocument/2006/relationships/image" Target="media/image37.png"/><Relationship Id="rId42" Type="http://schemas.openxmlformats.org/officeDocument/2006/relationships/hyperlink" Target="https://www.sec.gov/Archives/edgar/data/1830072/000168316826007580/ipower_i10k-063026.htm" TargetMode="External"/><Relationship Id="rId43" Type="http://schemas.openxmlformats.org/officeDocument/2006/relationships/hyperlink" Target="https://www.sec.gov/Archives/edgar/data/0001830072/000168316826005251/ipower_8k.htm" TargetMode="External"/><Relationship Id="rId44" Type="http://schemas.openxmlformats.org/officeDocument/2006/relationships/hyperlink" Target="https://www.sec.gov/Archives/edgar/data/0001830072/000168316826005288/ipower_8k.htm" TargetMode="External"/><Relationship Id="rId45" Type="http://schemas.openxmlformats.org/officeDocument/2006/relationships/hyperlink" Target="http://www.sec.gov/Archives/edgar/data/1830072/000168316826005540/ipower_8k.htm" TargetMode="External"/><Relationship Id="rId46" Type="http://schemas.openxmlformats.org/officeDocument/2006/relationships/hyperlink" Target="https://www.sec.gov/Archives/edgar/data/1830072/000168316826005670/ipower_8k.htm" TargetMode="External"/><Relationship Id="rId47" Type="http://schemas.openxmlformats.org/officeDocument/2006/relationships/hyperlink" Target="http://www.sec.gov/Archives/edgar/data/1830072/000168316826005727/ipower_8k.htm" TargetMode="External"/><Relationship Id="rId48" Type="http://schemas.openxmlformats.org/officeDocument/2006/relationships/hyperlink" Target="https://www.sec.gov/Archives/edgar/data/1830072/000168316826005967/ipower_8k.htm" TargetMode="External"/><Relationship Id="rId49" Type="http://schemas.openxmlformats.org/officeDocument/2006/relationships/hyperlink" Target="https://www.sec.gov/Archives/edgar/data/1830072/000168316826007176/ipower_8k.htm" TargetMode="External"/><Relationship Id="rId50" Type="http://schemas.openxmlformats.org/officeDocument/2006/relationships/hyperlink" Target="http://www.sec.gov/Archives/edgar/data/1830072/000168316826007276/ipower_8k.htm" TargetMode="External"/><Relationship Id="rId51" Type="http://schemas.openxmlformats.org/officeDocument/2006/relationships/hyperlink" Target="https://www.sec.gov/Archives/edgar/data/0001830072/000168316826007863/ipower_8k.htm" TargetMode="External"/><Relationship Id="rId52" Type="http://schemas.openxmlformats.org/officeDocument/2006/relationships/hyperlink" Target="http://www.sec.gov/Archives/edgar/data/1830072/000168316821001779/ipower_8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2026-11-05T10:54:30Z</dcterms:created>
  <dcterms:modified xsi:type="dcterms:W3CDTF">2026-11-05T10:54:30Z</dcterms:modified>
</cp:coreProperties>
</file>