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20,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20, 2026, iPower Inc., a Nevada corporation (the “Company”), issued a press release announcing its earnings for its second quarter ended December 31, 2025. A copy of the press release is attached hereto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including Exhibit 99.1, shall not be deemed “filed” for purposes of Section 18 of the Securities Exchange Act of 1934, as amended (the “Exchange Act”), or otherwise subject to the liabilities of that section, and is not incorporated by reference into any filing of the Company, whether made before or after the date hereof, regardless of any general language in such filing, unless it is specifically identified therein as being incorporated therein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9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dated February 20, 2026</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74470" cy="334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2F5396"/>
        </w:rPr>
        <w:t>iPower Reports Fiscal Q2 2026 Results and Completes Strategic Operating Reset</w:t>
      </w:r>
    </w:p>
    <w:p>
      <w:pPr>
        <w:spacing w:after="0" w:line="2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RANCHO CUCAMONGA, CA — February 20, 2026 </w:t>
      </w:r>
      <w:r>
        <w:rPr>
          <w:rFonts w:ascii="Times New Roman" w:cs="Times New Roman" w:eastAsia="Times New Roman" w:hAnsi="Times New Roman"/>
          <w:sz w:val="18"/>
          <w:szCs w:val="18"/>
          <w:color w:val="auto"/>
        </w:rPr>
        <w:t>— iPower Inc. (Nasdaq: IPW) (“iPower” or the “Company”) today reported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fiscal second quarter ended December 31, 2025. Revenue was </w:t>
      </w:r>
      <w:r>
        <w:rPr>
          <w:rFonts w:ascii="Times New Roman" w:cs="Times New Roman" w:eastAsia="Times New Roman" w:hAnsi="Times New Roman"/>
          <w:sz w:val="18"/>
          <w:szCs w:val="18"/>
          <w:b w:val="1"/>
          <w:bCs w:val="1"/>
          <w:color w:val="auto"/>
        </w:rPr>
        <w:t>$7.1 million</w:t>
      </w:r>
      <w:r>
        <w:rPr>
          <w:rFonts w:ascii="Times New Roman" w:cs="Times New Roman" w:eastAsia="Times New Roman" w:hAnsi="Times New Roman"/>
          <w:sz w:val="18"/>
          <w:szCs w:val="18"/>
          <w:color w:val="auto"/>
        </w:rPr>
        <w:t xml:space="preserve">, reflecting the Company’s </w:t>
      </w:r>
      <w:r>
        <w:rPr>
          <w:rFonts w:ascii="Times New Roman" w:cs="Times New Roman" w:eastAsia="Times New Roman" w:hAnsi="Times New Roman"/>
          <w:sz w:val="18"/>
          <w:szCs w:val="18"/>
          <w:b w:val="1"/>
          <w:bCs w:val="1"/>
          <w:color w:val="auto"/>
        </w:rPr>
        <w:t>deliberate supply chain restructuring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to predominantly U.S.-based sourcing during the quarter</w:t>
      </w:r>
      <w:r>
        <w:rPr>
          <w:rFonts w:ascii="Times New Roman" w:cs="Times New Roman" w:eastAsia="Times New Roman" w:hAnsi="Times New Roman"/>
          <w:sz w:val="18"/>
          <w:szCs w:val="18"/>
          <w:color w:val="auto"/>
        </w:rPr>
        <w:t>, while gross profit was</w:t>
      </w:r>
      <w:r>
        <w:rPr>
          <w:rFonts w:ascii="Times New Roman" w:cs="Times New Roman" w:eastAsia="Times New Roman" w:hAnsi="Times New Roman"/>
          <w:sz w:val="18"/>
          <w:szCs w:val="18"/>
          <w:b w:val="1"/>
          <w:bCs w:val="1"/>
          <w:color w:val="auto"/>
        </w:rPr>
        <w:t xml:space="preserve"> $3.1 million </w:t>
      </w:r>
      <w:r>
        <w:rPr>
          <w:rFonts w:ascii="Times New Roman" w:cs="Times New Roman" w:eastAsia="Times New Roman" w:hAnsi="Times New Roman"/>
          <w:sz w:val="18"/>
          <w:szCs w:val="18"/>
          <w:color w:val="auto"/>
        </w:rPr>
        <w:t>and gross margin remained strong at</w:t>
      </w:r>
      <w:r>
        <w:rPr>
          <w:rFonts w:ascii="Times New Roman" w:cs="Times New Roman" w:eastAsia="Times New Roman" w:hAnsi="Times New Roman"/>
          <w:sz w:val="18"/>
          <w:szCs w:val="18"/>
          <w:b w:val="1"/>
          <w:bCs w:val="1"/>
          <w:color w:val="auto"/>
        </w:rPr>
        <w:t xml:space="preserve"> 44.0%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Total operating expenses declined </w:t>
      </w:r>
      <w:r>
        <w:rPr>
          <w:rFonts w:ascii="Times New Roman" w:cs="Times New Roman" w:eastAsia="Times New Roman" w:hAnsi="Times New Roman"/>
          <w:sz w:val="18"/>
          <w:szCs w:val="18"/>
          <w:b w:val="1"/>
          <w:bCs w:val="1"/>
          <w:color w:val="auto"/>
        </w:rPr>
        <w:t>28% year-over-year to $5.6 million</w:t>
      </w:r>
      <w:r>
        <w:rPr>
          <w:rFonts w:ascii="Times New Roman" w:cs="Times New Roman" w:eastAsia="Times New Roman" w:hAnsi="Times New Roman"/>
          <w:sz w:val="18"/>
          <w:szCs w:val="18"/>
          <w:color w:val="auto"/>
        </w:rPr>
        <w:t xml:space="preserve"> compared to the quarter ended December 31, 2024. Net loss attributable to iPower was </w:t>
      </w:r>
      <w:r>
        <w:rPr>
          <w:rFonts w:ascii="Times New Roman" w:cs="Times New Roman" w:eastAsia="Times New Roman" w:hAnsi="Times New Roman"/>
          <w:sz w:val="18"/>
          <w:szCs w:val="18"/>
          <w:b w:val="1"/>
          <w:bCs w:val="1"/>
          <w:color w:val="auto"/>
        </w:rPr>
        <w:t>$1.2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$(1.08) per share</w:t>
      </w:r>
      <w:r>
        <w:rPr>
          <w:rFonts w:ascii="Times New Roman" w:cs="Times New Roman" w:eastAsia="Times New Roman" w:hAnsi="Times New Roman"/>
          <w:sz w:val="18"/>
          <w:szCs w:val="18"/>
          <w:color w:val="auto"/>
        </w:rPr>
        <w:t>. The Company reported $2.0 million of cash and cash equivalents, $2.2 million of restricted cash, and approximately $2.2 million of digital assets.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During December 2025, the Company implemented a </w:t>
      </w:r>
      <w:r>
        <w:rPr>
          <w:rFonts w:ascii="Times New Roman" w:cs="Times New Roman" w:eastAsia="Times New Roman" w:hAnsi="Times New Roman"/>
          <w:sz w:val="18"/>
          <w:szCs w:val="18"/>
          <w:b w:val="1"/>
          <w:bCs w:val="1"/>
          <w:color w:val="auto"/>
        </w:rPr>
        <w:t>Digital Asset Treasury (“DAT”) strategy with an institutional investor after closing on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tranche of an up to $30 million convertible note offering, receiving $6.5 million in gross proceeds</w:t>
      </w:r>
      <w:r>
        <w:rPr>
          <w:rFonts w:ascii="Times New Roman" w:cs="Times New Roman" w:eastAsia="Times New Roman" w:hAnsi="Times New Roman"/>
          <w:sz w:val="18"/>
          <w:szCs w:val="18"/>
          <w:color w:val="auto"/>
        </w:rPr>
        <w:t>. Subsequent to quarter-end, in February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iPower completed the divestiture of Global Product Marketing Inc. (“GPM”) for approximately </w:t>
      </w:r>
      <w:r>
        <w:rPr>
          <w:rFonts w:ascii="Times New Roman" w:cs="Times New Roman" w:eastAsia="Times New Roman" w:hAnsi="Times New Roman"/>
          <w:sz w:val="18"/>
          <w:szCs w:val="18"/>
          <w:b w:val="1"/>
          <w:bCs w:val="1"/>
          <w:color w:val="auto"/>
        </w:rPr>
        <w:t>$2.3 million in total consideration</w:t>
      </w:r>
      <w:r>
        <w:rPr>
          <w:rFonts w:ascii="Times New Roman" w:cs="Times New Roman" w:eastAsia="Times New Roman" w:hAnsi="Times New Roman"/>
          <w:sz w:val="18"/>
          <w:szCs w:val="18"/>
          <w:color w:val="auto"/>
        </w:rPr>
        <w:t xml:space="preserve"> and authorized a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million share repurchase program</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2F5396"/>
        </w:rPr>
        <w:t>Management Commentary</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second quarter reflects a deliberate strategic transition,” said Lawrence Tan, CEO of iPower. “In December 2025, we implemented our first institutional Digital Asset Treasury strategy, advancing our crypto infrastructure initiatives while maintaining disciplined execution across our core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same time, we made the active decision to restructure our supply chain, consolidate vendors, and shift toward primarily U.S.-based sourcing. While this transition temporarily reduced revenue levels, we believe this transition will strengthen long-term reliability, margin stability, and operational control. Subsequent to quarter-end, we divested GPM, which historically represented a significant operating cost center, materially lowering our forward expense base.”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“Importantly, our Board authorized iPower’s first-ever $2 million share repurchase program, reflecting confidence in our strengthened balance sheet and the long-term value of our business.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February restructuring was not simply a divestiture — it marked the beginning of a new chapter for iPower. We streamlined our sourcing, strengthened our financial position, reduced structural costs, and positioned our business to selectively invest in infrastructure-driven growth opportunities.”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2F5396"/>
        </w:rPr>
        <w:t>Fiscal Second Quarter 2026 Financial Summary</w:t>
      </w:r>
    </w:p>
    <w:p>
      <w:pPr>
        <w:spacing w:after="0" w:line="2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Revenue for the fiscal second quarter of 2026 was </w:t>
      </w:r>
      <w:r>
        <w:rPr>
          <w:rFonts w:ascii="Times New Roman" w:cs="Times New Roman" w:eastAsia="Times New Roman" w:hAnsi="Times New Roman"/>
          <w:sz w:val="18"/>
          <w:szCs w:val="18"/>
          <w:b w:val="1"/>
          <w:bCs w:val="1"/>
          <w:color w:val="auto"/>
        </w:rPr>
        <w:t>$7.1 million</w:t>
      </w:r>
      <w:r>
        <w:rPr>
          <w:rFonts w:ascii="Times New Roman" w:cs="Times New Roman" w:eastAsia="Times New Roman" w:hAnsi="Times New Roman"/>
          <w:sz w:val="18"/>
          <w:szCs w:val="18"/>
          <w:color w:val="auto"/>
        </w:rPr>
        <w:t>. The decline from prior-year levels was primarily attributable to the Company’s proactive supply chain restructuring. During the quarter, iPower intentionally reduced purchase volumes from certain legacy international vendors and paused selected SKUs while transitioning to a predominantly U.S.-based sourcing model. This deliberate shift temporarily reduced available inventory and sales volume but was undertaken to improve supply chain transparency, reduce geopolitical and logistics risk, and enhance long-term gross margin durability.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Gross profit was </w:t>
      </w:r>
      <w:r>
        <w:rPr>
          <w:rFonts w:ascii="Times New Roman" w:cs="Times New Roman" w:eastAsia="Times New Roman" w:hAnsi="Times New Roman"/>
          <w:sz w:val="18"/>
          <w:szCs w:val="18"/>
          <w:b w:val="1"/>
          <w:bCs w:val="1"/>
          <w:color w:val="auto"/>
        </w:rPr>
        <w:t>$3.1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gross margin remained stable at 44.0%</w:t>
      </w:r>
      <w:r>
        <w:rPr>
          <w:rFonts w:ascii="Times New Roman" w:cs="Times New Roman" w:eastAsia="Times New Roman" w:hAnsi="Times New Roman"/>
          <w:sz w:val="18"/>
          <w:szCs w:val="18"/>
          <w:color w:val="auto"/>
        </w:rPr>
        <w:t>, demonstrating that the core economics of the Company’s supply chain platform remained intact despite lower revenue during the transition period.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Total operating expenses declined to </w:t>
      </w:r>
      <w:r>
        <w:rPr>
          <w:rFonts w:ascii="Times New Roman" w:cs="Times New Roman" w:eastAsia="Times New Roman" w:hAnsi="Times New Roman"/>
          <w:sz w:val="18"/>
          <w:szCs w:val="18"/>
          <w:b w:val="1"/>
          <w:bCs w:val="1"/>
          <w:color w:val="auto"/>
        </w:rPr>
        <w:t>$5.6 million</w:t>
      </w:r>
      <w:r>
        <w:rPr>
          <w:rFonts w:ascii="Times New Roman" w:cs="Times New Roman" w:eastAsia="Times New Roman" w:hAnsi="Times New Roman"/>
          <w:sz w:val="18"/>
          <w:szCs w:val="18"/>
          <w:color w:val="auto"/>
        </w:rPr>
        <w:t>, down 28% year-over-year, driven by personnel reductions, tighter expense controls, and operational efficiencies implemented alongside our supply chain restructuring.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Net loss attributable to iPower was </w:t>
      </w:r>
      <w:r>
        <w:rPr>
          <w:rFonts w:ascii="Times New Roman" w:cs="Times New Roman" w:eastAsia="Times New Roman" w:hAnsi="Times New Roman"/>
          <w:sz w:val="18"/>
          <w:szCs w:val="18"/>
          <w:b w:val="1"/>
          <w:bCs w:val="1"/>
          <w:color w:val="auto"/>
        </w:rPr>
        <w:t>$1.2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$(1.08) per share</w:t>
      </w:r>
      <w:r>
        <w:rPr>
          <w:rFonts w:ascii="Times New Roman" w:cs="Times New Roman" w:eastAsia="Times New Roman" w:hAnsi="Times New Roman"/>
          <w:sz w:val="18"/>
          <w:szCs w:val="18"/>
          <w:color w:val="auto"/>
        </w:rPr>
        <w:t>, reflecting lower revenue during the transition period and ongoing strategic investments, including the initial implementation of the Company’s Digital Asset Treasury initiative.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iPower continued to reduce traditional borrowings, with short-term debt declining to $2.6 million as of December 31, 2025 from $3.7 million as of June 30, 2025. As of December 31, 2025, the Company reported $2.0 million of cash and cash equivalents, $2.2 million of restricted cash, and approximately $2.2 million of digital assets; total debt was approximately $8.4 million, including $5.8 million of 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2F5396"/>
        </w:rPr>
        <w:t>Post-Quarter Strategic Update</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February 2026, subsequent to the quarter close, iPower completed the divestiture of GPM, eliminating a major operating cost center while retaining iPower’s core supply chain, fulfillment, and infrastructure assets. The transaction generated approximately </w:t>
      </w:r>
      <w:r>
        <w:rPr>
          <w:rFonts w:ascii="Times New Roman" w:cs="Times New Roman" w:eastAsia="Times New Roman" w:hAnsi="Times New Roman"/>
          <w:sz w:val="18"/>
          <w:szCs w:val="18"/>
          <w:b w:val="1"/>
          <w:bCs w:val="1"/>
          <w:color w:val="auto"/>
        </w:rPr>
        <w:t>$2.3 million</w:t>
      </w:r>
      <w:r>
        <w:rPr>
          <w:rFonts w:ascii="Times New Roman" w:cs="Times New Roman" w:eastAsia="Times New Roman" w:hAnsi="Times New Roman"/>
          <w:sz w:val="18"/>
          <w:szCs w:val="18"/>
          <w:color w:val="auto"/>
        </w:rPr>
        <w:t xml:space="preserve"> in consideration and reduces forward operating expense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divestiture was completed after December 31, 2025, the reported Q2 results do not reflect the full impact of the restructuring. Management expects the streamlined operating model and predominantly U.S.-based supply chain to provide a stronger and more resilient operating foundation going forward.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Company also authorized its </w:t>
      </w:r>
      <w:r>
        <w:rPr>
          <w:rFonts w:ascii="Times New Roman" w:cs="Times New Roman" w:eastAsia="Times New Roman" w:hAnsi="Times New Roman"/>
          <w:sz w:val="18"/>
          <w:szCs w:val="18"/>
          <w:b w:val="1"/>
          <w:bCs w:val="1"/>
          <w:color w:val="auto"/>
        </w:rPr>
        <w:t>first-ever $2 million share repurchase program</w:t>
      </w:r>
      <w:r>
        <w:rPr>
          <w:rFonts w:ascii="Times New Roman" w:cs="Times New Roman" w:eastAsia="Times New Roman" w:hAnsi="Times New Roman"/>
          <w:sz w:val="18"/>
          <w:szCs w:val="18"/>
          <w:color w:val="auto"/>
        </w:rPr>
        <w:t>, under which repurchases may be made from time to time through open market purchases or privately negotiated transactions, subject to market conditions and applicable legal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2F5396"/>
        </w:rPr>
        <w:t>About iPower Inc.</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iPower Inc. (Nasdaq: IPW) is a technology- and data-driven supply chain and infrastructure provider for online retailers and brands, operating at the intersection of digital assets and real-world commerce. The Company delivers procurement, fulfillment, logistics, and software-enabled services, and is executing a broader crypto strategy through licensed partners and compliant infrastructure. For more information, please visit www.meetipower.com.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2F5396"/>
        </w:rPr>
        <w:t>Forward-Looking Statements</w:t>
      </w:r>
    </w:p>
    <w:p>
      <w:pPr>
        <w:spacing w:after="0" w:line="2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statements other than statements of historical fact in this press release are forward-looking statements, including statements regarding the share repurchase program, the anticipated benefits of the financing, the implementation of iPower’s digital asset strategy, and iPower’s future business plans. These forward-looking statements involve known and unknown risks and uncertainties and are based on current expectations and projections about future events and financial trends that iPower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iPower undertakes no obligation to update forward-looking statements except as may be required by law. Actual results may differ materially from those anticipated. Investors are encouraged to review iPower’s filings with the Securities and Exchange Commission, including its Annual Report on Form 10-K, Quarterly Reports on Form 10-Q, Current Reports on Form 8-K, and other SEC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2F5396"/>
        </w:rPr>
        <w:t>Media &amp; Investor Contact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and June 30,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December 31,</w:t>
            </w:r>
          </w:p>
        </w:tc>
        <w:tc>
          <w:tcPr>
            <w:tcW w:w="3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June 30,</w:t>
            </w:r>
          </w:p>
        </w:tc>
      </w:tr>
      <w:tr>
        <w:trPr>
          <w:trHeight w:val="210"/>
        </w:trPr>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2025</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r>
      <w:tr>
        <w:trPr>
          <w:trHeight w:val="202"/>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00" w:type="dxa"/>
            <w:vAlign w:val="bottom"/>
            <w:tcBorders>
              <w:bottom w:val="single" w:sz="8" w:color="auto"/>
            </w:tcBorders>
            <w:shd w:val="clear" w:color="auto" w:fill="EEEEEE"/>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6940" w:type="dxa"/>
            <w:vAlign w:val="bottom"/>
            <w:tcBorders>
              <w:bottom w:val="single" w:sz="8" w:color="EEEEEE"/>
            </w:tcBorders>
            <w:gridSpan w:val="2"/>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360" w:type="dxa"/>
            <w:vAlign w:val="bottom"/>
            <w:tcBorders>
              <w:bottom w:val="single" w:sz="8" w:color="EEEEEE"/>
            </w:tcBorders>
            <w:shd w:val="clear" w:color="auto" w:fill="EEEEEE"/>
          </w:tcPr>
          <w:p>
            <w:pPr>
              <w:spacing w:after="0"/>
              <w:rPr>
                <w:sz w:val="15"/>
                <w:szCs w:val="15"/>
                <w:color w:val="auto"/>
              </w:rPr>
            </w:pPr>
          </w:p>
        </w:tc>
        <w:tc>
          <w:tcPr>
            <w:tcW w:w="32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280" w:type="dxa"/>
            <w:vAlign w:val="bottom"/>
            <w:tcBorders>
              <w:bottom w:val="single" w:sz="8" w:color="EEEEEE"/>
            </w:tcBorders>
            <w:shd w:val="clear" w:color="auto" w:fill="EEEEEE"/>
          </w:tcPr>
          <w:p>
            <w:pPr>
              <w:spacing w:after="0"/>
              <w:rPr>
                <w:sz w:val="15"/>
                <w:szCs w:val="15"/>
                <w:color w:val="auto"/>
              </w:rPr>
            </w:pPr>
          </w:p>
        </w:tc>
        <w:tc>
          <w:tcPr>
            <w:tcW w:w="100" w:type="dxa"/>
            <w:vAlign w:val="bottom"/>
            <w:tcBorders>
              <w:bottom w:val="single" w:sz="8" w:color="EEEEEE"/>
            </w:tcBorders>
            <w:shd w:val="clear" w:color="auto" w:fill="EEEEEE"/>
          </w:tcPr>
          <w:p>
            <w:pPr>
              <w:spacing w:after="0"/>
              <w:rPr>
                <w:sz w:val="15"/>
                <w:szCs w:val="15"/>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and cash equivalent</w:t>
            </w:r>
          </w:p>
        </w:tc>
        <w:tc>
          <w:tcPr>
            <w:tcW w:w="3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2,011,738</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2,007,890</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5,168,143</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6,124,008</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3,611,859</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8,131,203</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Restricted Cash - BitGo</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2,209,000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 net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1,691,476</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3,111,210</w:t>
            </w:r>
          </w:p>
        </w:tc>
      </w:tr>
      <w:tr>
        <w:trPr>
          <w:trHeight w:val="196"/>
        </w:trPr>
        <w:tc>
          <w:tcPr>
            <w:tcW w:w="7540" w:type="dxa"/>
            <w:vAlign w:val="bottom"/>
            <w:tcBorders>
              <w:bottom w:val="single" w:sz="8" w:color="EEEEEE"/>
            </w:tcBorders>
            <w:gridSpan w:val="3"/>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14,692,216</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19,374,311</w:t>
            </w:r>
          </w:p>
        </w:tc>
        <w:tc>
          <w:tcPr>
            <w:tcW w:w="10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Right of use - non-current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3,286,752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3,915,539</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187,372</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390,349</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4,753,025</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3,724,462</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3,034,110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3,034,110</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678,706</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385,180</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2,656,643</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2,981,328</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Digital assets</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2,214,759</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2,493,705</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1,837,488</w:t>
            </w:r>
          </w:p>
        </w:tc>
      </w:tr>
      <w:tr>
        <w:trPr>
          <w:trHeight w:val="196"/>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19,305,072</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16,268,456</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33,997,288</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35,642,767</w:t>
            </w:r>
          </w:p>
        </w:tc>
      </w:tr>
      <w:tr>
        <w:trPr>
          <w:trHeight w:val="20"/>
        </w:trPr>
        <w:tc>
          <w:tcPr>
            <w:tcW w:w="60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55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3"/>
        </w:trPr>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540" w:type="dxa"/>
            <w:vAlign w:val="bottom"/>
            <w:gridSpan w:val="3"/>
            <w:shd w:val="clear" w:color="auto" w:fill="EEEEEE"/>
          </w:tcPr>
          <w:p>
            <w:pPr>
              <w:spacing w:after="0" w:line="162" w:lineRule="exact"/>
              <w:rPr>
                <w:sz w:val="20"/>
                <w:szCs w:val="20"/>
                <w:color w:val="auto"/>
              </w:rPr>
            </w:pPr>
            <w:r>
              <w:rPr>
                <w:rFonts w:ascii="Times New Roman" w:cs="Times New Roman" w:eastAsia="Times New Roman" w:hAnsi="Times New Roman"/>
                <w:sz w:val="16"/>
                <w:szCs w:val="16"/>
                <w:color w:val="auto"/>
              </w:rPr>
              <w:t>LIABILITIES AND EQUITY</w:t>
            </w:r>
          </w:p>
        </w:tc>
        <w:tc>
          <w:tcPr>
            <w:tcW w:w="1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3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03"/>
        </w:trPr>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580" w:type="dxa"/>
            <w:vAlign w:val="bottom"/>
            <w:tcBorders>
              <w:top w:val="single" w:sz="8" w:color="EEEEEE"/>
            </w:tcBorders>
          </w:tcPr>
          <w:p>
            <w:pPr>
              <w:spacing w:after="0"/>
              <w:rPr>
                <w:sz w:val="17"/>
                <w:szCs w:val="17"/>
                <w:color w:val="auto"/>
              </w:rPr>
            </w:pPr>
          </w:p>
        </w:tc>
        <w:tc>
          <w:tcPr>
            <w:tcW w:w="120" w:type="dxa"/>
            <w:vAlign w:val="bottom"/>
            <w:tcBorders>
              <w:top w:val="single" w:sz="8" w:color="EEEEEE"/>
            </w:tcBorders>
          </w:tcPr>
          <w:p>
            <w:pPr>
              <w:spacing w:after="0"/>
              <w:rPr>
                <w:sz w:val="17"/>
                <w:szCs w:val="17"/>
                <w:color w:val="auto"/>
              </w:rPr>
            </w:pPr>
          </w:p>
        </w:tc>
        <w:tc>
          <w:tcPr>
            <w:tcW w:w="220" w:type="dxa"/>
            <w:vAlign w:val="bottom"/>
            <w:tcBorders>
              <w:top w:val="single" w:sz="8" w:color="EEEEEE"/>
            </w:tcBorders>
          </w:tcPr>
          <w:p>
            <w:pPr>
              <w:spacing w:after="0"/>
              <w:rPr>
                <w:sz w:val="17"/>
                <w:szCs w:val="17"/>
                <w:color w:val="auto"/>
              </w:rPr>
            </w:pPr>
          </w:p>
        </w:tc>
        <w:tc>
          <w:tcPr>
            <w:tcW w:w="1360" w:type="dxa"/>
            <w:vAlign w:val="bottom"/>
            <w:tcBorders>
              <w:top w:val="single" w:sz="8" w:color="EEEEEE"/>
            </w:tcBorders>
          </w:tcPr>
          <w:p>
            <w:pPr>
              <w:spacing w:after="0"/>
              <w:rPr>
                <w:sz w:val="17"/>
                <w:szCs w:val="17"/>
                <w:color w:val="auto"/>
              </w:rPr>
            </w:pPr>
          </w:p>
        </w:tc>
        <w:tc>
          <w:tcPr>
            <w:tcW w:w="320" w:type="dxa"/>
            <w:vAlign w:val="bottom"/>
            <w:tcBorders>
              <w:top w:val="single" w:sz="8" w:color="EEEEEE"/>
            </w:tcBorders>
          </w:tcPr>
          <w:p>
            <w:pPr>
              <w:spacing w:after="0"/>
              <w:rPr>
                <w:sz w:val="17"/>
                <w:szCs w:val="17"/>
                <w:color w:val="auto"/>
              </w:rPr>
            </w:pPr>
          </w:p>
        </w:tc>
        <w:tc>
          <w:tcPr>
            <w:tcW w:w="300" w:type="dxa"/>
            <w:vAlign w:val="bottom"/>
            <w:tcBorders>
              <w:top w:val="single" w:sz="8" w:color="EEEEEE"/>
            </w:tcBorders>
          </w:tcPr>
          <w:p>
            <w:pPr>
              <w:spacing w:after="0"/>
              <w:rPr>
                <w:sz w:val="17"/>
                <w:szCs w:val="17"/>
                <w:color w:val="auto"/>
              </w:rPr>
            </w:pPr>
          </w:p>
        </w:tc>
        <w:tc>
          <w:tcPr>
            <w:tcW w:w="1280" w:type="dxa"/>
            <w:vAlign w:val="bottom"/>
            <w:tcBorders>
              <w:top w:val="single" w:sz="8" w:color="EEEEEE"/>
            </w:tcBorders>
          </w:tcPr>
          <w:p>
            <w:pPr>
              <w:spacing w:after="0"/>
              <w:rPr>
                <w:sz w:val="17"/>
                <w:szCs w:val="17"/>
                <w:color w:val="auto"/>
              </w:rPr>
            </w:pPr>
          </w:p>
        </w:tc>
        <w:tc>
          <w:tcPr>
            <w:tcW w:w="100" w:type="dxa"/>
            <w:vAlign w:val="bottom"/>
            <w:tcBorders>
              <w:top w:val="single" w:sz="8" w:color="EEEEEE"/>
            </w:tcBorders>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Accounts payable, net</w:t>
            </w:r>
          </w:p>
        </w:tc>
        <w:tc>
          <w:tcPr>
            <w:tcW w:w="3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3,056,935</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7,180,009</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981,832</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1,893,921</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current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1,418,909</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1,361,111</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Short-term loan payable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1,500,000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Short-term loan payable - related party</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1,063,278</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Revolving loan payable,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3,737,602</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3,512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280,155</w:t>
            </w:r>
          </w:p>
        </w:tc>
      </w:tr>
      <w:tr>
        <w:trPr>
          <w:trHeight w:val="196"/>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8,024,466</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14,452,798</w:t>
            </w:r>
          </w:p>
        </w:tc>
        <w:tc>
          <w:tcPr>
            <w:tcW w:w="10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Convertible notes payable</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4,381,531</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Derivative liability - Conversion option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1,413,100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non-current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2,193,849</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2,913,967</w:t>
            </w:r>
          </w:p>
        </w:tc>
      </w:tr>
      <w:tr>
        <w:trPr>
          <w:trHeight w:val="196"/>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2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7,988,480</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2,913,967</w:t>
            </w:r>
          </w:p>
        </w:tc>
        <w:tc>
          <w:tcPr>
            <w:tcW w:w="10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16,012,946</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17,366,765</w:t>
            </w:r>
          </w:p>
        </w:tc>
      </w:tr>
      <w:tr>
        <w:trPr>
          <w:trHeight w:val="196"/>
        </w:trPr>
        <w:tc>
          <w:tcPr>
            <w:tcW w:w="600" w:type="dxa"/>
            <w:vAlign w:val="bottom"/>
            <w:tcBorders>
              <w:top w:val="single" w:sz="8" w:color="EEEEEE"/>
            </w:tcBorders>
            <w:shd w:val="clear" w:color="auto" w:fill="EEEEEE"/>
          </w:tcPr>
          <w:p>
            <w:pPr>
              <w:spacing w:after="0"/>
              <w:rPr>
                <w:sz w:val="17"/>
                <w:szCs w:val="17"/>
                <w:color w:val="auto"/>
              </w:rPr>
            </w:pPr>
          </w:p>
        </w:tc>
        <w:tc>
          <w:tcPr>
            <w:tcW w:w="1360" w:type="dxa"/>
            <w:vAlign w:val="bottom"/>
            <w:tcBorders>
              <w:top w:val="single" w:sz="8" w:color="EEEEEE"/>
            </w:tcBorders>
            <w:shd w:val="clear" w:color="auto" w:fill="EEEEEE"/>
          </w:tcPr>
          <w:p>
            <w:pPr>
              <w:spacing w:after="0"/>
              <w:rPr>
                <w:sz w:val="17"/>
                <w:szCs w:val="17"/>
                <w:color w:val="auto"/>
              </w:rPr>
            </w:pPr>
          </w:p>
        </w:tc>
        <w:tc>
          <w:tcPr>
            <w:tcW w:w="55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Commitments and contingency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20,000,000 shares authorized; 0 shares issued and outstanding at September</w:t>
            </w:r>
          </w:p>
        </w:tc>
        <w:tc>
          <w:tcPr>
            <w:tcW w:w="1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30, 2025 and June 30, 2025</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180,000,000 shares authorized; 1,081,460 and 1,045,330 shares issued and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outstanding at December 31, 2025 and June 30, 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1,082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1,045</w:t>
            </w:r>
          </w:p>
        </w:tc>
      </w:tr>
      <w:tr>
        <w:trPr>
          <w:trHeight w:val="205"/>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34,891,869</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33,481,201</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Accumulated deficits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(16,925,818)</w:t>
            </w:r>
          </w:p>
        </w:tc>
        <w:tc>
          <w:tcPr>
            <w:tcW w:w="3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(15,198,889)</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(47,462)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(47,462)</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64,671</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40,107</w:t>
            </w:r>
          </w:p>
        </w:tc>
      </w:tr>
      <w:tr>
        <w:trPr>
          <w:trHeight w:val="196"/>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17,984,342</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18,276,002</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33,997,288</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35,642,767</w:t>
            </w:r>
          </w:p>
        </w:tc>
      </w:tr>
      <w:tr>
        <w:trPr>
          <w:trHeight w:val="20"/>
        </w:trPr>
        <w:tc>
          <w:tcPr>
            <w:tcW w:w="60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55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 shares of common stock and per share numbers in the unaudited condensed consolidated financial statements have been adjusted retroactively to reflect the 1-for-30 reverse stock split effected on October 27, 2025 for all periods presented.</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December 31,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color w:val="auto"/>
              </w:rPr>
              <w:t>For the Three Months Ended December 31,</w:t>
            </w:r>
          </w:p>
        </w:tc>
        <w:tc>
          <w:tcPr>
            <w:tcW w:w="160" w:type="dxa"/>
            <w:vAlign w:val="bottom"/>
          </w:tcPr>
          <w:p>
            <w:pPr>
              <w:spacing w:after="0"/>
              <w:rPr>
                <w:sz w:val="18"/>
                <w:szCs w:val="18"/>
                <w:color w:val="auto"/>
              </w:rPr>
            </w:pPr>
          </w:p>
        </w:tc>
        <w:tc>
          <w:tcPr>
            <w:tcW w:w="306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For the Six Months Ended December 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8"/>
                <w:szCs w:val="18"/>
                <w:color w:val="auto"/>
              </w:rPr>
            </w:pP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(Unaudited)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7,133,602</w:t>
            </w:r>
          </w:p>
        </w:tc>
        <w:tc>
          <w:tcPr>
            <w:tcW w:w="14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17,606,889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17,618,347</w:t>
            </w:r>
          </w:p>
        </w:tc>
        <w:tc>
          <w:tcPr>
            <w:tcW w:w="120" w:type="dxa"/>
            <w:vAlign w:val="bottom"/>
            <w:shd w:val="clear" w:color="auto" w:fill="EEEEEE"/>
          </w:tcPr>
          <w:p>
            <w:pPr>
              <w:spacing w:after="0"/>
              <w:rPr>
                <w:sz w:val="17"/>
                <w:szCs w:val="17"/>
                <w:color w:val="auto"/>
              </w:rPr>
            </w:pPr>
          </w:p>
        </w:tc>
        <w:tc>
          <w:tcPr>
            <w:tcW w:w="3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35,882,301</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income</w:t>
            </w:r>
          </w:p>
        </w:tc>
        <w:tc>
          <w:tcPr>
            <w:tcW w:w="140" w:type="dxa"/>
            <w:vAlign w:val="bottom"/>
          </w:tcPr>
          <w:p>
            <w:pPr>
              <w:spacing w:after="0"/>
              <w:rPr>
                <w:sz w:val="18"/>
                <w:szCs w:val="18"/>
                <w:color w:val="auto"/>
              </w:rPr>
            </w:pPr>
          </w:p>
        </w:tc>
        <w:tc>
          <w:tcPr>
            <w:tcW w:w="1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1,465,682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1,532,722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2,198,791</w:t>
            </w:r>
          </w:p>
        </w:tc>
        <w:tc>
          <w:tcPr>
            <w:tcW w:w="0" w:type="dxa"/>
            <w:vAlign w:val="bottom"/>
          </w:tcPr>
          <w:p>
            <w:pPr>
              <w:spacing w:after="0"/>
              <w:rPr>
                <w:sz w:val="1"/>
                <w:szCs w:val="1"/>
                <w:color w:val="auto"/>
              </w:rPr>
            </w:pPr>
          </w:p>
        </w:tc>
      </w:tr>
      <w:tr>
        <w:trPr>
          <w:trHeight w:val="199"/>
        </w:trPr>
        <w:tc>
          <w:tcPr>
            <w:tcW w:w="46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bottom w:val="single" w:sz="8" w:color="auto"/>
            </w:tcBorders>
            <w:shd w:val="clear" w:color="auto" w:fill="EEEEEE"/>
          </w:tcPr>
          <w:p>
            <w:pPr>
              <w:spacing w:after="0"/>
              <w:rPr>
                <w:sz w:val="17"/>
                <w:szCs w:val="17"/>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7,133,602</w:t>
            </w: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19,072,571</w:t>
            </w:r>
          </w:p>
        </w:tc>
        <w:tc>
          <w:tcPr>
            <w:tcW w:w="2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19,151,069</w:t>
            </w: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38,081,092</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costs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3,994,680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9,461,119</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9,872,942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19,378,567</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Service costs</w:t>
            </w:r>
          </w:p>
        </w:tc>
        <w:tc>
          <w:tcPr>
            <w:tcW w:w="1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1,221,566</w:t>
            </w:r>
          </w:p>
        </w:tc>
        <w:tc>
          <w:tcPr>
            <w:tcW w:w="1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1,332,681</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1,824,742</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3,994,680</w:t>
            </w: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10,682,685</w:t>
            </w:r>
          </w:p>
        </w:tc>
        <w:tc>
          <w:tcPr>
            <w:tcW w:w="200" w:type="dxa"/>
            <w:vAlign w:val="bottom"/>
            <w:tcBorders>
              <w:bottom w:val="single" w:sz="8" w:color="EEEEEE"/>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11,205,623</w:t>
            </w: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21,203,309</w:t>
            </w: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8,389,886</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7,945,446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16,877,783</w:t>
            </w:r>
          </w:p>
        </w:tc>
        <w:tc>
          <w:tcPr>
            <w:tcW w:w="0" w:type="dxa"/>
            <w:vAlign w:val="bottom"/>
          </w:tcPr>
          <w:p>
            <w:pPr>
              <w:spacing w:after="0"/>
              <w:rPr>
                <w:sz w:val="1"/>
                <w:szCs w:val="1"/>
                <w:color w:val="auto"/>
              </w:rPr>
            </w:pPr>
          </w:p>
        </w:tc>
      </w:tr>
      <w:tr>
        <w:trPr>
          <w:trHeight w:val="199"/>
        </w:trPr>
        <w:tc>
          <w:tcPr>
            <w:tcW w:w="46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26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Selling and fulfillment</w:t>
            </w: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3,075,161</w:t>
            </w: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4,628,914</w:t>
            </w: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8,255,351</w:t>
            </w: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10,543,722</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3,077,365</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3,823,251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8,396,888</w:t>
            </w:r>
          </w:p>
        </w:tc>
        <w:tc>
          <w:tcPr>
            <w:tcW w:w="0" w:type="dxa"/>
            <w:vAlign w:val="bottom"/>
          </w:tcPr>
          <w:p>
            <w:pPr>
              <w:spacing w:after="0"/>
              <w:rPr>
                <w:sz w:val="1"/>
                <w:szCs w:val="1"/>
                <w:color w:val="auto"/>
              </w:rPr>
            </w:pPr>
          </w:p>
        </w:tc>
      </w:tr>
      <w:tr>
        <w:trPr>
          <w:trHeight w:val="199"/>
        </w:trPr>
        <w:tc>
          <w:tcPr>
            <w:tcW w:w="46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shd w:val="clear" w:color="auto" w:fill="EEEEEE"/>
          </w:tcPr>
          <w:p>
            <w:pPr>
              <w:spacing w:after="0"/>
              <w:rPr>
                <w:sz w:val="17"/>
                <w:szCs w:val="17"/>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5,576,899</w:t>
            </w: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7,706,279</w:t>
            </w:r>
          </w:p>
        </w:tc>
        <w:tc>
          <w:tcPr>
            <w:tcW w:w="2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12,078,602</w:t>
            </w: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18,940,610</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(2,437,977)</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683,607</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(4,133,156)</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(2,062,827)</w:t>
            </w:r>
          </w:p>
        </w:tc>
        <w:tc>
          <w:tcPr>
            <w:tcW w:w="0" w:type="dxa"/>
            <w:vAlign w:val="bottom"/>
          </w:tcPr>
          <w:p>
            <w:pPr>
              <w:spacing w:after="0"/>
              <w:rPr>
                <w:sz w:val="1"/>
                <w:szCs w:val="1"/>
                <w:color w:val="auto"/>
              </w:rPr>
            </w:pPr>
          </w:p>
        </w:tc>
      </w:tr>
      <w:tr>
        <w:trPr>
          <w:trHeight w:val="199"/>
        </w:trPr>
        <w:tc>
          <w:tcPr>
            <w:tcW w:w="4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expenses</w:t>
            </w:r>
          </w:p>
        </w:tc>
        <w:tc>
          <w:tcPr>
            <w:tcW w:w="1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(167,222)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(140,672)</w:t>
            </w:r>
          </w:p>
        </w:tc>
        <w:tc>
          <w:tcPr>
            <w:tcW w:w="16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(228,941)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(280,634)</w:t>
            </w:r>
          </w:p>
        </w:tc>
        <w:tc>
          <w:tcPr>
            <w:tcW w:w="0" w:type="dxa"/>
            <w:vAlign w:val="bottom"/>
          </w:tcPr>
          <w:p>
            <w:pPr>
              <w:spacing w:after="0"/>
              <w:rPr>
                <w:sz w:val="1"/>
                <w:szCs w:val="1"/>
                <w:color w:val="auto"/>
              </w:rPr>
            </w:pPr>
          </w:p>
        </w:tc>
      </w:tr>
      <w:tr>
        <w:trPr>
          <w:trHeight w:val="202"/>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14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(802)</w:t>
            </w:r>
          </w:p>
        </w:tc>
        <w:tc>
          <w:tcPr>
            <w:tcW w:w="16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deconsolidation of VIE</w:t>
            </w:r>
          </w:p>
        </w:tc>
        <w:tc>
          <w:tcPr>
            <w:tcW w:w="140" w:type="dxa"/>
            <w:vAlign w:val="bottom"/>
          </w:tcPr>
          <w:p>
            <w:pPr>
              <w:spacing w:after="0"/>
              <w:rPr>
                <w:sz w:val="17"/>
                <w:szCs w:val="17"/>
                <w:color w:val="auto"/>
              </w:rPr>
            </w:pPr>
          </w:p>
        </w:tc>
        <w:tc>
          <w:tcPr>
            <w:tcW w:w="1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(39,624)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Unrealized gain (loss) on digital assets</w:t>
            </w: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(24,100)</w:t>
            </w: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(24,100)</w:t>
            </w: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non-operating income (expenses)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(205,958)</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12,728</w:t>
            </w:r>
          </w:p>
        </w:tc>
        <w:tc>
          <w:tcPr>
            <w:tcW w:w="0" w:type="dxa"/>
            <w:vAlign w:val="bottom"/>
          </w:tcPr>
          <w:p>
            <w:pPr>
              <w:spacing w:after="0"/>
              <w:rPr>
                <w:sz w:val="1"/>
                <w:szCs w:val="1"/>
                <w:color w:val="auto"/>
              </w:rPr>
            </w:pPr>
          </w:p>
        </w:tc>
      </w:tr>
      <w:tr>
        <w:trPr>
          <w:trHeight w:val="199"/>
        </w:trPr>
        <w:tc>
          <w:tcPr>
            <w:tcW w:w="46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140" w:type="dxa"/>
            <w:vAlign w:val="bottom"/>
            <w:tcBorders>
              <w:top w:val="single" w:sz="8" w:color="auto"/>
              <w:bottom w:val="single" w:sz="8" w:color="auto"/>
            </w:tcBorders>
            <w:shd w:val="clear" w:color="auto" w:fill="EEEEEE"/>
          </w:tcPr>
          <w:p>
            <w:pPr>
              <w:spacing w:after="0"/>
              <w:rPr>
                <w:sz w:val="17"/>
                <w:szCs w:val="17"/>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424,188</w:t>
            </w: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(347,432</w:t>
            </w:r>
          </w:p>
        </w:tc>
        <w:tc>
          <w:tcPr>
            <w:tcW w:w="200" w:type="dxa"/>
            <w:vAlign w:val="bottom"/>
            <w:tcBorders>
              <w:top w:val="single" w:sz="8" w:color="EEEEEE"/>
            </w:tcBorders>
            <w:shd w:val="clear" w:color="auto" w:fill="EEEEEE"/>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1,122,135</w:t>
            </w: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(269,627</w:t>
            </w:r>
          </w:p>
        </w:tc>
        <w:tc>
          <w:tcPr>
            <w:tcW w:w="100" w:type="dxa"/>
            <w:vAlign w:val="bottom"/>
            <w:tcBorders>
              <w:top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(2,013,789)</w:t>
            </w: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336,175</w:t>
            </w:r>
          </w:p>
        </w:tc>
        <w:tc>
          <w:tcPr>
            <w:tcW w:w="16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(3,011,021)</w:t>
            </w: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(2,332,454)</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(820,508)</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120,511</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(1,284,092)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(516,001)</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215,664</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(1,726,929)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18"/>
                <w:szCs w:val="18"/>
                <w:color w:val="auto"/>
              </w:rPr>
            </w:pPr>
          </w:p>
        </w:tc>
        <w:tc>
          <w:tcPr>
            <w:tcW w:w="1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(3,155)</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(5,991)</w:t>
            </w:r>
          </w:p>
        </w:tc>
        <w:tc>
          <w:tcPr>
            <w:tcW w:w="0" w:type="dxa"/>
            <w:vAlign w:val="bottom"/>
          </w:tcPr>
          <w:p>
            <w:pPr>
              <w:spacing w:after="0"/>
              <w:rPr>
                <w:sz w:val="1"/>
                <w:szCs w:val="1"/>
                <w:color w:val="auto"/>
              </w:rPr>
            </w:pPr>
          </w:p>
        </w:tc>
      </w:tr>
      <w:tr>
        <w:trPr>
          <w:trHeight w:val="199"/>
        </w:trPr>
        <w:tc>
          <w:tcPr>
            <w:tcW w:w="46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26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IPOWER INC.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(1,193,281)</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218,819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(1,726,929)</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(1,810,462)</w:t>
            </w: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156,130</w:t>
            </w:r>
          </w:p>
        </w:tc>
        <w:tc>
          <w:tcPr>
            <w:tcW w:w="1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24,564</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101,076</w:t>
            </w:r>
          </w:p>
        </w:tc>
        <w:tc>
          <w:tcPr>
            <w:tcW w:w="0" w:type="dxa"/>
            <w:vAlign w:val="bottom"/>
          </w:tcPr>
          <w:p>
            <w:pPr>
              <w:spacing w:after="0"/>
              <w:rPr>
                <w:sz w:val="1"/>
                <w:szCs w:val="1"/>
                <w:color w:val="auto"/>
              </w:rPr>
            </w:pPr>
          </w:p>
        </w:tc>
      </w:tr>
      <w:tr>
        <w:trPr>
          <w:trHeight w:val="199"/>
        </w:trPr>
        <w:tc>
          <w:tcPr>
            <w:tcW w:w="4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COMPREHENSIVE INCOME (LOSS) ATTRIBUTABLE TO</w:t>
            </w:r>
          </w:p>
        </w:tc>
        <w:tc>
          <w:tcPr>
            <w:tcW w:w="140" w:type="dxa"/>
            <w:vAlign w:val="bottom"/>
            <w:shd w:val="clear" w:color="auto" w:fill="EEEEEE"/>
          </w:tcPr>
          <w:p>
            <w:pPr>
              <w:spacing w:after="0"/>
              <w:rPr>
                <w:sz w:val="16"/>
                <w:szCs w:val="16"/>
                <w:color w:val="auto"/>
              </w:rPr>
            </w:pPr>
          </w:p>
        </w:tc>
        <w:tc>
          <w:tcPr>
            <w:tcW w:w="13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3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IPOWER INC.</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(1,193,660)</w:t>
            </w:r>
          </w:p>
        </w:tc>
        <w:tc>
          <w:tcPr>
            <w:tcW w:w="32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374,949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(1,702,365)</w:t>
            </w:r>
          </w:p>
        </w:tc>
        <w:tc>
          <w:tcPr>
            <w:tcW w:w="3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(1,709,386)</w:t>
            </w:r>
          </w:p>
        </w:tc>
        <w:tc>
          <w:tcPr>
            <w:tcW w:w="0" w:type="dxa"/>
            <w:vAlign w:val="bottom"/>
          </w:tcPr>
          <w:p>
            <w:pPr>
              <w:spacing w:after="0"/>
              <w:rPr>
                <w:sz w:val="1"/>
                <w:szCs w:val="1"/>
                <w:color w:val="auto"/>
              </w:rPr>
            </w:pPr>
          </w:p>
        </w:tc>
      </w:tr>
      <w:tr>
        <w:trPr>
          <w:trHeight w:val="20"/>
        </w:trPr>
        <w:tc>
          <w:tcPr>
            <w:tcW w:w="4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WEIGHTED AVERAGE NUMBER OF COMMON STOCK</w:t>
            </w: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1,102,378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1,047,917</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1,075,986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1,047,570</w:t>
            </w:r>
          </w:p>
        </w:tc>
        <w:tc>
          <w:tcPr>
            <w:tcW w:w="0" w:type="dxa"/>
            <w:vAlign w:val="bottom"/>
          </w:tcPr>
          <w:p>
            <w:pPr>
              <w:spacing w:after="0"/>
              <w:rPr>
                <w:sz w:val="1"/>
                <w:szCs w:val="1"/>
                <w:color w:val="auto"/>
              </w:rPr>
            </w:pPr>
          </w:p>
        </w:tc>
      </w:tr>
      <w:tr>
        <w:trPr>
          <w:trHeight w:val="186"/>
        </w:trPr>
        <w:tc>
          <w:tcPr>
            <w:tcW w:w="4620" w:type="dxa"/>
            <w:vAlign w:val="bottom"/>
            <w:tcBorders>
              <w:top w:val="single" w:sz="8" w:color="EEEEEE"/>
              <w:bottom w:val="single" w:sz="8" w:color="EEEEEE"/>
            </w:tcBorders>
            <w:shd w:val="clear" w:color="auto" w:fill="EEEEEE"/>
          </w:tcPr>
          <w:p>
            <w:pPr>
              <w:ind w:left="18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top w:val="single" w:sz="8" w:color="auto"/>
              <w:bottom w:val="single" w:sz="8" w:color="auto"/>
            </w:tcBorders>
            <w:shd w:val="clear" w:color="auto" w:fill="EEEEEE"/>
          </w:tcPr>
          <w:p>
            <w:pPr>
              <w:spacing w:after="0"/>
              <w:rPr>
                <w:sz w:val="16"/>
                <w:szCs w:val="16"/>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1,102,378</w:t>
            </w: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220" w:type="dxa"/>
            <w:vAlign w:val="bottom"/>
            <w:tcBorders>
              <w:top w:val="single" w:sz="8" w:color="auto"/>
              <w:bottom w:val="single" w:sz="8" w:color="auto"/>
            </w:tcBorders>
            <w:shd w:val="clear" w:color="auto" w:fill="EEEEEE"/>
          </w:tcPr>
          <w:p>
            <w:pPr>
              <w:spacing w:after="0"/>
              <w:rPr>
                <w:sz w:val="16"/>
                <w:szCs w:val="16"/>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1,047,917</w:t>
            </w:r>
          </w:p>
        </w:tc>
        <w:tc>
          <w:tcPr>
            <w:tcW w:w="20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auto"/>
            </w:tcBorders>
            <w:shd w:val="clear" w:color="auto" w:fill="EEEEEE"/>
          </w:tcPr>
          <w:p>
            <w:pPr>
              <w:spacing w:after="0"/>
              <w:rPr>
                <w:sz w:val="16"/>
                <w:szCs w:val="16"/>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1,075,986</w:t>
            </w:r>
          </w:p>
        </w:tc>
        <w:tc>
          <w:tcPr>
            <w:tcW w:w="120" w:type="dxa"/>
            <w:vAlign w:val="bottom"/>
            <w:tcBorders>
              <w:top w:val="single" w:sz="8" w:color="EEEEEE"/>
              <w:bottom w:val="single" w:sz="8" w:color="EEEEEE"/>
            </w:tcBorders>
            <w:shd w:val="clear" w:color="auto" w:fill="EEEEEE"/>
          </w:tcPr>
          <w:p>
            <w:pPr>
              <w:spacing w:after="0"/>
              <w:rPr>
                <w:sz w:val="16"/>
                <w:szCs w:val="16"/>
                <w:color w:val="auto"/>
              </w:rPr>
            </w:pPr>
          </w:p>
        </w:tc>
        <w:tc>
          <w:tcPr>
            <w:tcW w:w="80" w:type="dxa"/>
            <w:vAlign w:val="bottom"/>
            <w:tcBorders>
              <w:top w:val="single" w:sz="8" w:color="EEEEEE"/>
              <w:bottom w:val="single" w:sz="8" w:color="EEEEEE"/>
            </w:tcBorders>
            <w:shd w:val="clear" w:color="auto" w:fill="EEEEEE"/>
          </w:tcPr>
          <w:p>
            <w:pPr>
              <w:spacing w:after="0"/>
              <w:rPr>
                <w:sz w:val="16"/>
                <w:szCs w:val="16"/>
                <w:color w:val="auto"/>
              </w:rPr>
            </w:pPr>
          </w:p>
        </w:tc>
        <w:tc>
          <w:tcPr>
            <w:tcW w:w="220" w:type="dxa"/>
            <w:vAlign w:val="bottom"/>
            <w:tcBorders>
              <w:top w:val="single" w:sz="8" w:color="auto"/>
              <w:bottom w:val="single" w:sz="8" w:color="auto"/>
            </w:tcBorders>
            <w:shd w:val="clear" w:color="auto" w:fill="EEEEEE"/>
          </w:tcPr>
          <w:p>
            <w:pPr>
              <w:spacing w:after="0"/>
              <w:rPr>
                <w:sz w:val="16"/>
                <w:szCs w:val="16"/>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1,047,570</w:t>
            </w: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EARNINGS (LOSSES) PER SHARE</w:t>
            </w:r>
          </w:p>
        </w:tc>
        <w:tc>
          <w:tcPr>
            <w:tcW w:w="1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186"/>
        </w:trPr>
        <w:tc>
          <w:tcPr>
            <w:tcW w:w="4620" w:type="dxa"/>
            <w:vAlign w:val="bottom"/>
            <w:tcBorders>
              <w:top w:val="single" w:sz="8" w:color="EEEEEE"/>
              <w:bottom w:val="single" w:sz="8" w:color="EEEEEE"/>
            </w:tcBorders>
            <w:shd w:val="clear" w:color="auto" w:fill="EEEEEE"/>
          </w:tcPr>
          <w:p>
            <w:pPr>
              <w:ind w:left="18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Borders>
              <w:top w:val="single" w:sz="8" w:color="EEEEEE"/>
              <w:bottom w:val="single" w:sz="8" w:color="EEEEEE"/>
            </w:tcBorders>
            <w:shd w:val="clear" w:color="auto" w:fill="EEEEEE"/>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220" w:type="dxa"/>
            <w:vAlign w:val="bottom"/>
            <w:tcBorders>
              <w:top w:val="single" w:sz="8" w:color="auto"/>
              <w:bottom w:val="single" w:sz="8" w:color="auto"/>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0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top w:val="single" w:sz="8" w:color="EEEEEE"/>
              <w:bottom w:val="single" w:sz="8" w:color="EEEEEE"/>
            </w:tcBorders>
            <w:shd w:val="clear" w:color="auto" w:fill="EEEEEE"/>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EEEEEE"/>
              <w:bottom w:val="single" w:sz="8" w:color="EEEEEE"/>
            </w:tcBorders>
            <w:shd w:val="clear" w:color="auto" w:fill="EEEEEE"/>
          </w:tcPr>
          <w:p>
            <w:pPr>
              <w:spacing w:after="0"/>
              <w:rPr>
                <w:sz w:val="16"/>
                <w:szCs w:val="16"/>
                <w:color w:val="auto"/>
              </w:rPr>
            </w:pPr>
          </w:p>
        </w:tc>
        <w:tc>
          <w:tcPr>
            <w:tcW w:w="220" w:type="dxa"/>
            <w:vAlign w:val="bottom"/>
            <w:tcBorders>
              <w:top w:val="single" w:sz="8" w:color="auto"/>
              <w:bottom w:val="single" w:sz="8" w:color="auto"/>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top w:val="single" w:sz="8" w:color="EEEEEE"/>
              <w:bottom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 shares of common stock and per share numbers in the unaudited condensed consolidated financial statements have been adjusted retroactively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reflect the 1-for-30 reverse stock split effected on October 27, 2025 for all periods presented.</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2026-02-20T15:40:33Z</dcterms:created>
  <dcterms:modified xsi:type="dcterms:W3CDTF">2026-02-20T15:40:33Z</dcterms:modified>
</cp:coreProperties>
</file>