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ipower_i10q-123125.htm"/>
        <w:bookmarkStart w:id="1" w:name="ksipower_i10q123125"/>
        <w:bookmarkEnd w:id="0"/>
        <w:bookmarkEnd w:id="1"/>
        <w:r>
          <w:rPr>
            <w:rStyle w:val="InternetLink"/>
            <w:sz w:val="14"/>
          </w:rPr>
          <w:t>Table of Contents</w:t>
        </w:r>
      </w:hyperlink>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4_edei--DocumentType_c20250701__20"/>
      <w:bookmarkEnd w:id="2"/>
      <w:r>
        <w:rPr>
          <w:rFonts w:ascii="Times New Roman;Times;Serif" w:hAnsi="Times New Roman;Times;Serif"/>
          <w:b/>
          <w:i w:val="false"/>
          <w:caps w:val="false"/>
          <w:smallCaps w:val="false"/>
          <w:sz w:val="24"/>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tbl>
      <w:tblPr>
        <w:tblW w:w="9625" w:type="dxa"/>
        <w:jc w:val="left"/>
        <w:tblInd w:w="0" w:type="dxa"/>
        <w:tblLayout w:type="fixed"/>
        <w:tblCellMar>
          <w:top w:w="0" w:type="dxa"/>
          <w:left w:w="0" w:type="dxa"/>
          <w:bottom w:w="0" w:type="dxa"/>
          <w:right w:w="0" w:type="dxa"/>
        </w:tblCellMar>
      </w:tblPr>
      <w:tblGrid>
        <w:gridCol w:w="245"/>
        <w:gridCol w:w="9380"/>
      </w:tblGrid>
      <w:tr>
        <w:trPr/>
        <w:tc>
          <w:tcPr>
            <w:tcW w:w="245" w:type="dxa"/>
            <w:tcBorders/>
            <w:vAlign w:val="center"/>
          </w:tcPr>
          <w:p>
            <w:pPr>
              <w:pStyle w:val="TableContents"/>
              <w:bidi w:val="0"/>
              <w:spacing w:before="0" w:after="283"/>
              <w:jc w:val="both"/>
              <w:rPr>
                <w:caps/>
              </w:rPr>
            </w:pPr>
            <w:bookmarkStart w:id="3" w:name="xdx_90A_edei--DocumentQuarterlyReport_c2"/>
            <w:bookmarkEnd w:id="3"/>
            <w:r>
              <w:rPr>
                <w:caps/>
              </w:rPr>
              <w:t>☒</w:t>
            </w:r>
          </w:p>
        </w:tc>
        <w:tc>
          <w:tcPr>
            <w:tcW w:w="9380" w:type="dxa"/>
            <w:tcBorders/>
            <w:vAlign w:val="center"/>
          </w:tcPr>
          <w:p>
            <w:pPr>
              <w:pStyle w:val="TableContents"/>
              <w:bidi w:val="0"/>
              <w:spacing w:before="0" w:after="283"/>
              <w:jc w:val="both"/>
              <w:rPr>
                <w:sz w:val="20"/>
              </w:rPr>
            </w:pPr>
            <w:r>
              <w:rPr>
                <w:caps/>
                <w:sz w:val="20"/>
              </w:rPr>
              <w:t>QUARTERLY REPORT PURSUANT TO SECTION 13 OR 15(</w:t>
            </w:r>
            <w:r>
              <w:rPr>
                <w:sz w:val="20"/>
              </w:rPr>
              <w:t>d</w:t>
            </w:r>
            <w:r>
              <w:rPr>
                <w:caps/>
                <w:sz w:val="20"/>
              </w:rPr>
              <w:t>)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0_edei--DocumentPeriodEndDate_c202"/>
      <w:bookmarkEnd w:id="4"/>
      <w:r>
        <w:rPr>
          <w:rFonts w:ascii="Times New Roman;Times;Serif" w:hAnsi="Times New Roman;Times;Serif"/>
          <w:b w:val="false"/>
          <w:i w:val="false"/>
          <w:caps w:val="false"/>
          <w:smallCaps w:val="false"/>
          <w:sz w:val="20"/>
        </w:rPr>
        <w:t>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283"/>
              <w:jc w:val="both"/>
              <w:rPr>
                <w:caps/>
              </w:rPr>
            </w:pPr>
            <w:bookmarkStart w:id="5" w:name="xdx_908_edei--DocumentTransitionReport_c"/>
            <w:bookmarkEnd w:id="5"/>
            <w:r>
              <w:rPr>
                <w:caps/>
              </w:rPr>
              <w:t>☐</w:t>
            </w:r>
          </w:p>
        </w:tc>
        <w:tc>
          <w:tcPr>
            <w:tcW w:w="9350" w:type="dxa"/>
            <w:tcBorders/>
            <w:vAlign w:val="center"/>
          </w:tcPr>
          <w:p>
            <w:pPr>
              <w:pStyle w:val="TableContents"/>
              <w:bidi w:val="0"/>
              <w:spacing w:before="0" w:after="283"/>
              <w:jc w:val="both"/>
              <w:rPr/>
            </w:pPr>
            <w:r>
              <w:rPr>
                <w:caps/>
                <w:sz w:val="20"/>
              </w:rPr>
              <w:t>TRANSITION REPORT PURSUANT TO SECTION 13 OR 15(</w:t>
            </w:r>
            <w:r>
              <w:rPr>
                <w:sz w:val="20"/>
              </w:rPr>
              <w:t>d</w:t>
            </w:r>
            <w:r>
              <w:rPr>
                <w:caps/>
                <w:sz w:val="20"/>
              </w:rPr>
              <w:t>)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 to 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6" w:name="xdx_900_edei--EntityFileNumber_c20250701"/>
      <w:bookmarkEnd w:id="6"/>
      <w:r>
        <w:rPr>
          <w:rFonts w:ascii="Times New Roman;Times;Serif" w:hAnsi="Times New Roman;Times;Serif"/>
          <w:b w:val="false"/>
          <w:i w:val="false"/>
          <w:caps w:val="false"/>
          <w:smallCaps w:val="false"/>
          <w:sz w:val="20"/>
        </w:rPr>
        <w:t>001-40391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7" w:name="xdx_908_edei--EntityRegistrantName_c2025"/>
      <w:bookmarkEnd w:id="7"/>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4880"/>
        <w:gridCol w:w="60"/>
        <w:gridCol w:w="2915"/>
      </w:tblGrid>
      <w:tr>
        <w:trPr/>
        <w:tc>
          <w:tcPr>
            <w:tcW w:w="4880" w:type="dxa"/>
            <w:tcBorders>
              <w:bottom w:val="single" w:sz="8" w:space="0" w:color="000000"/>
            </w:tcBorders>
            <w:vAlign w:val="center"/>
          </w:tcPr>
          <w:p>
            <w:pPr>
              <w:pStyle w:val="TableContents"/>
              <w:bidi w:val="0"/>
              <w:spacing w:before="0" w:after="283"/>
              <w:jc w:val="center"/>
              <w:rPr>
                <w:b/>
                <w:sz w:val="20"/>
              </w:rPr>
            </w:pPr>
            <w:bookmarkStart w:id="8" w:name="xdx_904_edei--EntityIncorporationStateCo"/>
            <w:bookmarkEnd w:id="8"/>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915" w:type="dxa"/>
            <w:tcBorders>
              <w:bottom w:val="single" w:sz="8" w:space="0" w:color="000000"/>
            </w:tcBorders>
            <w:vAlign w:val="center"/>
          </w:tcPr>
          <w:p>
            <w:pPr>
              <w:pStyle w:val="TableContents"/>
              <w:bidi w:val="0"/>
              <w:spacing w:before="0" w:after="283"/>
              <w:jc w:val="center"/>
              <w:rPr>
                <w:b/>
                <w:sz w:val="20"/>
              </w:rPr>
            </w:pPr>
            <w:bookmarkStart w:id="9" w:name="xdx_907_edei--EntityTaxIdentificationNum"/>
            <w:bookmarkEnd w:id="9"/>
            <w:r>
              <w:rPr>
                <w:b/>
                <w:sz w:val="20"/>
              </w:rPr>
              <w:t>82-5144171</w:t>
            </w:r>
          </w:p>
        </w:tc>
      </w:tr>
      <w:tr>
        <w:trPr/>
        <w:tc>
          <w:tcPr>
            <w:tcW w:w="4880" w:type="dxa"/>
            <w:tcBorders/>
            <w:tcMar>
              <w:bottom w:w="0" w:type="dxa"/>
            </w:tcMar>
            <w:vAlign w:val="center"/>
          </w:tcPr>
          <w:p>
            <w:pPr>
              <w:pStyle w:val="TableContents"/>
              <w:bidi w:val="0"/>
              <w:spacing w:before="0" w:after="283"/>
              <w:jc w:val="center"/>
              <w:rPr>
                <w:sz w:val="20"/>
              </w:rPr>
            </w:pPr>
            <w:r>
              <w:rPr>
                <w:sz w:val="20"/>
              </w:rPr>
              <w:t>(State or other jurisdiction of 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915"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AddressLine1_"/>
      <w:bookmarkEnd w:id="10"/>
      <w:r>
        <w:rPr>
          <w:rFonts w:ascii="Times New Roman;Times;Serif" w:hAnsi="Times New Roman;Times;Serif"/>
          <w:b/>
          <w:i w:val="false"/>
          <w:caps w:val="false"/>
          <w:smallCaps w:val="false"/>
          <w:sz w:val="20"/>
        </w:rPr>
        <w:t>8798 9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F_edei--EntityAddressCityOrTown_c2"/>
      <w:bookmarkEnd w:id="11"/>
      <w:r>
        <w:rPr>
          <w:rFonts w:ascii="Times New Roman;Times;Serif" w:hAnsi="Times New Roman;Times;Serif"/>
          <w:b/>
          <w:i w:val="false"/>
          <w:caps w:val="false"/>
          <w:smallCaps w:val="false"/>
          <w:sz w:val="20"/>
        </w:rPr>
        <w:t xml:space="preserve">Rancho Cucamonga, </w:t>
      </w:r>
      <w:bookmarkStart w:id="12" w:name="xdx_90F_edei--EntityAddressStateOrProvin"/>
      <w:bookmarkEnd w:id="12"/>
      <w:r>
        <w:rPr>
          <w:rFonts w:ascii="Times New Roman;Times;Serif" w:hAnsi="Times New Roman;Times;Serif"/>
          <w:b/>
          <w:i w:val="false"/>
          <w:caps w:val="false"/>
          <w:smallCaps w:val="false"/>
          <w:sz w:val="20"/>
        </w:rPr>
        <w:t xml:space="preserve">CA </w:t>
      </w:r>
      <w:bookmarkStart w:id="13" w:name="xdx_904_edei--EntityAddressPostalZipCode"/>
      <w:bookmarkEnd w:id="13"/>
      <w:r>
        <w:rPr>
          <w:rFonts w:ascii="Times New Roman;Times;Serif" w:hAnsi="Times New Roman;Times;Serif"/>
          <w:b/>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F_edei--CityAreaCode_c20250701__20"/>
      <w:bookmarkEnd w:id="14"/>
      <w:r>
        <w:rPr>
          <w:rFonts w:ascii="Times New Roman;Times;Serif" w:hAnsi="Times New Roman;Times;Serif"/>
          <w:b/>
          <w:i w:val="false"/>
          <w:caps w:val="false"/>
          <w:smallCaps w:val="false"/>
          <w:sz w:val="20"/>
        </w:rPr>
        <w:t xml:space="preserve">626) </w:t>
      </w:r>
      <w:bookmarkStart w:id="15" w:name="xdx_902_edei--LocalPhoneNumber_c20250701"/>
      <w:bookmarkEnd w:id="15"/>
      <w:r>
        <w:rPr>
          <w:rFonts w:ascii="Times New Roman;Times;Serif" w:hAnsi="Times New Roman;Times;Serif"/>
          <w:b/>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sz w:val="20"/>
              </w:rPr>
            </w:pPr>
            <w:bookmarkStart w:id="16" w:name="xdx_902_edei--Security12bTitle_c20250701"/>
            <w:bookmarkEnd w:id="16"/>
            <w:r>
              <w:rPr>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17" w:name="xdx_904_edei--TradingSymbol_c20250701__2"/>
            <w:bookmarkEnd w:id="17"/>
            <w:r>
              <w:rPr>
                <w:sz w:val="20"/>
              </w:rPr>
              <w:t>IPW</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r>
              <w:rPr>
                <w:sz w:val="20"/>
              </w:rPr>
              <w:t xml:space="preserve">The </w:t>
            </w:r>
            <w:bookmarkStart w:id="18" w:name="xdx_908_edei--SecurityExchangeName_c2025"/>
            <w:bookmarkEnd w:id="18"/>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9" w:name="xdx_905_edei--EntityCurrentReportingStat"/>
      <w:bookmarkEnd w:id="19"/>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0" w:name="xdx_905_edei--EntityInteractiveDataCurre"/>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both"/>
              <w:rPr>
                <w:sz w:val="20"/>
              </w:rPr>
            </w:pPr>
            <w:r>
              <w:rPr>
                <w:sz w:val="20"/>
              </w:rPr>
              <w:t>Large accelerated filer</w:t>
            </w:r>
          </w:p>
        </w:tc>
        <w:tc>
          <w:tcPr>
            <w:tcW w:w="23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sz w:val="20"/>
              </w:rPr>
            </w:pPr>
            <w:r>
              <w:rPr>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sz w:val="20"/>
              </w:rPr>
            </w:pPr>
            <w:bookmarkStart w:id="21" w:name="xdx_902_edei--EntityFilerCategory_c20250"/>
            <w:bookmarkEnd w:id="21"/>
            <w:r>
              <w:rPr>
                <w:sz w:val="20"/>
              </w:rPr>
              <w:t>Non-accelerated filer</w:t>
            </w:r>
          </w:p>
        </w:tc>
        <w:tc>
          <w:tcPr>
            <w:tcW w:w="23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sz w:val="20"/>
              </w:rPr>
            </w:pPr>
            <w:r>
              <w:rPr>
                <w:sz w:val="20"/>
              </w:rPr>
              <w:t>Smaller reporting company</w:t>
            </w:r>
          </w:p>
        </w:tc>
        <w:tc>
          <w:tcPr>
            <w:tcW w:w="245" w:type="dxa"/>
            <w:tcBorders/>
            <w:vAlign w:val="center"/>
          </w:tcPr>
          <w:p>
            <w:pPr>
              <w:pStyle w:val="TableContents"/>
              <w:bidi w:val="0"/>
              <w:spacing w:before="0" w:after="283"/>
              <w:jc w:val="both"/>
              <w:rPr/>
            </w:pPr>
            <w:bookmarkStart w:id="22" w:name="xdx_902_edei--EntitySmallBusiness_c20250"/>
            <w:bookmarkEnd w:id="22"/>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sz w:val="20"/>
              </w:rPr>
            </w:pPr>
            <w:r>
              <w:rPr>
                <w:sz w:val="20"/>
              </w:rPr>
              <w:t>Emerging growth company</w:t>
            </w:r>
          </w:p>
        </w:tc>
        <w:tc>
          <w:tcPr>
            <w:tcW w:w="245" w:type="dxa"/>
            <w:tcBorders/>
            <w:vAlign w:val="center"/>
          </w:tcPr>
          <w:p>
            <w:pPr>
              <w:pStyle w:val="TableContents"/>
              <w:bidi w:val="0"/>
              <w:spacing w:before="0" w:after="283"/>
              <w:jc w:val="both"/>
              <w:rPr/>
            </w:pPr>
            <w:bookmarkStart w:id="23" w:name="xdx_90A_edei--EntityEmergingGrowthCompan"/>
            <w:bookmarkEnd w:id="23"/>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4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5" w:name="xdx_90F_edei--EntityShellCompany_dbF_c20"/>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outstanding of the registrant’s common stock on February 20, 2026 was </w:t>
      </w:r>
      <w:bookmarkStart w:id="26" w:name="xdx_909_edei--EntityCommonStockSharesOut"/>
      <w:bookmarkEnd w:id="26"/>
      <w:r>
        <w:rPr>
          <w:rFonts w:ascii="Times New Roman;Times;Serif" w:hAnsi="Times New Roman;Times;Serif"/>
          <w:b w:val="false"/>
          <w:i w:val="false"/>
          <w:caps w:val="false"/>
          <w:smallCaps w:val="false"/>
          <w:sz w:val="20"/>
        </w:rPr>
        <w:t>1,322,477.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oc"/>
      <w:bookmarkEnd w:id="27"/>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4"/>
        <w:gridCol w:w="8845"/>
        <w:gridCol w:w="60"/>
        <w:gridCol w:w="666"/>
      </w:tblGrid>
      <w:tr>
        <w:trPr/>
        <w:tc>
          <w:tcPr>
            <w:tcW w:w="634" w:type="dxa"/>
            <w:tcBorders/>
            <w:vAlign w:val="center"/>
          </w:tcPr>
          <w:p>
            <w:pPr>
              <w:pStyle w:val="TableContents"/>
              <w:bidi w:val="0"/>
              <w:spacing w:before="0" w:after="283"/>
              <w:jc w:val="both"/>
              <w:rPr/>
            </w:pPr>
            <w:r>
              <w:rPr/>
              <w:t> </w:t>
            </w:r>
          </w:p>
        </w:tc>
        <w:tc>
          <w:tcPr>
            <w:tcW w:w="8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 No.</w:t>
            </w:r>
          </w:p>
        </w:tc>
      </w:tr>
      <w:tr>
        <w:trPr/>
        <w:tc>
          <w:tcPr>
            <w:tcW w:w="634" w:type="dxa"/>
            <w:tcBorders/>
            <w:vAlign w:val="center"/>
          </w:tcPr>
          <w:p>
            <w:pPr>
              <w:pStyle w:val="TableContents"/>
              <w:bidi w:val="0"/>
              <w:spacing w:before="0" w:after="283"/>
              <w:jc w:val="both"/>
              <w:rPr/>
            </w:pPr>
            <w:r>
              <w:rPr/>
              <w:t> </w:t>
            </w:r>
          </w:p>
        </w:tc>
        <w:tc>
          <w:tcPr>
            <w:tcW w:w="8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pPr>
            <w:r>
              <w:rPr/>
              <w:t> </w:t>
            </w:r>
          </w:p>
        </w:tc>
        <w:tc>
          <w:tcPr>
            <w:tcW w:w="8845" w:type="dxa"/>
            <w:tcBorders/>
            <w:shd w:fill="EEEEEE" w:val="clear"/>
            <w:vAlign w:val="center"/>
          </w:tcPr>
          <w:p>
            <w:pPr>
              <w:pStyle w:val="TableContents"/>
              <w:bidi w:val="0"/>
              <w:spacing w:before="0" w:after="283"/>
              <w:jc w:val="center"/>
              <w:rPr/>
            </w:pPr>
            <w:hyperlink w:anchor="q2_001">
              <w:r>
                <w:rPr>
                  <w:rStyle w:val="InternetLink"/>
                  <w:b/>
                  <w:sz w:val="20"/>
                </w:rPr>
                <w:t>PART I. Financial Information</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pPr>
            <w:r>
              <w:rPr/>
              <w:t> </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 xml:space="preserve">Item 1. </w:t>
            </w:r>
          </w:p>
        </w:tc>
        <w:tc>
          <w:tcPr>
            <w:tcW w:w="8845" w:type="dxa"/>
            <w:tcBorders/>
            <w:shd w:fill="EEEEEE" w:val="clear"/>
            <w:vAlign w:val="center"/>
          </w:tcPr>
          <w:p>
            <w:pPr>
              <w:pStyle w:val="TableContents"/>
              <w:bidi w:val="0"/>
              <w:spacing w:before="0" w:after="283"/>
              <w:jc w:val="left"/>
              <w:rPr/>
            </w:pPr>
            <w:hyperlink w:anchor="q2_002">
              <w:r>
                <w:rPr>
                  <w:rStyle w:val="InternetLink"/>
                  <w:sz w:val="20"/>
                </w:rPr>
                <w:t>Unaudited Condensed Consolidated Financial Statements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3</w:t>
            </w:r>
          </w:p>
        </w:tc>
      </w:tr>
      <w:tr>
        <w:trPr/>
        <w:tc>
          <w:tcPr>
            <w:tcW w:w="634" w:type="dxa"/>
            <w:tcBorders/>
            <w:shd w:fill="FFFFFF" w:val="clear"/>
            <w:vAlign w:val="center"/>
          </w:tcPr>
          <w:p>
            <w:pPr>
              <w:pStyle w:val="TableContents"/>
              <w:bidi w:val="0"/>
              <w:spacing w:before="0" w:after="283"/>
              <w:jc w:val="center"/>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pPr>
            <w:r>
              <w:rPr/>
              <w:t> </w:t>
            </w:r>
          </w:p>
        </w:tc>
        <w:tc>
          <w:tcPr>
            <w:tcW w:w="8845" w:type="dxa"/>
            <w:tcBorders/>
            <w:shd w:fill="EEEEEE" w:val="clear"/>
            <w:vAlign w:val="center"/>
          </w:tcPr>
          <w:p>
            <w:pPr>
              <w:pStyle w:val="TableContents"/>
              <w:bidi w:val="0"/>
              <w:spacing w:before="0" w:after="283"/>
              <w:jc w:val="left"/>
              <w:rPr/>
            </w:pPr>
            <w:hyperlink w:anchor="q2_003">
              <w:r>
                <w:rPr>
                  <w:rStyle w:val="InternetLink"/>
                  <w:sz w:val="20"/>
                </w:rPr>
                <w:t>Unaudited Condensed Consolidated Balance Sheets as of December 31, 2025 and June 30, 2025</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3</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pPr>
            <w:r>
              <w:rPr/>
              <w:t> </w:t>
            </w:r>
          </w:p>
        </w:tc>
        <w:tc>
          <w:tcPr>
            <w:tcW w:w="8845" w:type="dxa"/>
            <w:tcBorders/>
            <w:shd w:fill="EEEEEE" w:val="clear"/>
            <w:vAlign w:val="center"/>
          </w:tcPr>
          <w:p>
            <w:pPr>
              <w:pStyle w:val="TableContents"/>
              <w:bidi w:val="0"/>
              <w:spacing w:before="0" w:after="283"/>
              <w:jc w:val="left"/>
              <w:rPr/>
            </w:pPr>
            <w:hyperlink w:anchor="q2_004">
              <w:r>
                <w:rPr>
                  <w:rStyle w:val="InternetLink"/>
                  <w:sz w:val="20"/>
                </w:rPr>
                <w:t>Unaudited Condensed Consolidated Statements of Operations and Comprehensive Income (Loss) for the three and six months ended December 31, 2025 and 2024</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4</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pPr>
            <w:r>
              <w:rPr/>
              <w:t> </w:t>
            </w:r>
          </w:p>
        </w:tc>
        <w:tc>
          <w:tcPr>
            <w:tcW w:w="8845" w:type="dxa"/>
            <w:tcBorders/>
            <w:shd w:fill="EEEEEE" w:val="clear"/>
            <w:vAlign w:val="center"/>
          </w:tcPr>
          <w:p>
            <w:pPr>
              <w:pStyle w:val="TableContents"/>
              <w:bidi w:val="0"/>
              <w:spacing w:before="0" w:after="283"/>
              <w:jc w:val="left"/>
              <w:rPr/>
            </w:pPr>
            <w:hyperlink w:anchor="q2_005">
              <w:r>
                <w:rPr>
                  <w:rStyle w:val="InternetLink"/>
                  <w:sz w:val="20"/>
                </w:rPr>
                <w:t>Unaudited Condensed Consolidated Statements of Changes in Stockholders’ Equity for the three and six months ended December 31, 2025 and 2024</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pPr>
            <w:r>
              <w:rPr/>
              <w:t> </w:t>
            </w:r>
          </w:p>
        </w:tc>
        <w:tc>
          <w:tcPr>
            <w:tcW w:w="8845" w:type="dxa"/>
            <w:tcBorders/>
            <w:shd w:fill="EEEEEE" w:val="clear"/>
            <w:vAlign w:val="center"/>
          </w:tcPr>
          <w:p>
            <w:pPr>
              <w:pStyle w:val="TableContents"/>
              <w:bidi w:val="0"/>
              <w:spacing w:before="0" w:after="283"/>
              <w:jc w:val="left"/>
              <w:rPr/>
            </w:pPr>
            <w:hyperlink w:anchor="q2_006">
              <w:r>
                <w:rPr>
                  <w:rStyle w:val="InternetLink"/>
                  <w:sz w:val="20"/>
                </w:rPr>
                <w:t>Unaudited Condensed Consolidated Statements of Cash Flows for the six months ended December 31, 2025 and 2024</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6</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pPr>
            <w:r>
              <w:rPr/>
              <w:t> </w:t>
            </w:r>
          </w:p>
        </w:tc>
        <w:tc>
          <w:tcPr>
            <w:tcW w:w="8845" w:type="dxa"/>
            <w:tcBorders/>
            <w:shd w:fill="EEEEEE" w:val="clear"/>
            <w:vAlign w:val="center"/>
          </w:tcPr>
          <w:p>
            <w:pPr>
              <w:pStyle w:val="TableContents"/>
              <w:bidi w:val="0"/>
              <w:spacing w:before="0" w:after="283"/>
              <w:jc w:val="both"/>
              <w:rPr/>
            </w:pPr>
            <w:hyperlink w:anchor="q2_007">
              <w:r>
                <w:rPr>
                  <w:rStyle w:val="InternetLink"/>
                  <w:sz w:val="20"/>
                </w:rPr>
                <w:t>Notes to Unaudited Condensed Consolidated Financial Statements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7</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Item 2.</w:t>
            </w:r>
          </w:p>
        </w:tc>
        <w:tc>
          <w:tcPr>
            <w:tcW w:w="8845" w:type="dxa"/>
            <w:tcBorders/>
            <w:shd w:fill="EEEEEE" w:val="clear"/>
            <w:vAlign w:val="center"/>
          </w:tcPr>
          <w:p>
            <w:pPr>
              <w:pStyle w:val="TableContents"/>
              <w:bidi w:val="0"/>
              <w:spacing w:before="0" w:after="283"/>
              <w:jc w:val="left"/>
              <w:rPr/>
            </w:pPr>
            <w:hyperlink w:anchor="q2_008">
              <w:r>
                <w:rPr>
                  <w:rStyle w:val="InternetLink"/>
                  <w:sz w:val="20"/>
                </w:rPr>
                <w:t>Management’s Discussion and Analysis of Financial Condition and Results of Operations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41</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Item 3.</w:t>
            </w:r>
          </w:p>
        </w:tc>
        <w:tc>
          <w:tcPr>
            <w:tcW w:w="8845" w:type="dxa"/>
            <w:tcBorders/>
            <w:shd w:fill="EEEEEE" w:val="clear"/>
            <w:vAlign w:val="center"/>
          </w:tcPr>
          <w:p>
            <w:pPr>
              <w:pStyle w:val="TableContents"/>
              <w:bidi w:val="0"/>
              <w:spacing w:before="0" w:after="283"/>
              <w:jc w:val="both"/>
              <w:rPr/>
            </w:pPr>
            <w:hyperlink w:anchor="q2_009">
              <w:r>
                <w:rPr>
                  <w:rStyle w:val="InternetLink"/>
                  <w:sz w:val="20"/>
                </w:rPr>
                <w:t>Quantitative and Qualitative Disclosures About Market Risk</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54</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Item 4.</w:t>
            </w:r>
          </w:p>
        </w:tc>
        <w:tc>
          <w:tcPr>
            <w:tcW w:w="8845" w:type="dxa"/>
            <w:tcBorders/>
            <w:shd w:fill="EEEEEE" w:val="clear"/>
            <w:vAlign w:val="center"/>
          </w:tcPr>
          <w:p>
            <w:pPr>
              <w:pStyle w:val="TableContents"/>
              <w:bidi w:val="0"/>
              <w:spacing w:before="0" w:after="283"/>
              <w:jc w:val="both"/>
              <w:rPr/>
            </w:pPr>
            <w:hyperlink w:anchor="q2_010">
              <w:r>
                <w:rPr>
                  <w:rStyle w:val="InternetLink"/>
                  <w:sz w:val="20"/>
                </w:rPr>
                <w:t>Controls and Procedures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54</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pPr>
            <w:r>
              <w:rPr/>
              <w:t> </w:t>
            </w:r>
          </w:p>
        </w:tc>
        <w:tc>
          <w:tcPr>
            <w:tcW w:w="8845" w:type="dxa"/>
            <w:tcBorders/>
            <w:shd w:fill="EEEEEE" w:val="clear"/>
            <w:vAlign w:val="center"/>
          </w:tcPr>
          <w:p>
            <w:pPr>
              <w:pStyle w:val="TableContents"/>
              <w:bidi w:val="0"/>
              <w:spacing w:before="0" w:after="283"/>
              <w:jc w:val="center"/>
              <w:rPr/>
            </w:pPr>
            <w:hyperlink w:anchor="q2_011">
              <w:r>
                <w:rPr>
                  <w:rStyle w:val="InternetLink"/>
                  <w:b/>
                  <w:sz w:val="20"/>
                </w:rPr>
                <w:t>PART II. Other Information</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pPr>
            <w:r>
              <w:rPr/>
              <w:t> </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Item 1.</w:t>
            </w:r>
          </w:p>
        </w:tc>
        <w:tc>
          <w:tcPr>
            <w:tcW w:w="8845" w:type="dxa"/>
            <w:tcBorders/>
            <w:shd w:fill="EEEEEE" w:val="clear"/>
            <w:vAlign w:val="center"/>
          </w:tcPr>
          <w:p>
            <w:pPr>
              <w:pStyle w:val="TableContents"/>
              <w:bidi w:val="0"/>
              <w:spacing w:before="0" w:after="283"/>
              <w:jc w:val="both"/>
              <w:rPr/>
            </w:pPr>
            <w:hyperlink w:anchor="q2_012">
              <w:r>
                <w:rPr>
                  <w:rStyle w:val="InternetLink"/>
                  <w:sz w:val="20"/>
                </w:rPr>
                <w:t>Legal Proceedings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55</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Item 1A.</w:t>
            </w:r>
          </w:p>
        </w:tc>
        <w:tc>
          <w:tcPr>
            <w:tcW w:w="8845" w:type="dxa"/>
            <w:tcBorders/>
            <w:shd w:fill="EEEEEE" w:val="clear"/>
            <w:vAlign w:val="center"/>
          </w:tcPr>
          <w:p>
            <w:pPr>
              <w:pStyle w:val="TableContents"/>
              <w:bidi w:val="0"/>
              <w:spacing w:before="0" w:after="283"/>
              <w:jc w:val="both"/>
              <w:rPr/>
            </w:pPr>
            <w:hyperlink w:anchor="q2_013">
              <w:r>
                <w:rPr>
                  <w:rStyle w:val="InternetLink"/>
                  <w:sz w:val="20"/>
                </w:rPr>
                <w:t>Risk Factors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55</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Item 2.</w:t>
            </w:r>
          </w:p>
        </w:tc>
        <w:tc>
          <w:tcPr>
            <w:tcW w:w="8845" w:type="dxa"/>
            <w:tcBorders/>
            <w:shd w:fill="EEEEEE" w:val="clear"/>
            <w:vAlign w:val="center"/>
          </w:tcPr>
          <w:p>
            <w:pPr>
              <w:pStyle w:val="TableContents"/>
              <w:bidi w:val="0"/>
              <w:spacing w:before="0" w:after="283"/>
              <w:jc w:val="both"/>
              <w:rPr/>
            </w:pPr>
            <w:hyperlink w:anchor="q2_014">
              <w:r>
                <w:rPr>
                  <w:rStyle w:val="InternetLink"/>
                  <w:sz w:val="20"/>
                </w:rPr>
                <w:t>Unregistered Sale of Equity Securities and Use of Proceeds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55</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Item 3.</w:t>
            </w:r>
          </w:p>
        </w:tc>
        <w:tc>
          <w:tcPr>
            <w:tcW w:w="8845" w:type="dxa"/>
            <w:tcBorders/>
            <w:shd w:fill="EEEEEE" w:val="clear"/>
            <w:vAlign w:val="center"/>
          </w:tcPr>
          <w:p>
            <w:pPr>
              <w:pStyle w:val="TableContents"/>
              <w:bidi w:val="0"/>
              <w:spacing w:before="0" w:after="283"/>
              <w:jc w:val="both"/>
              <w:rPr/>
            </w:pPr>
            <w:hyperlink w:anchor="q2_015">
              <w:r>
                <w:rPr>
                  <w:rStyle w:val="InternetLink"/>
                  <w:sz w:val="20"/>
                </w:rPr>
                <w:t>Defaults Upon Senior Securities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55</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Item 4.</w:t>
            </w:r>
          </w:p>
        </w:tc>
        <w:tc>
          <w:tcPr>
            <w:tcW w:w="8845" w:type="dxa"/>
            <w:tcBorders/>
            <w:shd w:fill="EEEEEE" w:val="clear"/>
            <w:vAlign w:val="center"/>
          </w:tcPr>
          <w:p>
            <w:pPr>
              <w:pStyle w:val="TableContents"/>
              <w:bidi w:val="0"/>
              <w:spacing w:before="0" w:after="283"/>
              <w:jc w:val="both"/>
              <w:rPr/>
            </w:pPr>
            <w:hyperlink w:anchor="q2_016">
              <w:r>
                <w:rPr>
                  <w:rStyle w:val="InternetLink"/>
                  <w:sz w:val="20"/>
                </w:rPr>
                <w:t>Mine Safety Disclosures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55</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Item 5.</w:t>
            </w:r>
          </w:p>
        </w:tc>
        <w:tc>
          <w:tcPr>
            <w:tcW w:w="8845" w:type="dxa"/>
            <w:tcBorders/>
            <w:shd w:fill="EEEEEE" w:val="clear"/>
            <w:vAlign w:val="center"/>
          </w:tcPr>
          <w:p>
            <w:pPr>
              <w:pStyle w:val="TableContents"/>
              <w:bidi w:val="0"/>
              <w:spacing w:before="0" w:after="283"/>
              <w:jc w:val="both"/>
              <w:rPr/>
            </w:pPr>
            <w:hyperlink w:anchor="q2_017">
              <w:r>
                <w:rPr>
                  <w:rStyle w:val="InternetLink"/>
                  <w:sz w:val="20"/>
                </w:rPr>
                <w:t>Other Information</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55</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b/>
                <w:sz w:val="20"/>
              </w:rPr>
            </w:pPr>
            <w:r>
              <w:rPr>
                <w:b/>
                <w:sz w:val="20"/>
              </w:rPr>
              <w:t>Item 6.</w:t>
            </w:r>
          </w:p>
        </w:tc>
        <w:tc>
          <w:tcPr>
            <w:tcW w:w="8845" w:type="dxa"/>
            <w:tcBorders/>
            <w:shd w:fill="EEEEEE" w:val="clear"/>
            <w:vAlign w:val="center"/>
          </w:tcPr>
          <w:p>
            <w:pPr>
              <w:pStyle w:val="TableContents"/>
              <w:bidi w:val="0"/>
              <w:spacing w:before="0" w:after="283"/>
              <w:jc w:val="both"/>
              <w:rPr/>
            </w:pPr>
            <w:hyperlink w:anchor="q2_018">
              <w:r>
                <w:rPr>
                  <w:rStyle w:val="InternetLink"/>
                  <w:sz w:val="20"/>
                </w:rPr>
                <w:t>Exhibits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56</w:t>
            </w:r>
          </w:p>
        </w:tc>
      </w:tr>
      <w:tr>
        <w:trPr/>
        <w:tc>
          <w:tcPr>
            <w:tcW w:w="634" w:type="dxa"/>
            <w:tcBorders/>
            <w:shd w:fill="FFFFFF" w:val="clear"/>
            <w:vAlign w:val="center"/>
          </w:tcPr>
          <w:p>
            <w:pPr>
              <w:pStyle w:val="TableContents"/>
              <w:bidi w:val="0"/>
              <w:spacing w:before="0" w:after="283"/>
              <w:jc w:val="both"/>
              <w:rPr/>
            </w:pPr>
            <w:r>
              <w:rPr/>
              <w:t> </w:t>
            </w:r>
          </w:p>
        </w:tc>
        <w:tc>
          <w:tcPr>
            <w:tcW w:w="88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t> </w:t>
            </w:r>
          </w:p>
        </w:tc>
      </w:tr>
      <w:tr>
        <w:trPr/>
        <w:tc>
          <w:tcPr>
            <w:tcW w:w="634" w:type="dxa"/>
            <w:tcBorders/>
            <w:shd w:fill="EEEEEE" w:val="clear"/>
            <w:vAlign w:val="center"/>
          </w:tcPr>
          <w:p>
            <w:pPr>
              <w:pStyle w:val="TableContents"/>
              <w:bidi w:val="0"/>
              <w:spacing w:before="0" w:after="283"/>
              <w:jc w:val="both"/>
              <w:rPr/>
            </w:pPr>
            <w:r>
              <w:rPr/>
              <w:t> </w:t>
            </w:r>
          </w:p>
        </w:tc>
        <w:tc>
          <w:tcPr>
            <w:tcW w:w="8845" w:type="dxa"/>
            <w:tcBorders/>
            <w:shd w:fill="EEEEEE" w:val="clear"/>
            <w:vAlign w:val="center"/>
          </w:tcPr>
          <w:p>
            <w:pPr>
              <w:pStyle w:val="TableContents"/>
              <w:bidi w:val="0"/>
              <w:spacing w:before="0" w:after="283"/>
              <w:jc w:val="both"/>
              <w:rPr/>
            </w:pPr>
            <w:hyperlink w:anchor="q2_019">
              <w:r>
                <w:rPr>
                  <w:rStyle w:val="InternetLink"/>
                  <w:sz w:val="20"/>
                </w:rPr>
                <w:t>Signatures</w:t>
              </w:r>
            </w:hyperlink>
          </w:p>
        </w:tc>
        <w:tc>
          <w:tcPr>
            <w:tcW w:w="60" w:type="dxa"/>
            <w:tcBorders/>
            <w:shd w:fill="EEEEEE" w:val="clear"/>
            <w:vAlign w:val="center"/>
          </w:tcPr>
          <w:p>
            <w:pPr>
              <w:pStyle w:val="TableContents"/>
              <w:bidi w:val="0"/>
              <w:spacing w:before="0" w:after="283"/>
              <w:jc w:val="left"/>
              <w:rPr/>
            </w:pPr>
            <w:r>
              <w:rPr/>
              <w:t> </w:t>
            </w:r>
          </w:p>
        </w:tc>
        <w:tc>
          <w:tcPr>
            <w:tcW w:w="666" w:type="dxa"/>
            <w:tcBorders/>
            <w:shd w:fill="EEEEEE" w:val="clear"/>
            <w:vAlign w:val="center"/>
          </w:tcPr>
          <w:p>
            <w:pPr>
              <w:pStyle w:val="TableContents"/>
              <w:bidi w:val="0"/>
              <w:spacing w:before="0" w:after="283"/>
              <w:jc w:val="center"/>
              <w:rPr>
                <w:sz w:val="20"/>
              </w:rPr>
            </w:pPr>
            <w:r>
              <w:rPr>
                <w:sz w:val="20"/>
              </w:rPr>
              <w:t>57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q2_001"/>
      <w:bookmarkEnd w:id="28"/>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q2_002"/>
      <w:bookmarkEnd w:id="29"/>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30" w:name="q2_003"/>
      <w:bookmarkEnd w:id="30"/>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2025</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D_111_zbmxVqmpE2ol"/>
      <w:bookmarkStart w:id="32" w:name="xdx_30D_111_zbmxVqmpE2ol"/>
      <w:bookmarkEnd w:id="32"/>
    </w:p>
    <w:tbl>
      <w:tblPr>
        <w:tblW w:w="10205" w:type="dxa"/>
        <w:jc w:val="left"/>
        <w:tblInd w:w="0" w:type="dxa"/>
        <w:tblLayout w:type="fixed"/>
        <w:tblCellMar>
          <w:top w:w="0" w:type="dxa"/>
          <w:left w:w="0" w:type="dxa"/>
          <w:bottom w:w="0" w:type="dxa"/>
          <w:right w:w="0" w:type="dxa"/>
        </w:tblCellMar>
      </w:tblPr>
      <w:tblGrid>
        <w:gridCol w:w="7649"/>
        <w:gridCol w:w="60"/>
        <w:gridCol w:w="125"/>
        <w:gridCol w:w="1010"/>
        <w:gridCol w:w="80"/>
        <w:gridCol w:w="60"/>
        <w:gridCol w:w="125"/>
        <w:gridCol w:w="1010"/>
        <w:gridCol w:w="86"/>
      </w:tblGrid>
      <w:tr>
        <w:trPr/>
        <w:tc>
          <w:tcPr>
            <w:tcW w:w="76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33" w:name="xdx_49F_20251231_zaOrYEXVefa5"/>
            <w:bookmarkEnd w:id="33"/>
          </w:p>
        </w:tc>
        <w:tc>
          <w:tcPr>
            <w:tcW w:w="101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34" w:name="xdx_499_20250630_zOfCO24olG0k"/>
            <w:bookmarkEnd w:id="34"/>
          </w:p>
        </w:tc>
        <w:tc>
          <w:tcPr>
            <w:tcW w:w="1010" w:type="dxa"/>
            <w:tcBorders/>
            <w:shd w:fill="FFFFFF" w:val="clear"/>
            <w:vAlign w:val="center"/>
          </w:tcPr>
          <w:p>
            <w:pPr>
              <w:pStyle w:val="TableContents"/>
              <w:bidi w:val="0"/>
              <w:spacing w:before="0" w:after="283"/>
              <w:jc w:val="center"/>
              <w:rPr/>
            </w:pPr>
            <w:r>
              <w:rPr/>
              <w:t> </w:t>
            </w:r>
          </w:p>
        </w:tc>
        <w:tc>
          <w:tcPr>
            <w:tcW w:w="86" w:type="dxa"/>
            <w:tcBorders/>
            <w:shd w:fill="FFFFFF" w:val="clear"/>
            <w:vAlign w:val="center"/>
          </w:tcPr>
          <w:p>
            <w:pPr>
              <w:pStyle w:val="TableContents"/>
              <w:bidi w:val="0"/>
              <w:spacing w:before="0" w:after="283"/>
              <w:jc w:val="left"/>
              <w:rPr/>
            </w:pPr>
            <w:r>
              <w:rPr/>
              <w:t> </w:t>
            </w:r>
          </w:p>
        </w:tc>
      </w:tr>
      <w:tr>
        <w:trPr/>
        <w:tc>
          <w:tcPr>
            <w:tcW w:w="76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sz w:val="20"/>
              </w:rPr>
            </w:pPr>
            <w:r>
              <w:rPr>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sz w:val="20"/>
              </w:rPr>
            </w:pPr>
            <w:r>
              <w:rPr>
                <w:sz w:val="20"/>
              </w:rPr>
              <w:t>June 30,</w:t>
            </w:r>
          </w:p>
        </w:tc>
        <w:tc>
          <w:tcPr>
            <w:tcW w:w="86" w:type="dxa"/>
            <w:tcBorders/>
            <w:vAlign w:val="center"/>
          </w:tcPr>
          <w:p>
            <w:pPr>
              <w:pStyle w:val="TableContents"/>
              <w:bidi w:val="0"/>
              <w:spacing w:before="0" w:after="283"/>
              <w:jc w:val="left"/>
              <w:rPr/>
            </w:pPr>
            <w:r>
              <w:rPr/>
              <w:t> </w:t>
            </w:r>
          </w:p>
        </w:tc>
      </w:tr>
      <w:tr>
        <w:trPr/>
        <w:tc>
          <w:tcPr>
            <w:tcW w:w="76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6" w:type="dxa"/>
            <w:tcBorders/>
            <w:vAlign w:val="center"/>
          </w:tcPr>
          <w:p>
            <w:pPr>
              <w:pStyle w:val="TableContents"/>
              <w:bidi w:val="0"/>
              <w:spacing w:before="0" w:after="283"/>
              <w:jc w:val="left"/>
              <w:rPr/>
            </w:pPr>
            <w:r>
              <w:rPr/>
              <w:t> </w:t>
            </w:r>
          </w:p>
        </w:tc>
      </w:tr>
      <w:tr>
        <w:trPr/>
        <w:tc>
          <w:tcPr>
            <w:tcW w:w="76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sz w:val="20"/>
              </w:rPr>
            </w:pPr>
            <w:r>
              <w:rPr>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bookmarkStart w:id="35" w:name="xdx_405_eus-gaap--AssetsAbstract_iB_z3K0"/>
            <w:bookmarkEnd w:id="35"/>
          </w:p>
        </w:tc>
      </w:tr>
      <w:tr>
        <w:trPr/>
        <w:tc>
          <w:tcPr>
            <w:tcW w:w="7649" w:type="dxa"/>
            <w:tcBorders/>
            <w:shd w:fill="EEEEEE" w:val="clear"/>
            <w:vAlign w:val="center"/>
          </w:tcPr>
          <w:p>
            <w:pPr>
              <w:pStyle w:val="TableContents"/>
              <w:bidi w:val="0"/>
              <w:spacing w:before="0" w:after="283"/>
              <w:jc w:val="left"/>
              <w:rPr>
                <w:sz w:val="20"/>
                <w:u w:val="single"/>
              </w:rPr>
            </w:pPr>
            <w:r>
              <w:rPr>
                <w:sz w:val="20"/>
                <w:u w:val="single"/>
              </w:rPr>
              <w:t>ASSETS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bookmarkStart w:id="36" w:name="xdx_40D_eus-gaap--AssetsCurrentAbstract_"/>
            <w:bookmarkEnd w:id="36"/>
          </w:p>
        </w:tc>
      </w:tr>
      <w:tr>
        <w:trPr/>
        <w:tc>
          <w:tcPr>
            <w:tcW w:w="7649"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bookmarkStart w:id="37" w:name="xdx_40E_eus-gaap--CashAndCashEquivalents"/>
            <w:bookmarkEnd w:id="37"/>
          </w:p>
        </w:tc>
      </w:tr>
      <w:tr>
        <w:trPr/>
        <w:tc>
          <w:tcPr>
            <w:tcW w:w="7649" w:type="dxa"/>
            <w:tcBorders/>
            <w:shd w:fill="EEEEEE" w:val="clear"/>
            <w:vAlign w:val="center"/>
          </w:tcPr>
          <w:p>
            <w:pPr>
              <w:pStyle w:val="TableContents"/>
              <w:bidi w:val="0"/>
              <w:spacing w:before="0" w:after="283"/>
              <w:jc w:val="left"/>
              <w:rPr>
                <w:sz w:val="20"/>
              </w:rPr>
            </w:pPr>
            <w:r>
              <w:rPr>
                <w:sz w:val="20"/>
              </w:rPr>
              <w:t>Cash and cash equivalent</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1010" w:type="dxa"/>
            <w:tcBorders/>
            <w:shd w:fill="EEEEEE" w:val="clear"/>
            <w:vAlign w:val="center"/>
          </w:tcPr>
          <w:p>
            <w:pPr>
              <w:pStyle w:val="TableContents"/>
              <w:bidi w:val="0"/>
              <w:spacing w:before="0" w:after="283"/>
              <w:jc w:val="right"/>
              <w:rPr>
                <w:sz w:val="20"/>
              </w:rPr>
            </w:pPr>
            <w:r>
              <w:rPr>
                <w:sz w:val="20"/>
              </w:rPr>
              <w:t>2,011,738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1010" w:type="dxa"/>
            <w:tcBorders/>
            <w:shd w:fill="EEEEEE" w:val="clear"/>
            <w:vAlign w:val="center"/>
          </w:tcPr>
          <w:p>
            <w:pPr>
              <w:pStyle w:val="TableContents"/>
              <w:bidi w:val="0"/>
              <w:spacing w:before="0" w:after="283"/>
              <w:jc w:val="right"/>
              <w:rPr>
                <w:sz w:val="20"/>
              </w:rPr>
            </w:pPr>
            <w:r>
              <w:rPr>
                <w:sz w:val="20"/>
              </w:rPr>
              <w:t>2,007,890</w:t>
            </w:r>
          </w:p>
        </w:tc>
        <w:tc>
          <w:tcPr>
            <w:tcW w:w="86" w:type="dxa"/>
            <w:tcBorders/>
            <w:shd w:fill="EEEEEE" w:val="clear"/>
            <w:vAlign w:val="center"/>
          </w:tcPr>
          <w:p>
            <w:pPr>
              <w:pStyle w:val="TableContents"/>
              <w:bidi w:val="0"/>
              <w:spacing w:before="0" w:after="283"/>
              <w:jc w:val="left"/>
              <w:rPr/>
            </w:pPr>
            <w:r>
              <w:rPr/>
              <w:t> </w:t>
            </w:r>
            <w:bookmarkStart w:id="38" w:name="xdx_40D_eus-gaap--AccountsReceivableNetC"/>
            <w:bookmarkEnd w:id="38"/>
          </w:p>
        </w:tc>
      </w:tr>
      <w:tr>
        <w:trPr/>
        <w:tc>
          <w:tcPr>
            <w:tcW w:w="7649" w:type="dxa"/>
            <w:tcBorders/>
            <w:shd w:fill="FFFFFF" w:val="clear"/>
            <w:vAlign w:val="center"/>
          </w:tcPr>
          <w:p>
            <w:pPr>
              <w:pStyle w:val="TableContents"/>
              <w:bidi w:val="0"/>
              <w:spacing w:before="0" w:after="283"/>
              <w:jc w:val="left"/>
              <w:rPr>
                <w:sz w:val="20"/>
              </w:rPr>
            </w:pPr>
            <w:r>
              <w:rPr>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5,168,143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6,124,008</w:t>
            </w:r>
          </w:p>
        </w:tc>
        <w:tc>
          <w:tcPr>
            <w:tcW w:w="86" w:type="dxa"/>
            <w:tcBorders/>
            <w:shd w:fill="FFFFFF" w:val="clear"/>
            <w:vAlign w:val="center"/>
          </w:tcPr>
          <w:p>
            <w:pPr>
              <w:pStyle w:val="TableContents"/>
              <w:bidi w:val="0"/>
              <w:spacing w:before="0" w:after="283"/>
              <w:jc w:val="left"/>
              <w:rPr/>
            </w:pPr>
            <w:r>
              <w:rPr/>
              <w:t> </w:t>
            </w:r>
            <w:bookmarkStart w:id="39" w:name="xdx_406_eus-gaap--InventoryNet_i01I_pp0d"/>
            <w:bookmarkEnd w:id="39"/>
          </w:p>
        </w:tc>
      </w:tr>
      <w:tr>
        <w:trPr/>
        <w:tc>
          <w:tcPr>
            <w:tcW w:w="7649" w:type="dxa"/>
            <w:tcBorders/>
            <w:shd w:fill="EEEEEE" w:val="clear"/>
            <w:vAlign w:val="center"/>
          </w:tcPr>
          <w:p>
            <w:pPr>
              <w:pStyle w:val="TableContents"/>
              <w:bidi w:val="0"/>
              <w:spacing w:before="0" w:after="283"/>
              <w:jc w:val="left"/>
              <w:rPr>
                <w:sz w:val="20"/>
              </w:rPr>
            </w:pPr>
            <w:r>
              <w:rPr>
                <w:sz w:val="20"/>
              </w:rPr>
              <w:t>Inventories, net</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3,611,859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8,131,203</w:t>
            </w:r>
          </w:p>
        </w:tc>
        <w:tc>
          <w:tcPr>
            <w:tcW w:w="86" w:type="dxa"/>
            <w:tcBorders/>
            <w:shd w:fill="EEEEEE" w:val="clear"/>
            <w:vAlign w:val="center"/>
          </w:tcPr>
          <w:p>
            <w:pPr>
              <w:pStyle w:val="TableContents"/>
              <w:bidi w:val="0"/>
              <w:spacing w:before="0" w:after="283"/>
              <w:jc w:val="left"/>
              <w:rPr/>
            </w:pPr>
            <w:r>
              <w:rPr/>
              <w:t> </w:t>
            </w:r>
            <w:bookmarkStart w:id="40" w:name="xdx_40C_eus-gaap--RestrictedCash_i01I_pp"/>
            <w:bookmarkEnd w:id="40"/>
          </w:p>
        </w:tc>
      </w:tr>
      <w:tr>
        <w:trPr/>
        <w:tc>
          <w:tcPr>
            <w:tcW w:w="7649" w:type="dxa"/>
            <w:tcBorders/>
            <w:shd w:fill="FFFFFF" w:val="clear"/>
            <w:vAlign w:val="center"/>
          </w:tcPr>
          <w:p>
            <w:pPr>
              <w:pStyle w:val="TableContents"/>
              <w:bidi w:val="0"/>
              <w:spacing w:before="0" w:after="283"/>
              <w:jc w:val="left"/>
              <w:rPr>
                <w:sz w:val="20"/>
              </w:rPr>
            </w:pPr>
            <w:r>
              <w:rPr>
                <w:sz w:val="20"/>
              </w:rPr>
              <w:t>Restricted Cash - BitGo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2,209,000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bookmarkStart w:id="41" w:name="xdx_408_eus-gaap--OtherPrepaidExpenseCur"/>
            <w:bookmarkEnd w:id="41"/>
          </w:p>
        </w:tc>
      </w:tr>
      <w:tr>
        <w:trPr/>
        <w:tc>
          <w:tcPr>
            <w:tcW w:w="7649" w:type="dxa"/>
            <w:tcBorders/>
            <w:shd w:fill="EEEEEE" w:val="clear"/>
            <w:vAlign w:val="center"/>
          </w:tcPr>
          <w:p>
            <w:pPr>
              <w:pStyle w:val="TableContents"/>
              <w:bidi w:val="0"/>
              <w:spacing w:before="0" w:after="283"/>
              <w:jc w:val="left"/>
              <w:rPr>
                <w:sz w:val="20"/>
              </w:rPr>
            </w:pPr>
            <w:r>
              <w:rPr>
                <w:sz w:val="20"/>
              </w:rPr>
              <w:t>Prepayments and other current assets, net</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1,691,476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3,111,210</w:t>
            </w:r>
          </w:p>
        </w:tc>
        <w:tc>
          <w:tcPr>
            <w:tcW w:w="86" w:type="dxa"/>
            <w:tcBorders/>
            <w:shd w:fill="EEEEEE" w:val="clear"/>
            <w:vAlign w:val="center"/>
          </w:tcPr>
          <w:p>
            <w:pPr>
              <w:pStyle w:val="TableContents"/>
              <w:bidi w:val="0"/>
              <w:spacing w:before="0" w:after="283"/>
              <w:jc w:val="left"/>
              <w:rPr/>
            </w:pPr>
            <w:r>
              <w:rPr/>
              <w:t> </w:t>
            </w:r>
            <w:bookmarkStart w:id="42" w:name="xdx_408_eus-gaap--AssetsCurrent_i01TI_pp"/>
            <w:bookmarkEnd w:id="42"/>
          </w:p>
        </w:tc>
      </w:tr>
      <w:tr>
        <w:trPr/>
        <w:tc>
          <w:tcPr>
            <w:tcW w:w="7649"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14,692,216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19,374,311</w:t>
            </w:r>
          </w:p>
        </w:tc>
        <w:tc>
          <w:tcPr>
            <w:tcW w:w="86" w:type="dxa"/>
            <w:tcBorders/>
            <w:shd w:fill="FFFFFF" w:val="clear"/>
            <w:vAlign w:val="center"/>
          </w:tcPr>
          <w:p>
            <w:pPr>
              <w:pStyle w:val="TableContents"/>
              <w:bidi w:val="0"/>
              <w:spacing w:before="0" w:after="283"/>
              <w:jc w:val="left"/>
              <w:rPr/>
            </w:pPr>
            <w:r>
              <w:rPr/>
              <w:t> </w:t>
            </w:r>
          </w:p>
        </w:tc>
      </w:tr>
      <w:tr>
        <w:trPr/>
        <w:tc>
          <w:tcPr>
            <w:tcW w:w="764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bookmarkStart w:id="43" w:name="xdx_401_eus-gaap--AssetsNoncurrentAbstra"/>
            <w:bookmarkEnd w:id="43"/>
          </w:p>
        </w:tc>
      </w:tr>
      <w:tr>
        <w:trPr/>
        <w:tc>
          <w:tcPr>
            <w:tcW w:w="7649" w:type="dxa"/>
            <w:tcBorders/>
            <w:shd w:fill="FFFFFF" w:val="clear"/>
            <w:vAlign w:val="center"/>
          </w:tcPr>
          <w:p>
            <w:pPr>
              <w:pStyle w:val="TableContents"/>
              <w:bidi w:val="0"/>
              <w:spacing w:before="0" w:after="283"/>
              <w:jc w:val="left"/>
              <w:rPr>
                <w:sz w:val="20"/>
              </w:rPr>
            </w:pPr>
            <w:r>
              <w:rPr>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bookmarkStart w:id="44" w:name="xdx_405_eus-gaap--OperatingLeaseRightOfU"/>
            <w:bookmarkEnd w:id="44"/>
          </w:p>
        </w:tc>
      </w:tr>
      <w:tr>
        <w:trPr/>
        <w:tc>
          <w:tcPr>
            <w:tcW w:w="7649" w:type="dxa"/>
            <w:tcBorders/>
            <w:shd w:fill="EEEEEE" w:val="clear"/>
            <w:vAlign w:val="center"/>
          </w:tcPr>
          <w:p>
            <w:pPr>
              <w:pStyle w:val="TableContents"/>
              <w:bidi w:val="0"/>
              <w:spacing w:before="0" w:after="283"/>
              <w:jc w:val="left"/>
              <w:rPr>
                <w:sz w:val="20"/>
              </w:rPr>
            </w:pPr>
            <w:r>
              <w:rPr>
                <w:sz w:val="20"/>
              </w:rPr>
              <w:t>Right of use - non-current</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3,286,752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3,915,539</w:t>
            </w:r>
          </w:p>
        </w:tc>
        <w:tc>
          <w:tcPr>
            <w:tcW w:w="86" w:type="dxa"/>
            <w:tcBorders/>
            <w:shd w:fill="EEEEEE" w:val="clear"/>
            <w:vAlign w:val="center"/>
          </w:tcPr>
          <w:p>
            <w:pPr>
              <w:pStyle w:val="TableContents"/>
              <w:bidi w:val="0"/>
              <w:spacing w:before="0" w:after="283"/>
              <w:jc w:val="left"/>
              <w:rPr/>
            </w:pPr>
            <w:r>
              <w:rPr/>
              <w:t> </w:t>
            </w:r>
            <w:bookmarkStart w:id="45" w:name="xdx_408_eus-gaap--PropertyPlantAndEquipm"/>
            <w:bookmarkEnd w:id="45"/>
          </w:p>
        </w:tc>
      </w:tr>
      <w:tr>
        <w:trPr/>
        <w:tc>
          <w:tcPr>
            <w:tcW w:w="7649"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187,372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390,349</w:t>
            </w:r>
          </w:p>
        </w:tc>
        <w:tc>
          <w:tcPr>
            <w:tcW w:w="86" w:type="dxa"/>
            <w:tcBorders/>
            <w:shd w:fill="FFFFFF" w:val="clear"/>
            <w:vAlign w:val="center"/>
          </w:tcPr>
          <w:p>
            <w:pPr>
              <w:pStyle w:val="TableContents"/>
              <w:bidi w:val="0"/>
              <w:spacing w:before="0" w:after="283"/>
              <w:jc w:val="left"/>
              <w:rPr/>
            </w:pPr>
            <w:r>
              <w:rPr/>
              <w:t> </w:t>
            </w:r>
            <w:bookmarkStart w:id="46" w:name="xdx_40C_eus-gaap--DeferredIncomeTaxAsset"/>
            <w:bookmarkEnd w:id="46"/>
          </w:p>
        </w:tc>
      </w:tr>
      <w:tr>
        <w:trPr/>
        <w:tc>
          <w:tcPr>
            <w:tcW w:w="7649" w:type="dxa"/>
            <w:tcBorders/>
            <w:shd w:fill="EEEEEE" w:val="clear"/>
            <w:vAlign w:val="center"/>
          </w:tcPr>
          <w:p>
            <w:pPr>
              <w:pStyle w:val="TableContents"/>
              <w:bidi w:val="0"/>
              <w:spacing w:before="0" w:after="283"/>
              <w:jc w:val="left"/>
              <w:rPr>
                <w:sz w:val="20"/>
              </w:rPr>
            </w:pPr>
            <w:r>
              <w:rPr>
                <w:sz w:val="20"/>
              </w:rPr>
              <w:t>Deferred tax assets, net</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4,753,025</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3,724,462</w:t>
            </w:r>
          </w:p>
        </w:tc>
        <w:tc>
          <w:tcPr>
            <w:tcW w:w="86" w:type="dxa"/>
            <w:tcBorders/>
            <w:shd w:fill="EEEEEE" w:val="clear"/>
            <w:vAlign w:val="center"/>
          </w:tcPr>
          <w:p>
            <w:pPr>
              <w:pStyle w:val="TableContents"/>
              <w:bidi w:val="0"/>
              <w:spacing w:before="0" w:after="283"/>
              <w:jc w:val="left"/>
              <w:rPr/>
            </w:pPr>
            <w:r>
              <w:rPr/>
              <w:t> </w:t>
            </w:r>
            <w:bookmarkStart w:id="47" w:name="xdx_40F_eus-gaap--Goodwill_i01I_pp0d_maA"/>
            <w:bookmarkEnd w:id="47"/>
          </w:p>
        </w:tc>
      </w:tr>
      <w:tr>
        <w:trPr/>
        <w:tc>
          <w:tcPr>
            <w:tcW w:w="7649"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3,034,110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3,034,110</w:t>
            </w:r>
          </w:p>
        </w:tc>
        <w:tc>
          <w:tcPr>
            <w:tcW w:w="86" w:type="dxa"/>
            <w:tcBorders/>
            <w:shd w:fill="FFFFFF" w:val="clear"/>
            <w:vAlign w:val="center"/>
          </w:tcPr>
          <w:p>
            <w:pPr>
              <w:pStyle w:val="TableContents"/>
              <w:bidi w:val="0"/>
              <w:spacing w:before="0" w:after="283"/>
              <w:jc w:val="left"/>
              <w:rPr/>
            </w:pPr>
            <w:r>
              <w:rPr/>
              <w:t> </w:t>
            </w:r>
            <w:bookmarkStart w:id="48" w:name="xdx_408_eus-gaap--EquityMethodInvestment"/>
            <w:bookmarkEnd w:id="48"/>
          </w:p>
        </w:tc>
      </w:tr>
      <w:tr>
        <w:trPr/>
        <w:tc>
          <w:tcPr>
            <w:tcW w:w="7649" w:type="dxa"/>
            <w:tcBorders/>
            <w:shd w:fill="EEEEEE" w:val="clear"/>
            <w:vAlign w:val="center"/>
          </w:tcPr>
          <w:p>
            <w:pPr>
              <w:pStyle w:val="TableContents"/>
              <w:bidi w:val="0"/>
              <w:spacing w:before="0" w:after="283"/>
              <w:jc w:val="left"/>
              <w:rPr>
                <w:sz w:val="20"/>
              </w:rPr>
            </w:pPr>
            <w:r>
              <w:rPr>
                <w:sz w:val="20"/>
              </w:rPr>
              <w:t>Investment in joint venture</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678,706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385,180</w:t>
            </w:r>
          </w:p>
        </w:tc>
        <w:tc>
          <w:tcPr>
            <w:tcW w:w="86" w:type="dxa"/>
            <w:tcBorders/>
            <w:shd w:fill="EEEEEE" w:val="clear"/>
            <w:vAlign w:val="center"/>
          </w:tcPr>
          <w:p>
            <w:pPr>
              <w:pStyle w:val="TableContents"/>
              <w:bidi w:val="0"/>
              <w:spacing w:before="0" w:after="283"/>
              <w:jc w:val="left"/>
              <w:rPr/>
            </w:pPr>
            <w:r>
              <w:rPr/>
              <w:t> </w:t>
            </w:r>
            <w:bookmarkStart w:id="49" w:name="xdx_40E_eus-gaap--IntangibleAssetsNetExc"/>
            <w:bookmarkEnd w:id="49"/>
          </w:p>
        </w:tc>
      </w:tr>
      <w:tr>
        <w:trPr/>
        <w:tc>
          <w:tcPr>
            <w:tcW w:w="7649" w:type="dxa"/>
            <w:tcBorders/>
            <w:shd w:fill="FFFFFF" w:val="clear"/>
            <w:vAlign w:val="center"/>
          </w:tcPr>
          <w:p>
            <w:pPr>
              <w:pStyle w:val="TableContents"/>
              <w:bidi w:val="0"/>
              <w:spacing w:before="0" w:after="283"/>
              <w:jc w:val="left"/>
              <w:rPr>
                <w:sz w:val="20"/>
              </w:rPr>
            </w:pPr>
            <w:r>
              <w:rPr>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2,656,643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2,981,328</w:t>
            </w:r>
          </w:p>
        </w:tc>
        <w:tc>
          <w:tcPr>
            <w:tcW w:w="86" w:type="dxa"/>
            <w:tcBorders/>
            <w:shd w:fill="FFFFFF" w:val="clear"/>
            <w:vAlign w:val="center"/>
          </w:tcPr>
          <w:p>
            <w:pPr>
              <w:pStyle w:val="TableContents"/>
              <w:bidi w:val="0"/>
              <w:spacing w:before="0" w:after="283"/>
              <w:jc w:val="left"/>
              <w:rPr/>
            </w:pPr>
            <w:r>
              <w:rPr/>
              <w:t> </w:t>
            </w:r>
            <w:bookmarkStart w:id="50" w:name="xdx_404_eus-gaap--CryptoAssetFairValue_i"/>
            <w:bookmarkEnd w:id="50"/>
          </w:p>
        </w:tc>
      </w:tr>
      <w:tr>
        <w:trPr/>
        <w:tc>
          <w:tcPr>
            <w:tcW w:w="7649" w:type="dxa"/>
            <w:tcBorders/>
            <w:shd w:fill="EEEEEE" w:val="clear"/>
            <w:vAlign w:val="center"/>
          </w:tcPr>
          <w:p>
            <w:pPr>
              <w:pStyle w:val="TableContents"/>
              <w:bidi w:val="0"/>
              <w:spacing w:before="0" w:after="283"/>
              <w:jc w:val="left"/>
              <w:rPr>
                <w:sz w:val="20"/>
              </w:rPr>
            </w:pPr>
            <w:r>
              <w:rPr>
                <w:sz w:val="20"/>
              </w:rPr>
              <w:t>Digital assets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2,214,759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w:t>
            </w:r>
          </w:p>
        </w:tc>
        <w:tc>
          <w:tcPr>
            <w:tcW w:w="86" w:type="dxa"/>
            <w:tcBorders/>
            <w:shd w:fill="EEEEEE" w:val="clear"/>
            <w:vAlign w:val="center"/>
          </w:tcPr>
          <w:p>
            <w:pPr>
              <w:pStyle w:val="TableContents"/>
              <w:bidi w:val="0"/>
              <w:spacing w:before="0" w:after="283"/>
              <w:jc w:val="left"/>
              <w:rPr/>
            </w:pPr>
            <w:r>
              <w:rPr/>
              <w:t> </w:t>
            </w:r>
            <w:bookmarkStart w:id="51" w:name="xdx_409_eus-gaap--OtherAssetsNoncurrent_"/>
            <w:bookmarkEnd w:id="51"/>
          </w:p>
        </w:tc>
      </w:tr>
      <w:tr>
        <w:trPr/>
        <w:tc>
          <w:tcPr>
            <w:tcW w:w="7649" w:type="dxa"/>
            <w:tcBorders/>
            <w:shd w:fill="FFFFFF" w:val="clear"/>
            <w:vAlign w:val="center"/>
          </w:tcPr>
          <w:p>
            <w:pPr>
              <w:pStyle w:val="TableContents"/>
              <w:bidi w:val="0"/>
              <w:spacing w:before="0" w:after="283"/>
              <w:jc w:val="left"/>
              <w:rPr>
                <w:sz w:val="20"/>
              </w:rPr>
            </w:pPr>
            <w:r>
              <w:rPr>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2,493,705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1,837,488</w:t>
            </w:r>
          </w:p>
        </w:tc>
        <w:tc>
          <w:tcPr>
            <w:tcW w:w="86" w:type="dxa"/>
            <w:tcBorders/>
            <w:shd w:fill="FFFFFF" w:val="clear"/>
            <w:vAlign w:val="center"/>
          </w:tcPr>
          <w:p>
            <w:pPr>
              <w:pStyle w:val="TableContents"/>
              <w:bidi w:val="0"/>
              <w:spacing w:before="0" w:after="283"/>
              <w:jc w:val="left"/>
              <w:rPr/>
            </w:pPr>
            <w:r>
              <w:rPr/>
              <w:t> </w:t>
            </w:r>
            <w:bookmarkStart w:id="52" w:name="xdx_405_eus-gaap--AssetsNoncurrent_i01TI"/>
            <w:bookmarkEnd w:id="52"/>
          </w:p>
        </w:tc>
      </w:tr>
      <w:tr>
        <w:trPr/>
        <w:tc>
          <w:tcPr>
            <w:tcW w:w="7649" w:type="dxa"/>
            <w:tcBorders/>
            <w:shd w:fill="EEEEEE" w:val="clear"/>
            <w:vAlign w:val="center"/>
          </w:tcPr>
          <w:p>
            <w:pPr>
              <w:pStyle w:val="TableContents"/>
              <w:bidi w:val="0"/>
              <w:spacing w:before="0" w:after="283"/>
              <w:jc w:val="left"/>
              <w:rPr>
                <w:sz w:val="20"/>
              </w:rPr>
            </w:pPr>
            <w:r>
              <w:rPr>
                <w:sz w:val="20"/>
              </w:rPr>
              <w:t>Total non-current assets</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19,305,072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16,268,456</w:t>
            </w:r>
          </w:p>
        </w:tc>
        <w:tc>
          <w:tcPr>
            <w:tcW w:w="86" w:type="dxa"/>
            <w:tcBorders/>
            <w:shd w:fill="EEEEEE" w:val="clear"/>
            <w:vAlign w:val="center"/>
          </w:tcPr>
          <w:p>
            <w:pPr>
              <w:pStyle w:val="TableContents"/>
              <w:bidi w:val="0"/>
              <w:spacing w:before="0" w:after="283"/>
              <w:jc w:val="left"/>
              <w:rPr/>
            </w:pPr>
            <w:r>
              <w:rPr/>
              <w:t> </w:t>
            </w:r>
          </w:p>
        </w:tc>
      </w:tr>
      <w:tr>
        <w:trPr/>
        <w:tc>
          <w:tcPr>
            <w:tcW w:w="76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bookmarkStart w:id="53" w:name="xdx_400_eus-gaap--Assets_i01TI_pp0d_mtAz"/>
            <w:bookmarkEnd w:id="53"/>
          </w:p>
        </w:tc>
      </w:tr>
      <w:tr>
        <w:trPr/>
        <w:tc>
          <w:tcPr>
            <w:tcW w:w="7649" w:type="dxa"/>
            <w:tcBorders/>
            <w:shd w:fill="EEEEEE" w:val="clear"/>
            <w:vAlign w:val="center"/>
          </w:tcPr>
          <w:p>
            <w:pPr>
              <w:pStyle w:val="TableContents"/>
              <w:bidi w:val="0"/>
              <w:spacing w:before="0" w:after="283"/>
              <w:jc w:val="left"/>
              <w:rPr>
                <w:sz w:val="20"/>
              </w:rPr>
            </w:pPr>
            <w:r>
              <w:rPr>
                <w:sz w:val="20"/>
              </w:rPr>
              <w:t>Total assets</w:t>
            </w:r>
          </w:p>
        </w:tc>
        <w:tc>
          <w:tcPr>
            <w:tcW w:w="60" w:type="dxa"/>
            <w:tcBorders/>
            <w:shd w:fill="EEEEEE" w:val="clear"/>
            <w:vAlign w:val="center"/>
          </w:tcPr>
          <w:p>
            <w:pPr>
              <w:pStyle w:val="TableContents"/>
              <w:bidi w:val="0"/>
              <w:spacing w:before="0" w:after="283"/>
              <w:jc w:val="left"/>
              <w:rPr/>
            </w:pPr>
            <w:r>
              <w:rPr/>
              <w:t> </w:t>
            </w:r>
          </w:p>
        </w:tc>
        <w:tc>
          <w:tcPr>
            <w:tcW w:w="12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33,997,288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35,642,767</w:t>
            </w:r>
          </w:p>
        </w:tc>
        <w:tc>
          <w:tcPr>
            <w:tcW w:w="86" w:type="dxa"/>
            <w:tcBorders/>
            <w:shd w:fill="EEEEEE" w:val="clear"/>
            <w:vAlign w:val="center"/>
          </w:tcPr>
          <w:p>
            <w:pPr>
              <w:pStyle w:val="TableContents"/>
              <w:bidi w:val="0"/>
              <w:spacing w:before="0" w:after="283"/>
              <w:jc w:val="left"/>
              <w:rPr/>
            </w:pPr>
            <w:r>
              <w:rPr/>
              <w:t> </w:t>
            </w:r>
          </w:p>
        </w:tc>
      </w:tr>
      <w:tr>
        <w:trPr/>
        <w:tc>
          <w:tcPr>
            <w:tcW w:w="76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bookmarkStart w:id="54" w:name="xdx_406_eus-gaap--LiabilitiesAndStockhol"/>
            <w:bookmarkEnd w:id="54"/>
          </w:p>
        </w:tc>
      </w:tr>
      <w:tr>
        <w:trPr/>
        <w:tc>
          <w:tcPr>
            <w:tcW w:w="7649" w:type="dxa"/>
            <w:tcBorders/>
            <w:shd w:fill="EEEEEE" w:val="clear"/>
            <w:vAlign w:val="center"/>
          </w:tcPr>
          <w:p>
            <w:pPr>
              <w:pStyle w:val="TableContents"/>
              <w:bidi w:val="0"/>
              <w:spacing w:before="0" w:after="283"/>
              <w:jc w:val="left"/>
              <w:rPr>
                <w:sz w:val="20"/>
                <w:u w:val="single"/>
              </w:rPr>
            </w:pPr>
            <w:r>
              <w:rPr>
                <w:sz w:val="20"/>
                <w:u w:val="single"/>
              </w:rPr>
              <w:t>LIABILITIES AND EQUITY</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bookmarkStart w:id="55" w:name="xdx_402_eus-gaap--LiabilitiesCurrentAbst"/>
            <w:bookmarkEnd w:id="55"/>
          </w:p>
        </w:tc>
      </w:tr>
      <w:tr>
        <w:trPr/>
        <w:tc>
          <w:tcPr>
            <w:tcW w:w="7649"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bookmarkStart w:id="56" w:name="xdx_40F_eus-gaap--AccountsPayableCurrent"/>
            <w:bookmarkEnd w:id="56"/>
          </w:p>
        </w:tc>
      </w:tr>
      <w:tr>
        <w:trPr/>
        <w:tc>
          <w:tcPr>
            <w:tcW w:w="7649" w:type="dxa"/>
            <w:tcBorders/>
            <w:shd w:fill="EEEEEE" w:val="clear"/>
            <w:vAlign w:val="center"/>
          </w:tcPr>
          <w:p>
            <w:pPr>
              <w:pStyle w:val="TableContents"/>
              <w:bidi w:val="0"/>
              <w:spacing w:before="0" w:after="283"/>
              <w:jc w:val="left"/>
              <w:rPr>
                <w:sz w:val="20"/>
              </w:rPr>
            </w:pPr>
            <w:r>
              <w:rPr>
                <w:sz w:val="20"/>
              </w:rPr>
              <w:t>Accounts payable, net</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1010" w:type="dxa"/>
            <w:tcBorders/>
            <w:shd w:fill="EEEEEE" w:val="clear"/>
            <w:vAlign w:val="center"/>
          </w:tcPr>
          <w:p>
            <w:pPr>
              <w:pStyle w:val="TableContents"/>
              <w:bidi w:val="0"/>
              <w:spacing w:before="0" w:after="283"/>
              <w:jc w:val="right"/>
              <w:rPr>
                <w:sz w:val="20"/>
              </w:rPr>
            </w:pPr>
            <w:r>
              <w:rPr>
                <w:sz w:val="20"/>
              </w:rPr>
              <w:t>3,056,935</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1010" w:type="dxa"/>
            <w:tcBorders/>
            <w:shd w:fill="EEEEEE" w:val="clear"/>
            <w:vAlign w:val="center"/>
          </w:tcPr>
          <w:p>
            <w:pPr>
              <w:pStyle w:val="TableContents"/>
              <w:bidi w:val="0"/>
              <w:spacing w:before="0" w:after="283"/>
              <w:jc w:val="right"/>
              <w:rPr>
                <w:sz w:val="20"/>
              </w:rPr>
            </w:pPr>
            <w:r>
              <w:rPr>
                <w:sz w:val="20"/>
              </w:rPr>
              <w:t>7,180,009</w:t>
            </w:r>
          </w:p>
        </w:tc>
        <w:tc>
          <w:tcPr>
            <w:tcW w:w="86" w:type="dxa"/>
            <w:tcBorders/>
            <w:shd w:fill="EEEEEE" w:val="clear"/>
            <w:vAlign w:val="center"/>
          </w:tcPr>
          <w:p>
            <w:pPr>
              <w:pStyle w:val="TableContents"/>
              <w:bidi w:val="0"/>
              <w:spacing w:before="0" w:after="283"/>
              <w:jc w:val="left"/>
              <w:rPr/>
            </w:pPr>
            <w:r>
              <w:rPr/>
              <w:t> </w:t>
            </w:r>
            <w:bookmarkStart w:id="57" w:name="xdx_405_eus-gaap--OtherAccountsPayableAn"/>
            <w:bookmarkEnd w:id="57"/>
          </w:p>
        </w:tc>
      </w:tr>
      <w:tr>
        <w:trPr/>
        <w:tc>
          <w:tcPr>
            <w:tcW w:w="7649" w:type="dxa"/>
            <w:tcBorders/>
            <w:shd w:fill="FFFFFF" w:val="clear"/>
            <w:vAlign w:val="center"/>
          </w:tcPr>
          <w:p>
            <w:pPr>
              <w:pStyle w:val="TableContents"/>
              <w:bidi w:val="0"/>
              <w:spacing w:before="0" w:after="283"/>
              <w:jc w:val="left"/>
              <w:rPr>
                <w:sz w:val="20"/>
              </w:rPr>
            </w:pPr>
            <w:r>
              <w:rPr>
                <w:sz w:val="20"/>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981,832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1,893,921</w:t>
            </w:r>
          </w:p>
        </w:tc>
        <w:tc>
          <w:tcPr>
            <w:tcW w:w="86" w:type="dxa"/>
            <w:tcBorders/>
            <w:shd w:fill="FFFFFF" w:val="clear"/>
            <w:vAlign w:val="center"/>
          </w:tcPr>
          <w:p>
            <w:pPr>
              <w:pStyle w:val="TableContents"/>
              <w:bidi w:val="0"/>
              <w:spacing w:before="0" w:after="283"/>
              <w:jc w:val="left"/>
              <w:rPr/>
            </w:pPr>
            <w:r>
              <w:rPr/>
              <w:t> </w:t>
            </w:r>
            <w:bookmarkStart w:id="58" w:name="xdx_40C_eus-gaap--OperatingLeaseLiabilit"/>
            <w:bookmarkEnd w:id="58"/>
          </w:p>
        </w:tc>
      </w:tr>
      <w:tr>
        <w:trPr/>
        <w:tc>
          <w:tcPr>
            <w:tcW w:w="7649" w:type="dxa"/>
            <w:tcBorders/>
            <w:shd w:fill="EEEEEE" w:val="clear"/>
            <w:vAlign w:val="center"/>
          </w:tcPr>
          <w:p>
            <w:pPr>
              <w:pStyle w:val="TableContents"/>
              <w:bidi w:val="0"/>
              <w:spacing w:before="0" w:after="283"/>
              <w:jc w:val="left"/>
              <w:rPr>
                <w:sz w:val="20"/>
              </w:rPr>
            </w:pPr>
            <w:r>
              <w:rPr>
                <w:sz w:val="20"/>
              </w:rPr>
              <w:t>Lease liability - current</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1,418,909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1,361,111</w:t>
            </w:r>
          </w:p>
        </w:tc>
        <w:tc>
          <w:tcPr>
            <w:tcW w:w="86" w:type="dxa"/>
            <w:tcBorders/>
            <w:shd w:fill="EEEEEE" w:val="clear"/>
            <w:vAlign w:val="center"/>
          </w:tcPr>
          <w:p>
            <w:pPr>
              <w:pStyle w:val="TableContents"/>
              <w:bidi w:val="0"/>
              <w:spacing w:before="0" w:after="283"/>
              <w:jc w:val="left"/>
              <w:rPr/>
            </w:pPr>
            <w:r>
              <w:rPr/>
              <w:t> </w:t>
            </w:r>
            <w:bookmarkStart w:id="59" w:name="xdx_40A_eus-gaap--ShortTermBorrowings_i0"/>
            <w:bookmarkEnd w:id="59"/>
          </w:p>
        </w:tc>
      </w:tr>
      <w:tr>
        <w:trPr/>
        <w:tc>
          <w:tcPr>
            <w:tcW w:w="7649" w:type="dxa"/>
            <w:tcBorders/>
            <w:shd w:fill="FFFFFF" w:val="clear"/>
            <w:vAlign w:val="center"/>
          </w:tcPr>
          <w:p>
            <w:pPr>
              <w:pStyle w:val="TableContents"/>
              <w:bidi w:val="0"/>
              <w:spacing w:before="0" w:after="283"/>
              <w:jc w:val="left"/>
              <w:rPr>
                <w:sz w:val="20"/>
              </w:rPr>
            </w:pPr>
            <w:r>
              <w:rPr>
                <w:sz w:val="20"/>
              </w:rPr>
              <w:t>Short-term loan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1,500,000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bookmarkStart w:id="60" w:name="xdx_408_ecustom--ShortTermBorrowingsRela"/>
            <w:bookmarkEnd w:id="60"/>
          </w:p>
        </w:tc>
      </w:tr>
      <w:tr>
        <w:trPr/>
        <w:tc>
          <w:tcPr>
            <w:tcW w:w="7649" w:type="dxa"/>
            <w:tcBorders/>
            <w:shd w:fill="EEEEEE" w:val="clear"/>
            <w:vAlign w:val="center"/>
          </w:tcPr>
          <w:p>
            <w:pPr>
              <w:pStyle w:val="TableContents"/>
              <w:bidi w:val="0"/>
              <w:spacing w:before="0" w:after="283"/>
              <w:jc w:val="left"/>
              <w:rPr>
                <w:sz w:val="20"/>
              </w:rPr>
            </w:pPr>
            <w:r>
              <w:rPr>
                <w:sz w:val="20"/>
              </w:rPr>
              <w:t>Short-term loan payable - related party</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1,063,278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w:t>
            </w:r>
          </w:p>
        </w:tc>
        <w:tc>
          <w:tcPr>
            <w:tcW w:w="86" w:type="dxa"/>
            <w:tcBorders/>
            <w:shd w:fill="EEEEEE" w:val="clear"/>
            <w:vAlign w:val="center"/>
          </w:tcPr>
          <w:p>
            <w:pPr>
              <w:pStyle w:val="TableContents"/>
              <w:bidi w:val="0"/>
              <w:spacing w:before="0" w:after="283"/>
              <w:jc w:val="left"/>
              <w:rPr/>
            </w:pPr>
            <w:r>
              <w:rPr/>
              <w:t> </w:t>
            </w:r>
            <w:bookmarkStart w:id="61" w:name="xdx_40B_eus-gaap--LinesOfCreditCurrent_i"/>
            <w:bookmarkEnd w:id="61"/>
          </w:p>
        </w:tc>
      </w:tr>
      <w:tr>
        <w:trPr/>
        <w:tc>
          <w:tcPr>
            <w:tcW w:w="7649" w:type="dxa"/>
            <w:tcBorders/>
            <w:shd w:fill="FFFFFF" w:val="clear"/>
            <w:vAlign w:val="center"/>
          </w:tcPr>
          <w:p>
            <w:pPr>
              <w:pStyle w:val="TableContents"/>
              <w:bidi w:val="0"/>
              <w:spacing w:before="0" w:after="283"/>
              <w:jc w:val="left"/>
              <w:rPr>
                <w:sz w:val="20"/>
              </w:rPr>
            </w:pPr>
            <w:r>
              <w:rPr>
                <w:sz w:val="20"/>
              </w:rPr>
              <w:t>Revolving loan payable,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3,737,602</w:t>
            </w:r>
          </w:p>
        </w:tc>
        <w:tc>
          <w:tcPr>
            <w:tcW w:w="86" w:type="dxa"/>
            <w:tcBorders/>
            <w:shd w:fill="FFFFFF" w:val="clear"/>
            <w:vAlign w:val="center"/>
          </w:tcPr>
          <w:p>
            <w:pPr>
              <w:pStyle w:val="TableContents"/>
              <w:bidi w:val="0"/>
              <w:spacing w:before="0" w:after="283"/>
              <w:jc w:val="left"/>
              <w:rPr/>
            </w:pPr>
            <w:r>
              <w:rPr/>
              <w:t> </w:t>
            </w:r>
            <w:bookmarkStart w:id="62" w:name="xdx_402_eus-gaap--TaxesPayableCurrent_i0"/>
            <w:bookmarkEnd w:id="62"/>
          </w:p>
        </w:tc>
      </w:tr>
      <w:tr>
        <w:trPr/>
        <w:tc>
          <w:tcPr>
            <w:tcW w:w="7649" w:type="dxa"/>
            <w:tcBorders/>
            <w:shd w:fill="EEEEEE" w:val="clear"/>
            <w:vAlign w:val="center"/>
          </w:tcPr>
          <w:p>
            <w:pPr>
              <w:pStyle w:val="TableContents"/>
              <w:bidi w:val="0"/>
              <w:spacing w:before="0" w:after="283"/>
              <w:jc w:val="left"/>
              <w:rPr>
                <w:sz w:val="20"/>
              </w:rPr>
            </w:pPr>
            <w:r>
              <w:rPr>
                <w:sz w:val="20"/>
              </w:rPr>
              <w:t>Income taxes payable</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3,512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280,155</w:t>
            </w:r>
          </w:p>
        </w:tc>
        <w:tc>
          <w:tcPr>
            <w:tcW w:w="86" w:type="dxa"/>
            <w:tcBorders/>
            <w:shd w:fill="EEEEEE" w:val="clear"/>
            <w:vAlign w:val="center"/>
          </w:tcPr>
          <w:p>
            <w:pPr>
              <w:pStyle w:val="TableContents"/>
              <w:bidi w:val="0"/>
              <w:spacing w:before="0" w:after="283"/>
              <w:jc w:val="left"/>
              <w:rPr/>
            </w:pPr>
            <w:r>
              <w:rPr/>
              <w:t> </w:t>
            </w:r>
            <w:bookmarkStart w:id="63" w:name="xdx_409_eus-gaap--LiabilitiesCurrent_i01"/>
            <w:bookmarkEnd w:id="63"/>
          </w:p>
        </w:tc>
      </w:tr>
      <w:tr>
        <w:trPr/>
        <w:tc>
          <w:tcPr>
            <w:tcW w:w="7649"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8,024,466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14,452,798</w:t>
            </w:r>
          </w:p>
        </w:tc>
        <w:tc>
          <w:tcPr>
            <w:tcW w:w="86" w:type="dxa"/>
            <w:tcBorders/>
            <w:shd w:fill="FFFFFF" w:val="clear"/>
            <w:vAlign w:val="center"/>
          </w:tcPr>
          <w:p>
            <w:pPr>
              <w:pStyle w:val="TableContents"/>
              <w:bidi w:val="0"/>
              <w:spacing w:before="0" w:after="283"/>
              <w:jc w:val="left"/>
              <w:rPr/>
            </w:pPr>
            <w:r>
              <w:rPr/>
              <w:t> </w:t>
            </w:r>
          </w:p>
        </w:tc>
      </w:tr>
      <w:tr>
        <w:trPr/>
        <w:tc>
          <w:tcPr>
            <w:tcW w:w="764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bookmarkStart w:id="64" w:name="xdx_402_eus-gaap--LiabilitiesNoncurrentA"/>
            <w:bookmarkEnd w:id="64"/>
          </w:p>
        </w:tc>
      </w:tr>
      <w:tr>
        <w:trPr/>
        <w:tc>
          <w:tcPr>
            <w:tcW w:w="7649" w:type="dxa"/>
            <w:tcBorders/>
            <w:shd w:fill="FFFFFF" w:val="clear"/>
            <w:vAlign w:val="center"/>
          </w:tcPr>
          <w:p>
            <w:pPr>
              <w:pStyle w:val="TableContents"/>
              <w:bidi w:val="0"/>
              <w:spacing w:before="0" w:after="283"/>
              <w:jc w:val="left"/>
              <w:rPr>
                <w:sz w:val="20"/>
              </w:rPr>
            </w:pPr>
            <w:r>
              <w:rPr>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bookmarkStart w:id="65" w:name="xdx_400_eus-gaap--ConvertibleLongTermNot"/>
            <w:bookmarkEnd w:id="65"/>
          </w:p>
        </w:tc>
      </w:tr>
      <w:tr>
        <w:trPr/>
        <w:tc>
          <w:tcPr>
            <w:tcW w:w="7649" w:type="dxa"/>
            <w:tcBorders/>
            <w:shd w:fill="EEEEEE" w:val="clear"/>
            <w:vAlign w:val="center"/>
          </w:tcPr>
          <w:p>
            <w:pPr>
              <w:pStyle w:val="TableContents"/>
              <w:bidi w:val="0"/>
              <w:spacing w:before="0" w:after="283"/>
              <w:jc w:val="left"/>
              <w:rPr>
                <w:sz w:val="20"/>
              </w:rPr>
            </w:pPr>
            <w:r>
              <w:rPr>
                <w:sz w:val="20"/>
              </w:rPr>
              <w:t>Convertible notes payable</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4,381,531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w:t>
            </w:r>
          </w:p>
        </w:tc>
        <w:tc>
          <w:tcPr>
            <w:tcW w:w="86" w:type="dxa"/>
            <w:tcBorders/>
            <w:shd w:fill="EEEEEE" w:val="clear"/>
            <w:vAlign w:val="center"/>
          </w:tcPr>
          <w:p>
            <w:pPr>
              <w:pStyle w:val="TableContents"/>
              <w:bidi w:val="0"/>
              <w:spacing w:before="0" w:after="283"/>
              <w:jc w:val="left"/>
              <w:rPr/>
            </w:pPr>
            <w:r>
              <w:rPr/>
              <w:t> </w:t>
            </w:r>
            <w:bookmarkStart w:id="66" w:name="xdx_40B_eus-gaap--DerivativeLiabilitiesN"/>
            <w:bookmarkEnd w:id="66"/>
          </w:p>
        </w:tc>
      </w:tr>
      <w:tr>
        <w:trPr/>
        <w:tc>
          <w:tcPr>
            <w:tcW w:w="7649" w:type="dxa"/>
            <w:tcBorders/>
            <w:shd w:fill="FFFFFF" w:val="clear"/>
            <w:vAlign w:val="center"/>
          </w:tcPr>
          <w:p>
            <w:pPr>
              <w:pStyle w:val="TableContents"/>
              <w:bidi w:val="0"/>
              <w:spacing w:before="0" w:after="283"/>
              <w:jc w:val="left"/>
              <w:rPr>
                <w:sz w:val="20"/>
              </w:rPr>
            </w:pPr>
            <w:r>
              <w:rPr>
                <w:sz w:val="20"/>
              </w:rPr>
              <w:t>Derivative liability - Conversion option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1,413,100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bookmarkStart w:id="67" w:name="xdx_409_eus-gaap--OperatingLeaseLiabilit"/>
            <w:bookmarkEnd w:id="67"/>
          </w:p>
        </w:tc>
      </w:tr>
      <w:tr>
        <w:trPr/>
        <w:tc>
          <w:tcPr>
            <w:tcW w:w="7649" w:type="dxa"/>
            <w:tcBorders/>
            <w:shd w:fill="EEEEEE" w:val="clear"/>
            <w:vAlign w:val="center"/>
          </w:tcPr>
          <w:p>
            <w:pPr>
              <w:pStyle w:val="TableContents"/>
              <w:bidi w:val="0"/>
              <w:spacing w:before="0" w:after="283"/>
              <w:jc w:val="left"/>
              <w:rPr>
                <w:sz w:val="20"/>
              </w:rPr>
            </w:pPr>
            <w:r>
              <w:rPr>
                <w:sz w:val="20"/>
              </w:rPr>
              <w:t>Lease liability - non-current</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2,193,849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2,913,967</w:t>
            </w:r>
          </w:p>
        </w:tc>
        <w:tc>
          <w:tcPr>
            <w:tcW w:w="86" w:type="dxa"/>
            <w:tcBorders/>
            <w:shd w:fill="EEEEEE" w:val="clear"/>
            <w:vAlign w:val="center"/>
          </w:tcPr>
          <w:p>
            <w:pPr>
              <w:pStyle w:val="TableContents"/>
              <w:bidi w:val="0"/>
              <w:spacing w:before="0" w:after="283"/>
              <w:jc w:val="left"/>
              <w:rPr/>
            </w:pPr>
            <w:r>
              <w:rPr/>
              <w:t> </w:t>
            </w:r>
            <w:bookmarkStart w:id="68" w:name="xdx_40B_eus-gaap--LiabilitiesNoncurrent_"/>
            <w:bookmarkEnd w:id="68"/>
          </w:p>
        </w:tc>
      </w:tr>
      <w:tr>
        <w:trPr/>
        <w:tc>
          <w:tcPr>
            <w:tcW w:w="7649" w:type="dxa"/>
            <w:tcBorders/>
            <w:shd w:fill="FFFFFF" w:val="clear"/>
            <w:vAlign w:val="center"/>
          </w:tcPr>
          <w:p>
            <w:pPr>
              <w:pStyle w:val="TableContents"/>
              <w:bidi w:val="0"/>
              <w:spacing w:before="0" w:after="283"/>
              <w:jc w:val="left"/>
              <w:rPr>
                <w:sz w:val="20"/>
              </w:rPr>
            </w:pPr>
            <w:r>
              <w:rPr>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7,988,480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2,913,967</w:t>
            </w:r>
          </w:p>
        </w:tc>
        <w:tc>
          <w:tcPr>
            <w:tcW w:w="86" w:type="dxa"/>
            <w:tcBorders/>
            <w:shd w:fill="FFFFFF" w:val="clear"/>
            <w:vAlign w:val="center"/>
          </w:tcPr>
          <w:p>
            <w:pPr>
              <w:pStyle w:val="TableContents"/>
              <w:bidi w:val="0"/>
              <w:spacing w:before="0" w:after="283"/>
              <w:jc w:val="left"/>
              <w:rPr/>
            </w:pPr>
            <w:r>
              <w:rPr/>
              <w:t> </w:t>
            </w:r>
          </w:p>
        </w:tc>
      </w:tr>
      <w:tr>
        <w:trPr/>
        <w:tc>
          <w:tcPr>
            <w:tcW w:w="764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bookmarkStart w:id="69" w:name="xdx_403_eus-gaap--Liabilities_i01TI_pp0d"/>
            <w:bookmarkEnd w:id="69"/>
          </w:p>
        </w:tc>
      </w:tr>
      <w:tr>
        <w:trPr/>
        <w:tc>
          <w:tcPr>
            <w:tcW w:w="7649" w:type="dxa"/>
            <w:tcBorders/>
            <w:shd w:fill="FFFFFF" w:val="clear"/>
            <w:vAlign w:val="center"/>
          </w:tcPr>
          <w:p>
            <w:pPr>
              <w:pStyle w:val="TableContents"/>
              <w:bidi w:val="0"/>
              <w:spacing w:before="0" w:after="283"/>
              <w:jc w:val="left"/>
              <w:rPr>
                <w:sz w:val="20"/>
              </w:rPr>
            </w:pPr>
            <w:r>
              <w:rPr>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16,012,946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17,366,765</w:t>
            </w:r>
          </w:p>
        </w:tc>
        <w:tc>
          <w:tcPr>
            <w:tcW w:w="86" w:type="dxa"/>
            <w:tcBorders/>
            <w:shd w:fill="FFFFFF" w:val="clear"/>
            <w:vAlign w:val="center"/>
          </w:tcPr>
          <w:p>
            <w:pPr>
              <w:pStyle w:val="TableContents"/>
              <w:bidi w:val="0"/>
              <w:spacing w:before="0" w:after="283"/>
              <w:jc w:val="left"/>
              <w:rPr/>
            </w:pPr>
            <w:r>
              <w:rPr/>
              <w:t> </w:t>
            </w:r>
          </w:p>
        </w:tc>
      </w:tr>
      <w:tr>
        <w:trPr/>
        <w:tc>
          <w:tcPr>
            <w:tcW w:w="764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bookmarkStart w:id="70" w:name="xdx_404_eus-gaap--CommitmentsAndContinge"/>
            <w:bookmarkEnd w:id="70"/>
          </w:p>
        </w:tc>
      </w:tr>
      <w:tr>
        <w:trPr/>
        <w:tc>
          <w:tcPr>
            <w:tcW w:w="7649" w:type="dxa"/>
            <w:tcBorders/>
            <w:shd w:fill="FFFFFF" w:val="clear"/>
            <w:vAlign w:val="center"/>
          </w:tcPr>
          <w:p>
            <w:pPr>
              <w:pStyle w:val="TableContents"/>
              <w:bidi w:val="0"/>
              <w:spacing w:before="0" w:after="283"/>
              <w:jc w:val="left"/>
              <w:rPr>
                <w:sz w:val="20"/>
              </w:rPr>
            </w:pPr>
            <w:r>
              <w:rPr>
                <w:sz w:val="20"/>
              </w:rPr>
              <w:t>Commitments and contingency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764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bookmarkStart w:id="71" w:name="xdx_40B_eus-gaap--StockholdersEquityAbst"/>
            <w:bookmarkEnd w:id="71"/>
          </w:p>
        </w:tc>
      </w:tr>
      <w:tr>
        <w:trPr/>
        <w:tc>
          <w:tcPr>
            <w:tcW w:w="7649" w:type="dxa"/>
            <w:tcBorders/>
            <w:shd w:fill="FFFFFF" w:val="clear"/>
            <w:vAlign w:val="center"/>
          </w:tcPr>
          <w:p>
            <w:pPr>
              <w:pStyle w:val="TableContents"/>
              <w:bidi w:val="0"/>
              <w:spacing w:before="0" w:after="283"/>
              <w:jc w:val="left"/>
              <w:rPr>
                <w:sz w:val="20"/>
              </w:rPr>
            </w:pPr>
            <w:r>
              <w:rPr>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200"/>
              <w:jc w:val="left"/>
              <w:rPr/>
            </w:pPr>
            <w:r>
              <w:rPr/>
              <w:t> </w:t>
            </w:r>
            <w:bookmarkStart w:id="72" w:name="xdx_405_eus-gaap--PreferredStockValue_i0"/>
            <w:bookmarkEnd w:id="72"/>
          </w:p>
        </w:tc>
      </w:tr>
      <w:tr>
        <w:trPr/>
        <w:tc>
          <w:tcPr>
            <w:tcW w:w="7649" w:type="dxa"/>
            <w:tcBorders/>
            <w:shd w:fill="EEEEEE" w:val="clear"/>
            <w:vAlign w:val="center"/>
          </w:tcPr>
          <w:p>
            <w:pPr>
              <w:pStyle w:val="TableContents"/>
              <w:bidi w:val="0"/>
              <w:spacing w:before="0" w:after="283"/>
              <w:jc w:val="left"/>
              <w:rPr>
                <w:sz w:val="20"/>
              </w:rPr>
            </w:pPr>
            <w:r>
              <w:rPr>
                <w:sz w:val="20"/>
              </w:rPr>
              <w:t>Preferred stock, $</w:t>
            </w:r>
            <w:bookmarkStart w:id="73" w:name="xdx_903_eus-gaap--PreferredStockParOrSta"/>
            <w:bookmarkStart w:id="74" w:name="xdx_901_eus-gaap--PreferredStockParOrSta"/>
            <w:bookmarkEnd w:id="73"/>
            <w:bookmarkEnd w:id="74"/>
            <w:r>
              <w:rPr>
                <w:sz w:val="20"/>
              </w:rPr>
              <w:t xml:space="preserve">0.001 par value; </w:t>
            </w:r>
            <w:bookmarkStart w:id="75" w:name="xdx_905_eus-gaap--PreferredStockSharesAu"/>
            <w:bookmarkStart w:id="76" w:name="xdx_906_eus-gaap--PreferredStockSharesAu"/>
            <w:bookmarkEnd w:id="75"/>
            <w:bookmarkEnd w:id="76"/>
            <w:r>
              <w:rPr>
                <w:sz w:val="20"/>
              </w:rPr>
              <w:t xml:space="preserve">20,000,000 shares authorized; </w:t>
            </w:r>
            <w:bookmarkStart w:id="77" w:name="xdx_905_eus-gaap--PreferredStockSharesOu"/>
            <w:bookmarkStart w:id="78" w:name="xdx_902_eus-gaap--PreferredStockSharesIs"/>
            <w:bookmarkStart w:id="79" w:name="xdx_905_eus-gaap--PreferredStockSharesOu"/>
            <w:bookmarkStart w:id="80" w:name="xdx_90E_eus-gaap--PreferredStockSharesIs"/>
            <w:bookmarkEnd w:id="77"/>
            <w:bookmarkEnd w:id="78"/>
            <w:bookmarkEnd w:id="79"/>
            <w:bookmarkEnd w:id="80"/>
            <w:r>
              <w:rPr>
                <w:sz w:val="20"/>
              </w:rPr>
              <w:t>0 shares issued and outstanding at September 30, 2025 and June 30, 2025</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pPr>
            <w:r>
              <w:rPr/>
              <w:t>–</w:t>
            </w:r>
          </w:p>
        </w:tc>
        <w:tc>
          <w:tcPr>
            <w:tcW w:w="86" w:type="dxa"/>
            <w:tcBorders/>
            <w:shd w:fill="EEEEEE" w:val="clear"/>
            <w:vAlign w:val="center"/>
          </w:tcPr>
          <w:p>
            <w:pPr>
              <w:pStyle w:val="TableContents"/>
              <w:bidi w:val="0"/>
              <w:spacing w:before="0" w:after="283"/>
              <w:ind w:left="0" w:right="0" w:hanging="200"/>
              <w:jc w:val="left"/>
              <w:rPr/>
            </w:pPr>
            <w:r>
              <w:rPr/>
              <w:t> </w:t>
            </w:r>
            <w:bookmarkStart w:id="81" w:name="xdx_403_eus-gaap--CommonStockValue_i01I_"/>
            <w:bookmarkEnd w:id="81"/>
          </w:p>
        </w:tc>
      </w:tr>
      <w:tr>
        <w:trPr/>
        <w:tc>
          <w:tcPr>
            <w:tcW w:w="7649" w:type="dxa"/>
            <w:tcBorders/>
            <w:shd w:fill="FFFFFF" w:val="clear"/>
            <w:vAlign w:val="center"/>
          </w:tcPr>
          <w:p>
            <w:pPr>
              <w:pStyle w:val="TableContents"/>
              <w:bidi w:val="0"/>
              <w:spacing w:before="0" w:after="283"/>
              <w:jc w:val="left"/>
              <w:rPr>
                <w:sz w:val="20"/>
              </w:rPr>
            </w:pPr>
            <w:r>
              <w:rPr>
                <w:sz w:val="20"/>
              </w:rPr>
              <w:t>**Common stock, $</w:t>
            </w:r>
            <w:bookmarkStart w:id="82" w:name="xdx_909_eus-gaap--CommonStockParOrStated"/>
            <w:bookmarkStart w:id="83" w:name="xdx_904_eus-gaap--CommonStockParOrStated"/>
            <w:bookmarkEnd w:id="82"/>
            <w:bookmarkEnd w:id="83"/>
            <w:r>
              <w:rPr>
                <w:sz w:val="20"/>
              </w:rPr>
              <w:t xml:space="preserve">0.001 par value; </w:t>
            </w:r>
            <w:bookmarkStart w:id="84" w:name="xdx_900_eus-gaap--CommonStockSharesAutho"/>
            <w:bookmarkStart w:id="85" w:name="xdx_90A_eus-gaap--CommonStockSharesAutho"/>
            <w:bookmarkEnd w:id="84"/>
            <w:bookmarkEnd w:id="85"/>
            <w:r>
              <w:rPr>
                <w:sz w:val="20"/>
              </w:rPr>
              <w:t xml:space="preserve">180,000,000 shares authorized; </w:t>
            </w:r>
            <w:bookmarkStart w:id="86" w:name="xdx_90B_eus-gaap--CommonStockSharesOutst"/>
            <w:bookmarkStart w:id="87" w:name="xdx_907_eus-gaap--CommonStockSharesIssue"/>
            <w:bookmarkEnd w:id="86"/>
            <w:bookmarkEnd w:id="87"/>
            <w:r>
              <w:rPr>
                <w:sz w:val="20"/>
              </w:rPr>
              <w:t xml:space="preserve">1,081,460 and </w:t>
            </w:r>
            <w:bookmarkStart w:id="88" w:name="xdx_90C_eus-gaap--CommonStockSharesOutst"/>
            <w:bookmarkStart w:id="89" w:name="xdx_90B_eus-gaap--CommonStockSharesIssue"/>
            <w:bookmarkEnd w:id="88"/>
            <w:bookmarkEnd w:id="89"/>
            <w:r>
              <w:rPr>
                <w:sz w:val="20"/>
              </w:rPr>
              <w:t>1,045,330 shares issued and outstanding at December 31, 2025 and June 30,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1,045</w:t>
            </w:r>
          </w:p>
        </w:tc>
        <w:tc>
          <w:tcPr>
            <w:tcW w:w="86" w:type="dxa"/>
            <w:tcBorders/>
            <w:shd w:fill="FFFFFF" w:val="clear"/>
            <w:vAlign w:val="center"/>
          </w:tcPr>
          <w:p>
            <w:pPr>
              <w:pStyle w:val="TableContents"/>
              <w:bidi w:val="0"/>
              <w:spacing w:before="0" w:after="283"/>
              <w:ind w:left="0" w:right="0" w:hanging="200"/>
              <w:jc w:val="left"/>
              <w:rPr/>
            </w:pPr>
            <w:r>
              <w:rPr/>
              <w:t> </w:t>
            </w:r>
            <w:bookmarkStart w:id="90" w:name="xdx_401_eus-gaap--AdditionalPaidInCapita"/>
            <w:bookmarkEnd w:id="90"/>
          </w:p>
        </w:tc>
      </w:tr>
      <w:tr>
        <w:trPr/>
        <w:tc>
          <w:tcPr>
            <w:tcW w:w="7649" w:type="dxa"/>
            <w:tcBorders/>
            <w:shd w:fill="EEEEEE" w:val="clear"/>
            <w:vAlign w:val="center"/>
          </w:tcPr>
          <w:p>
            <w:pPr>
              <w:pStyle w:val="TableContents"/>
              <w:bidi w:val="0"/>
              <w:spacing w:before="0" w:after="283"/>
              <w:jc w:val="left"/>
              <w:rPr>
                <w:sz w:val="20"/>
              </w:rPr>
            </w:pPr>
            <w:r>
              <w:rPr>
                <w:sz w:val="20"/>
              </w:rPr>
              <w:t>Additional paid in capital</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34,891,869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33,481,201</w:t>
            </w:r>
          </w:p>
        </w:tc>
        <w:tc>
          <w:tcPr>
            <w:tcW w:w="86" w:type="dxa"/>
            <w:tcBorders/>
            <w:shd w:fill="EEEEEE" w:val="clear"/>
            <w:vAlign w:val="center"/>
          </w:tcPr>
          <w:p>
            <w:pPr>
              <w:pStyle w:val="TableContents"/>
              <w:bidi w:val="0"/>
              <w:spacing w:before="0" w:after="283"/>
              <w:ind w:left="0" w:right="0" w:hanging="200"/>
              <w:jc w:val="left"/>
              <w:rPr/>
            </w:pPr>
            <w:r>
              <w:rPr/>
              <w:t> </w:t>
            </w:r>
            <w:bookmarkStart w:id="91" w:name="xdx_40C_eus-gaap--RetainedEarningsAccumu"/>
            <w:bookmarkEnd w:id="91"/>
          </w:p>
        </w:tc>
      </w:tr>
      <w:tr>
        <w:trPr/>
        <w:tc>
          <w:tcPr>
            <w:tcW w:w="7649" w:type="dxa"/>
            <w:tcBorders/>
            <w:shd w:fill="FFFFFF" w:val="clear"/>
            <w:vAlign w:val="center"/>
          </w:tcPr>
          <w:p>
            <w:pPr>
              <w:pStyle w:val="TableContents"/>
              <w:bidi w:val="0"/>
              <w:spacing w:before="0" w:after="283"/>
              <w:jc w:val="left"/>
              <w:rPr>
                <w:sz w:val="20"/>
              </w:rPr>
            </w:pPr>
            <w:r>
              <w:rPr>
                <w:sz w:val="20"/>
              </w:rPr>
              <w:t>Accumulated deficits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(16,925,818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(15,198,889</w:t>
            </w:r>
          </w:p>
        </w:tc>
        <w:tc>
          <w:tcPr>
            <w:tcW w:w="86" w:type="dxa"/>
            <w:tcBorders/>
            <w:shd w:fill="FFFFFF" w:val="clear"/>
            <w:vAlign w:val="center"/>
          </w:tcPr>
          <w:p>
            <w:pPr>
              <w:pStyle w:val="TableContents"/>
              <w:bidi w:val="0"/>
              <w:spacing w:before="0" w:after="283"/>
              <w:ind w:left="0" w:right="0" w:hanging="200"/>
              <w:jc w:val="left"/>
              <w:rPr>
                <w:sz w:val="20"/>
              </w:rPr>
            </w:pPr>
            <w:r>
              <w:rPr>
                <w:sz w:val="20"/>
              </w:rPr>
              <w:t>)</w:t>
            </w:r>
            <w:bookmarkStart w:id="92" w:name="xdx_400_eus-gaap--MinorityInterest_i01I_"/>
            <w:bookmarkEnd w:id="92"/>
          </w:p>
        </w:tc>
      </w:tr>
      <w:tr>
        <w:trPr/>
        <w:tc>
          <w:tcPr>
            <w:tcW w:w="7649" w:type="dxa"/>
            <w:tcBorders/>
            <w:shd w:fill="EEEEEE" w:val="clear"/>
            <w:vAlign w:val="center"/>
          </w:tcPr>
          <w:p>
            <w:pPr>
              <w:pStyle w:val="TableContents"/>
              <w:bidi w:val="0"/>
              <w:spacing w:before="0" w:after="283"/>
              <w:jc w:val="left"/>
              <w:rPr>
                <w:sz w:val="20"/>
              </w:rPr>
            </w:pPr>
            <w:r>
              <w:rPr>
                <w:sz w:val="20"/>
              </w:rPr>
              <w:t>Non-controlling interest</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(47,462</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1010" w:type="dxa"/>
            <w:tcBorders/>
            <w:shd w:fill="EEEEEE" w:val="clear"/>
            <w:vAlign w:val="center"/>
          </w:tcPr>
          <w:p>
            <w:pPr>
              <w:pStyle w:val="TableContents"/>
              <w:bidi w:val="0"/>
              <w:spacing w:before="0" w:after="283"/>
              <w:jc w:val="right"/>
              <w:rPr>
                <w:sz w:val="20"/>
              </w:rPr>
            </w:pPr>
            <w:r>
              <w:rPr>
                <w:sz w:val="20"/>
              </w:rPr>
              <w:t>(47,462</w:t>
            </w:r>
          </w:p>
        </w:tc>
        <w:tc>
          <w:tcPr>
            <w:tcW w:w="86" w:type="dxa"/>
            <w:tcBorders/>
            <w:shd w:fill="EEEEEE" w:val="clear"/>
            <w:vAlign w:val="center"/>
          </w:tcPr>
          <w:p>
            <w:pPr>
              <w:pStyle w:val="TableContents"/>
              <w:bidi w:val="0"/>
              <w:spacing w:before="0" w:after="283"/>
              <w:ind w:left="0" w:right="0" w:hanging="200"/>
              <w:jc w:val="left"/>
              <w:rPr>
                <w:sz w:val="20"/>
              </w:rPr>
            </w:pPr>
            <w:r>
              <w:rPr>
                <w:sz w:val="20"/>
              </w:rPr>
              <w:t>)</w:t>
            </w:r>
            <w:bookmarkStart w:id="93" w:name="xdx_405_eus-gaap--AccumulatedOtherCompre"/>
            <w:bookmarkEnd w:id="93"/>
          </w:p>
        </w:tc>
      </w:tr>
      <w:tr>
        <w:trPr/>
        <w:tc>
          <w:tcPr>
            <w:tcW w:w="7649" w:type="dxa"/>
            <w:tcBorders/>
            <w:shd w:fill="FFFFFF" w:val="clear"/>
            <w:vAlign w:val="center"/>
          </w:tcPr>
          <w:p>
            <w:pPr>
              <w:pStyle w:val="TableContents"/>
              <w:bidi w:val="0"/>
              <w:spacing w:before="0" w:after="283"/>
              <w:jc w:val="left"/>
              <w:rPr>
                <w:sz w:val="20"/>
              </w:rPr>
            </w:pPr>
            <w:r>
              <w:rPr>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64,671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40,107</w:t>
            </w:r>
          </w:p>
        </w:tc>
        <w:tc>
          <w:tcPr>
            <w:tcW w:w="86" w:type="dxa"/>
            <w:tcBorders/>
            <w:shd w:fill="FFFFFF" w:val="clear"/>
            <w:vAlign w:val="center"/>
          </w:tcPr>
          <w:p>
            <w:pPr>
              <w:pStyle w:val="TableContents"/>
              <w:bidi w:val="0"/>
              <w:spacing w:before="0" w:after="283"/>
              <w:ind w:left="0" w:right="0" w:hanging="200"/>
              <w:jc w:val="left"/>
              <w:rPr/>
            </w:pPr>
            <w:r>
              <w:rPr/>
              <w:t> </w:t>
            </w:r>
            <w:bookmarkStart w:id="94" w:name="xdx_402_eus-gaap--StockholdersEquityIncl"/>
            <w:bookmarkEnd w:id="94"/>
          </w:p>
        </w:tc>
      </w:tr>
      <w:tr>
        <w:trPr/>
        <w:tc>
          <w:tcPr>
            <w:tcW w:w="7649" w:type="dxa"/>
            <w:tcBorders/>
            <w:shd w:fill="EEEEEE" w:val="clear"/>
            <w:vAlign w:val="center"/>
          </w:tcPr>
          <w:p>
            <w:pPr>
              <w:pStyle w:val="TableContents"/>
              <w:bidi w:val="0"/>
              <w:spacing w:before="0" w:after="283"/>
              <w:jc w:val="left"/>
              <w:rPr>
                <w:sz w:val="20"/>
              </w:rPr>
            </w:pPr>
            <w:r>
              <w:rPr>
                <w:sz w:val="20"/>
              </w:rPr>
              <w:t>Total stockholders' equity</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17,984,342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18,276,002</w:t>
            </w:r>
          </w:p>
        </w:tc>
        <w:tc>
          <w:tcPr>
            <w:tcW w:w="86" w:type="dxa"/>
            <w:tcBorders/>
            <w:shd w:fill="EEEEEE" w:val="clear"/>
            <w:vAlign w:val="center"/>
          </w:tcPr>
          <w:p>
            <w:pPr>
              <w:pStyle w:val="TableContents"/>
              <w:bidi w:val="0"/>
              <w:spacing w:before="0" w:after="283"/>
              <w:jc w:val="left"/>
              <w:rPr/>
            </w:pPr>
            <w:r>
              <w:rPr/>
              <w:t> </w:t>
            </w:r>
          </w:p>
        </w:tc>
      </w:tr>
      <w:tr>
        <w:trPr/>
        <w:tc>
          <w:tcPr>
            <w:tcW w:w="76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bookmarkStart w:id="95" w:name="xdx_406_eus-gaap--LiabilitiesAndStockhol"/>
            <w:bookmarkEnd w:id="95"/>
          </w:p>
        </w:tc>
      </w:tr>
      <w:tr>
        <w:trPr/>
        <w:tc>
          <w:tcPr>
            <w:tcW w:w="7649" w:type="dxa"/>
            <w:tcBorders/>
            <w:shd w:fill="EEEEEE" w:val="clear"/>
            <w:vAlign w:val="center"/>
          </w:tcPr>
          <w:p>
            <w:pPr>
              <w:pStyle w:val="TableContents"/>
              <w:bidi w:val="0"/>
              <w:spacing w:before="0" w:after="283"/>
              <w:jc w:val="left"/>
              <w:rPr>
                <w:sz w:val="20"/>
              </w:rPr>
            </w:pPr>
            <w:r>
              <w:rPr>
                <w:sz w:val="20"/>
              </w:rPr>
              <w:t>Total liabilities and stockholders' equity</w:t>
            </w:r>
          </w:p>
        </w:tc>
        <w:tc>
          <w:tcPr>
            <w:tcW w:w="60" w:type="dxa"/>
            <w:tcBorders/>
            <w:shd w:fill="EEEEEE" w:val="clear"/>
            <w:vAlign w:val="center"/>
          </w:tcPr>
          <w:p>
            <w:pPr>
              <w:pStyle w:val="TableContents"/>
              <w:bidi w:val="0"/>
              <w:spacing w:before="0" w:after="283"/>
              <w:jc w:val="left"/>
              <w:rPr/>
            </w:pPr>
            <w:r>
              <w:rPr/>
              <w:t> </w:t>
            </w:r>
          </w:p>
        </w:tc>
        <w:tc>
          <w:tcPr>
            <w:tcW w:w="12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33,997,288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35,642,767</w:t>
            </w:r>
          </w:p>
        </w:tc>
        <w:tc>
          <w:tcPr>
            <w:tcW w:w="86" w:type="dxa"/>
            <w:tcBorders/>
            <w:shd w:fill="EEEEEE"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sz w:val="20"/>
              </w:rPr>
            </w:pPr>
            <w:r>
              <w:rPr>
                <w:sz w:val="20"/>
              </w:rPr>
              <w:t>**</w:t>
            </w:r>
          </w:p>
        </w:tc>
        <w:tc>
          <w:tcPr>
            <w:tcW w:w="10027" w:type="dxa"/>
            <w:tcBorders/>
            <w:vAlign w:val="center"/>
          </w:tcPr>
          <w:p>
            <w:pPr>
              <w:pStyle w:val="TableContents"/>
              <w:bidi w:val="0"/>
              <w:spacing w:before="0" w:after="283"/>
              <w:jc w:val="both"/>
              <w:rPr>
                <w:i/>
                <w:sz w:val="20"/>
              </w:rPr>
            </w:pPr>
            <w:r>
              <w:rPr>
                <w:i/>
                <w:sz w:val="20"/>
              </w:rPr>
              <w:t>Unless otherwise indicated, all shares of common stock and per share numbers in the unaudited condensed consolidated financial statements and notes below have been adjusted retroactively to reflect the 1-for-30 reverse stock split effected on October 27, 2025, for all periods presented (see Note 15 for details).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96" w:name="q2_004"/>
      <w:bookmarkEnd w:id="96"/>
      <w:r>
        <w:rPr>
          <w:rFonts w:ascii="Times New Roman;Times;Serif" w:hAnsi="Times New Roman;Times;Serif"/>
          <w:b w:val="false"/>
          <w:i w:val="false"/>
          <w:caps w:val="false"/>
          <w:smallCaps w:val="false"/>
          <w:sz w:val="20"/>
        </w:rPr>
        <w:t>Consolidated Statements of Operations and Comprehensive Loss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7" w:name="xdx_307_113_zaf024STUWwf"/>
      <w:bookmarkStart w:id="98" w:name="xdx_307_113_zaf024STUWwf"/>
      <w:bookmarkEnd w:id="98"/>
    </w:p>
    <w:tbl>
      <w:tblPr>
        <w:tblW w:w="10205" w:type="dxa"/>
        <w:jc w:val="left"/>
        <w:tblInd w:w="0" w:type="dxa"/>
        <w:tblLayout w:type="fixed"/>
        <w:tblCellMar>
          <w:top w:w="0" w:type="dxa"/>
          <w:left w:w="0" w:type="dxa"/>
          <w:bottom w:w="0" w:type="dxa"/>
          <w:right w:w="0" w:type="dxa"/>
        </w:tblCellMar>
      </w:tblPr>
      <w:tblGrid>
        <w:gridCol w:w="3797"/>
        <w:gridCol w:w="60"/>
        <w:gridCol w:w="165"/>
        <w:gridCol w:w="1247"/>
        <w:gridCol w:w="112"/>
        <w:gridCol w:w="70"/>
        <w:gridCol w:w="165"/>
        <w:gridCol w:w="1300"/>
        <w:gridCol w:w="95"/>
        <w:gridCol w:w="60"/>
        <w:gridCol w:w="160"/>
        <w:gridCol w:w="1261"/>
        <w:gridCol w:w="108"/>
        <w:gridCol w:w="68"/>
        <w:gridCol w:w="160"/>
        <w:gridCol w:w="1261"/>
        <w:gridCol w:w="116"/>
      </w:tblGrid>
      <w:tr>
        <w:trPr/>
        <w:tc>
          <w:tcPr>
            <w:tcW w:w="3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 w:name="xdx_49C_20251001__20251231_zO0jHgHXoENi"/>
            <w:bookmarkEnd w:id="99"/>
          </w:p>
        </w:tc>
        <w:tc>
          <w:tcPr>
            <w:tcW w:w="1412"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100" w:name="xdx_49B_20241001__20241231_zOxkujLNsTJc"/>
            <w:bookmarkEnd w:id="100"/>
          </w:p>
        </w:tc>
        <w:tc>
          <w:tcPr>
            <w:tcW w:w="14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 w:name="xdx_49B_20250701__20251231_zvwqnUbfQzLe"/>
            <w:bookmarkEnd w:id="101"/>
          </w:p>
        </w:tc>
        <w:tc>
          <w:tcPr>
            <w:tcW w:w="1421" w:type="dxa"/>
            <w:gridSpan w:val="2"/>
            <w:tcBorders/>
            <w:vAlign w:val="center"/>
          </w:tcPr>
          <w:p>
            <w:pPr>
              <w:pStyle w:val="TableContents"/>
              <w:bidi w:val="0"/>
              <w:spacing w:before="0" w:after="283"/>
              <w:jc w:val="center"/>
              <w:rPr/>
            </w:pPr>
            <w:r>
              <w:rPr/>
              <w:t> </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bookmarkStart w:id="102" w:name="xdx_498_20240701__20241231_ztDNjFwAFDxb"/>
            <w:bookmarkEnd w:id="102"/>
          </w:p>
        </w:tc>
        <w:tc>
          <w:tcPr>
            <w:tcW w:w="1421"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p>
        </w:tc>
      </w:tr>
      <w:tr>
        <w:trPr/>
        <w:tc>
          <w:tcPr>
            <w:tcW w:w="37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59" w:type="dxa"/>
            <w:gridSpan w:val="6"/>
            <w:tcBorders/>
            <w:vAlign w:val="center"/>
          </w:tcPr>
          <w:p>
            <w:pPr>
              <w:pStyle w:val="TableContents"/>
              <w:bidi w:val="0"/>
              <w:spacing w:before="0" w:after="283"/>
              <w:jc w:val="center"/>
              <w:rPr/>
            </w:pPr>
            <w:r>
              <w:rPr/>
              <w:t>For the Three Months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vAlign w:val="center"/>
          </w:tcPr>
          <w:p>
            <w:pPr>
              <w:pStyle w:val="TableContents"/>
              <w:bidi w:val="0"/>
              <w:spacing w:before="0" w:after="283"/>
              <w:jc w:val="center"/>
              <w:rPr/>
            </w:pPr>
            <w:r>
              <w:rPr/>
              <w:t>For the Six Months Ended December 31,</w:t>
            </w:r>
          </w:p>
        </w:tc>
        <w:tc>
          <w:tcPr>
            <w:tcW w:w="116" w:type="dxa"/>
            <w:tcBorders/>
            <w:vAlign w:val="center"/>
          </w:tcPr>
          <w:p>
            <w:pPr>
              <w:pStyle w:val="TableContents"/>
              <w:bidi w:val="0"/>
              <w:spacing w:before="0" w:after="283"/>
              <w:jc w:val="left"/>
              <w:rPr/>
            </w:pPr>
            <w:r>
              <w:rPr/>
              <w:t> </w:t>
            </w:r>
          </w:p>
        </w:tc>
      </w:tr>
      <w:tr>
        <w:trPr/>
        <w:tc>
          <w:tcPr>
            <w:tcW w:w="37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6" w:type="dxa"/>
            <w:tcBorders/>
            <w:vAlign w:val="center"/>
          </w:tcPr>
          <w:p>
            <w:pPr>
              <w:pStyle w:val="TableContents"/>
              <w:bidi w:val="0"/>
              <w:spacing w:before="0" w:after="283"/>
              <w:jc w:val="left"/>
              <w:rPr/>
            </w:pPr>
            <w:r>
              <w:rPr/>
              <w:t> </w:t>
            </w:r>
          </w:p>
        </w:tc>
      </w:tr>
      <w:tr>
        <w:trPr/>
        <w:tc>
          <w:tcPr>
            <w:tcW w:w="37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center"/>
              <w:rPr/>
            </w:pPr>
            <w:r>
              <w:rPr/>
              <w:t>(Unaudited)</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5"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center"/>
              <w:rPr/>
            </w:pPr>
            <w:r>
              <w:rPr/>
              <w:t>(Unaudited)</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center"/>
              <w:rPr/>
            </w:pPr>
            <w:r>
              <w:rPr/>
              <w:t>(Unaudited)</w:t>
            </w:r>
          </w:p>
        </w:tc>
        <w:tc>
          <w:tcPr>
            <w:tcW w:w="116" w:type="dxa"/>
            <w:tcBorders/>
            <w:vAlign w:val="center"/>
          </w:tcPr>
          <w:p>
            <w:pPr>
              <w:pStyle w:val="TableContents"/>
              <w:bidi w:val="0"/>
              <w:spacing w:before="0" w:after="283"/>
              <w:jc w:val="left"/>
              <w:rPr/>
            </w:pPr>
            <w:r>
              <w:rPr/>
              <w:t> </w:t>
            </w:r>
            <w:bookmarkStart w:id="103" w:name="xdx_405_eus-gaap--RevenuesAbstract_iB_zG"/>
            <w:bookmarkEnd w:id="103"/>
          </w:p>
        </w:tc>
      </w:tr>
      <w:tr>
        <w:trPr/>
        <w:tc>
          <w:tcPr>
            <w:tcW w:w="3797"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r>
      <w:tr>
        <w:trPr/>
        <w:tc>
          <w:tcPr>
            <w:tcW w:w="3797" w:type="dxa"/>
            <w:tcBorders/>
            <w:shd w:fill="EEEEEE" w:val="clear"/>
            <w:vAlign w:val="center"/>
          </w:tcPr>
          <w:p>
            <w:pPr>
              <w:pStyle w:val="TableContents"/>
              <w:bidi w:val="0"/>
              <w:spacing w:before="0" w:after="283"/>
              <w:jc w:val="left"/>
              <w:rPr/>
            </w:pPr>
            <w:r>
              <w:rPr/>
              <w:t>Product sales</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bookmarkStart w:id="104" w:name="xdx_98A_eus-gaap--Revenues_c20251001__20"/>
            <w:bookmarkEnd w:id="104"/>
          </w:p>
        </w:tc>
        <w:tc>
          <w:tcPr>
            <w:tcW w:w="1247" w:type="dxa"/>
            <w:tcBorders/>
            <w:shd w:fill="EEEEEE" w:val="clear"/>
            <w:vAlign w:val="center"/>
          </w:tcPr>
          <w:p>
            <w:pPr>
              <w:pStyle w:val="TableContents"/>
              <w:bidi w:val="0"/>
              <w:spacing w:before="0" w:after="283"/>
              <w:jc w:val="right"/>
              <w:rPr/>
            </w:pPr>
            <w:r>
              <w:rPr/>
              <w:t>7,133,602</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bookmarkStart w:id="105" w:name="xdx_98E_eus-gaap--Revenues_c20241001__20"/>
            <w:bookmarkEnd w:id="105"/>
          </w:p>
        </w:tc>
        <w:tc>
          <w:tcPr>
            <w:tcW w:w="1300" w:type="dxa"/>
            <w:tcBorders/>
            <w:shd w:fill="EEEEEE" w:val="clear"/>
            <w:vAlign w:val="center"/>
          </w:tcPr>
          <w:p>
            <w:pPr>
              <w:pStyle w:val="TableContents"/>
              <w:bidi w:val="0"/>
              <w:spacing w:before="0" w:after="283"/>
              <w:jc w:val="right"/>
              <w:rPr/>
            </w:pPr>
            <w:r>
              <w:rPr/>
              <w:t>17,606,889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w:t>
            </w:r>
            <w:bookmarkStart w:id="106" w:name="xdx_980_eus-gaap--Revenues_c20250701__20"/>
            <w:bookmarkEnd w:id="106"/>
          </w:p>
        </w:tc>
        <w:tc>
          <w:tcPr>
            <w:tcW w:w="1261" w:type="dxa"/>
            <w:tcBorders/>
            <w:shd w:fill="EEEEEE" w:val="clear"/>
            <w:vAlign w:val="center"/>
          </w:tcPr>
          <w:p>
            <w:pPr>
              <w:pStyle w:val="TableContents"/>
              <w:bidi w:val="0"/>
              <w:spacing w:before="0" w:after="283"/>
              <w:jc w:val="right"/>
              <w:rPr/>
            </w:pPr>
            <w:r>
              <w:rPr/>
              <w:t>17,618,347</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w:t>
            </w:r>
            <w:bookmarkStart w:id="107" w:name="xdx_980_eus-gaap--Revenues_c20240701__20"/>
            <w:bookmarkEnd w:id="107"/>
          </w:p>
        </w:tc>
        <w:tc>
          <w:tcPr>
            <w:tcW w:w="1261" w:type="dxa"/>
            <w:tcBorders/>
            <w:shd w:fill="EEEEEE" w:val="clear"/>
            <w:vAlign w:val="center"/>
          </w:tcPr>
          <w:p>
            <w:pPr>
              <w:pStyle w:val="TableContents"/>
              <w:bidi w:val="0"/>
              <w:spacing w:before="0" w:after="283"/>
              <w:jc w:val="right"/>
              <w:rPr/>
            </w:pPr>
            <w:r>
              <w:rPr/>
              <w:t>35,882,301</w:t>
            </w:r>
          </w:p>
        </w:tc>
        <w:tc>
          <w:tcPr>
            <w:tcW w:w="116" w:type="dxa"/>
            <w:tcBorders/>
            <w:shd w:fill="EEEEEE"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Service income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8" w:name="xdx_981_eus-gaap--Revenues_d0_c20251001_"/>
            <w:bookmarkEnd w:id="108"/>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9" w:name="xdx_980_eus-gaap--Revenues_c20241001__20"/>
            <w:bookmarkEnd w:id="109"/>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1,465,682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 w:name="xdx_981_eus-gaap--Revenues_c20250701__20"/>
            <w:bookmarkEnd w:id="110"/>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1,532,722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1" w:name="xdx_98E_eus-gaap--Revenues_c20240701__20"/>
            <w:bookmarkEnd w:id="111"/>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2,198,791</w:t>
            </w:r>
          </w:p>
        </w:tc>
        <w:tc>
          <w:tcPr>
            <w:tcW w:w="116" w:type="dxa"/>
            <w:tcBorders/>
            <w:shd w:fill="FFFFFF" w:val="clear"/>
            <w:vAlign w:val="center"/>
          </w:tcPr>
          <w:p>
            <w:pPr>
              <w:pStyle w:val="TableContents"/>
              <w:bidi w:val="0"/>
              <w:spacing w:before="0" w:after="283"/>
              <w:jc w:val="left"/>
              <w:rPr/>
            </w:pPr>
            <w:r>
              <w:rPr/>
              <w:t> </w:t>
            </w:r>
            <w:bookmarkStart w:id="112" w:name="xdx_405_eus-gaap--Revenues_maGPzwT9_zY3O"/>
            <w:bookmarkEnd w:id="112"/>
          </w:p>
        </w:tc>
      </w:tr>
      <w:tr>
        <w:trPr/>
        <w:tc>
          <w:tcPr>
            <w:tcW w:w="3797" w:type="dxa"/>
            <w:tcBorders/>
            <w:shd w:fill="EEEEEE" w:val="clear"/>
            <w:vAlign w:val="center"/>
          </w:tcPr>
          <w:p>
            <w:pPr>
              <w:pStyle w:val="TableContents"/>
              <w:bidi w:val="0"/>
              <w:spacing w:before="0" w:after="283"/>
              <w:jc w:val="left"/>
              <w:rPr/>
            </w:pPr>
            <w:r>
              <w:rPr/>
              <w:t>Total revenues</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EEEEEE" w:val="clear"/>
            <w:tcMar>
              <w:bottom w:w="28" w:type="dxa"/>
            </w:tcMar>
            <w:vAlign w:val="center"/>
          </w:tcPr>
          <w:p>
            <w:pPr>
              <w:pStyle w:val="TableContents"/>
              <w:bidi w:val="0"/>
              <w:spacing w:before="0" w:after="283"/>
              <w:jc w:val="right"/>
              <w:rPr/>
            </w:pPr>
            <w:r>
              <w:rPr/>
              <w:t>7,133,602</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EEEEEE" w:val="clear"/>
            <w:tcMar>
              <w:bottom w:w="28" w:type="dxa"/>
            </w:tcMar>
            <w:vAlign w:val="center"/>
          </w:tcPr>
          <w:p>
            <w:pPr>
              <w:pStyle w:val="TableContents"/>
              <w:bidi w:val="0"/>
              <w:spacing w:before="0" w:after="283"/>
              <w:jc w:val="right"/>
              <w:rPr/>
            </w:pPr>
            <w:r>
              <w:rPr/>
              <w:t>19,072,571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19,151,069</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38,081,092</w:t>
            </w:r>
          </w:p>
        </w:tc>
        <w:tc>
          <w:tcPr>
            <w:tcW w:w="116" w:type="dxa"/>
            <w:tcBorders/>
            <w:shd w:fill="EEEEEE"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13" w:name="xdx_40E_eus-gaap--CostOfRevenueAbstract_"/>
            <w:bookmarkEnd w:id="113"/>
          </w:p>
        </w:tc>
      </w:tr>
      <w:tr>
        <w:trPr/>
        <w:tc>
          <w:tcPr>
            <w:tcW w:w="3797" w:type="dxa"/>
            <w:tcBorders/>
            <w:shd w:fill="EEEEEE" w:val="clear"/>
            <w:vAlign w:val="center"/>
          </w:tcPr>
          <w:p>
            <w:pPr>
              <w:pStyle w:val="TableContents"/>
              <w:bidi w:val="0"/>
              <w:spacing w:before="0" w:after="283"/>
              <w:jc w:val="left"/>
              <w:rPr/>
            </w:pPr>
            <w:r>
              <w:rPr/>
              <w:t>COST OF REVENUES</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Product costs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114" w:name="xdx_98F_eus-gaap--CostOfRevenue_c2025100"/>
            <w:bookmarkEnd w:id="114"/>
          </w:p>
        </w:tc>
        <w:tc>
          <w:tcPr>
            <w:tcW w:w="1247" w:type="dxa"/>
            <w:tcBorders/>
            <w:shd w:fill="FFFFFF" w:val="clear"/>
            <w:vAlign w:val="center"/>
          </w:tcPr>
          <w:p>
            <w:pPr>
              <w:pStyle w:val="TableContents"/>
              <w:bidi w:val="0"/>
              <w:spacing w:before="0" w:after="283"/>
              <w:jc w:val="right"/>
              <w:rPr/>
            </w:pPr>
            <w:r>
              <w:rPr/>
              <w:t>3,994,680</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115" w:name="xdx_987_eus-gaap--CostOfRevenue_c2024100"/>
            <w:bookmarkEnd w:id="115"/>
          </w:p>
        </w:tc>
        <w:tc>
          <w:tcPr>
            <w:tcW w:w="1300" w:type="dxa"/>
            <w:tcBorders/>
            <w:shd w:fill="FFFFFF" w:val="clear"/>
            <w:vAlign w:val="center"/>
          </w:tcPr>
          <w:p>
            <w:pPr>
              <w:pStyle w:val="TableContents"/>
              <w:bidi w:val="0"/>
              <w:spacing w:before="0" w:after="283"/>
              <w:jc w:val="right"/>
              <w:rPr/>
            </w:pPr>
            <w:r>
              <w:rPr/>
              <w:t>9,461,119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116" w:name="xdx_98F_eus-gaap--CostOfRevenue_c2025070"/>
            <w:bookmarkEnd w:id="116"/>
          </w:p>
        </w:tc>
        <w:tc>
          <w:tcPr>
            <w:tcW w:w="1261" w:type="dxa"/>
            <w:tcBorders/>
            <w:shd w:fill="FFFFFF" w:val="clear"/>
            <w:vAlign w:val="center"/>
          </w:tcPr>
          <w:p>
            <w:pPr>
              <w:pStyle w:val="TableContents"/>
              <w:bidi w:val="0"/>
              <w:spacing w:before="0" w:after="283"/>
              <w:jc w:val="right"/>
              <w:rPr/>
            </w:pPr>
            <w:r>
              <w:rPr/>
              <w:t>9,872,942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117" w:name="xdx_98E_eus-gaap--CostOfRevenue_c2024070"/>
            <w:bookmarkEnd w:id="117"/>
          </w:p>
        </w:tc>
        <w:tc>
          <w:tcPr>
            <w:tcW w:w="1261" w:type="dxa"/>
            <w:tcBorders/>
            <w:shd w:fill="FFFFFF" w:val="clear"/>
            <w:vAlign w:val="center"/>
          </w:tcPr>
          <w:p>
            <w:pPr>
              <w:pStyle w:val="TableContents"/>
              <w:bidi w:val="0"/>
              <w:spacing w:before="0" w:after="283"/>
              <w:jc w:val="right"/>
              <w:rPr/>
            </w:pPr>
            <w:r>
              <w:rPr/>
              <w:t>19,378,567</w:t>
            </w:r>
          </w:p>
        </w:tc>
        <w:tc>
          <w:tcPr>
            <w:tcW w:w="116" w:type="dxa"/>
            <w:tcBorders/>
            <w:shd w:fill="FFFFFF" w:val="clear"/>
            <w:vAlign w:val="center"/>
          </w:tcPr>
          <w:p>
            <w:pPr>
              <w:pStyle w:val="TableContents"/>
              <w:bidi w:val="0"/>
              <w:spacing w:before="0" w:after="283"/>
              <w:jc w:val="left"/>
              <w:rPr/>
            </w:pPr>
            <w:r>
              <w:rPr/>
              <w:t> </w:t>
            </w:r>
          </w:p>
        </w:tc>
      </w:tr>
      <w:tr>
        <w:trPr/>
        <w:tc>
          <w:tcPr>
            <w:tcW w:w="3797" w:type="dxa"/>
            <w:tcBorders/>
            <w:shd w:fill="EEEEEE" w:val="clear"/>
            <w:vAlign w:val="center"/>
          </w:tcPr>
          <w:p>
            <w:pPr>
              <w:pStyle w:val="TableContents"/>
              <w:bidi w:val="0"/>
              <w:spacing w:before="0" w:after="283"/>
              <w:jc w:val="left"/>
              <w:rPr/>
            </w:pPr>
            <w:r>
              <w:rPr/>
              <w:t>Service costs</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18" w:name="xdx_988_eus-gaap--CostOfRevenue_c2025100"/>
            <w:bookmarkEnd w:id="118"/>
          </w:p>
        </w:tc>
        <w:tc>
          <w:tcPr>
            <w:tcW w:w="1247"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19" w:name="xdx_98E_eus-gaap--CostOfRevenue_c2024100"/>
            <w:bookmarkEnd w:id="119"/>
          </w:p>
        </w:tc>
        <w:tc>
          <w:tcPr>
            <w:tcW w:w="1300" w:type="dxa"/>
            <w:tcBorders>
              <w:bottom w:val="single" w:sz="8" w:space="0" w:color="000000"/>
            </w:tcBorders>
            <w:shd w:fill="EEEEEE" w:val="clear"/>
            <w:tcMar>
              <w:bottom w:w="28" w:type="dxa"/>
            </w:tcMar>
            <w:vAlign w:val="center"/>
          </w:tcPr>
          <w:p>
            <w:pPr>
              <w:pStyle w:val="TableContents"/>
              <w:bidi w:val="0"/>
              <w:spacing w:before="0" w:after="283"/>
              <w:jc w:val="right"/>
              <w:rPr/>
            </w:pPr>
            <w:r>
              <w:rPr/>
              <w:t>1,221,566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20" w:name="xdx_984_eus-gaap--CostOfRevenue_c2025070"/>
            <w:bookmarkEnd w:id="120"/>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1,332,681</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21" w:name="xdx_984_eus-gaap--CostOfRevenue_c2024070"/>
            <w:bookmarkEnd w:id="121"/>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1,824,742</w:t>
            </w:r>
          </w:p>
        </w:tc>
        <w:tc>
          <w:tcPr>
            <w:tcW w:w="116" w:type="dxa"/>
            <w:tcBorders/>
            <w:shd w:fill="EEEEEE" w:val="clear"/>
            <w:vAlign w:val="center"/>
          </w:tcPr>
          <w:p>
            <w:pPr>
              <w:pStyle w:val="TableContents"/>
              <w:bidi w:val="0"/>
              <w:spacing w:before="0" w:after="283"/>
              <w:jc w:val="left"/>
              <w:rPr/>
            </w:pPr>
            <w:r>
              <w:rPr/>
              <w:t> </w:t>
            </w:r>
            <w:bookmarkStart w:id="122" w:name="xdx_402_eus-gaap--CostOfRevenue_msGPzwT9"/>
            <w:bookmarkEnd w:id="122"/>
          </w:p>
        </w:tc>
      </w:tr>
      <w:tr>
        <w:trPr/>
        <w:tc>
          <w:tcPr>
            <w:tcW w:w="3797" w:type="dxa"/>
            <w:tcBorders/>
            <w:shd w:fill="FFFFFF" w:val="clear"/>
            <w:vAlign w:val="center"/>
          </w:tcPr>
          <w:p>
            <w:pPr>
              <w:pStyle w:val="TableContents"/>
              <w:bidi w:val="0"/>
              <w:spacing w:before="0" w:after="283"/>
              <w:jc w:val="left"/>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3,994,680</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10,682,685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11,205,623</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21,203,309</w:t>
            </w:r>
          </w:p>
        </w:tc>
        <w:tc>
          <w:tcPr>
            <w:tcW w:w="116" w:type="dxa"/>
            <w:tcBorders/>
            <w:shd w:fill="FFFFFF" w:val="clear"/>
            <w:vAlign w:val="center"/>
          </w:tcPr>
          <w:p>
            <w:pPr>
              <w:pStyle w:val="TableContents"/>
              <w:bidi w:val="0"/>
              <w:spacing w:before="0" w:after="283"/>
              <w:jc w:val="left"/>
              <w:rPr/>
            </w:pPr>
            <w:r>
              <w:rPr/>
              <w:t> </w:t>
            </w:r>
          </w:p>
        </w:tc>
      </w:tr>
      <w:tr>
        <w:trPr/>
        <w:tc>
          <w:tcPr>
            <w:tcW w:w="379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bookmarkStart w:id="123" w:name="xdx_406_eus-gaap--GrossProfit_iT_pp0p0_m"/>
            <w:bookmarkEnd w:id="123"/>
          </w:p>
        </w:tc>
      </w:tr>
      <w:tr>
        <w:trPr/>
        <w:tc>
          <w:tcPr>
            <w:tcW w:w="3797"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3,138,922</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8,389,886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7,945,446</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16,877,783</w:t>
            </w:r>
          </w:p>
        </w:tc>
        <w:tc>
          <w:tcPr>
            <w:tcW w:w="116" w:type="dxa"/>
            <w:tcBorders/>
            <w:shd w:fill="FFFFFF" w:val="clear"/>
            <w:vAlign w:val="center"/>
          </w:tcPr>
          <w:p>
            <w:pPr>
              <w:pStyle w:val="TableContents"/>
              <w:bidi w:val="0"/>
              <w:spacing w:before="0" w:after="283"/>
              <w:jc w:val="left"/>
              <w:rPr/>
            </w:pPr>
            <w:r>
              <w:rPr/>
              <w:t> </w:t>
            </w:r>
          </w:p>
        </w:tc>
      </w:tr>
      <w:tr>
        <w:trPr/>
        <w:tc>
          <w:tcPr>
            <w:tcW w:w="379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bookmarkStart w:id="124" w:name="xdx_40F_eus-gaap--OperatingExpensesAbstr"/>
            <w:bookmarkEnd w:id="124"/>
          </w:p>
        </w:tc>
      </w:tr>
      <w:tr>
        <w:trPr/>
        <w:tc>
          <w:tcPr>
            <w:tcW w:w="3797"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25" w:name="xdx_402_eus-gaap--OtherSellingGeneralAnd"/>
            <w:bookmarkEnd w:id="125"/>
          </w:p>
        </w:tc>
      </w:tr>
      <w:tr>
        <w:trPr/>
        <w:tc>
          <w:tcPr>
            <w:tcW w:w="3797" w:type="dxa"/>
            <w:tcBorders/>
            <w:shd w:fill="EEEEEE" w:val="clear"/>
            <w:vAlign w:val="center"/>
          </w:tcPr>
          <w:p>
            <w:pPr>
              <w:pStyle w:val="TableContents"/>
              <w:bidi w:val="0"/>
              <w:spacing w:before="0" w:after="283"/>
              <w:jc w:val="left"/>
              <w:rPr/>
            </w:pPr>
            <w:r>
              <w:rPr/>
              <w:t>Selling and fulfillment</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3,075,161</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4,628,914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8,255,351</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10,543,722</w:t>
            </w:r>
          </w:p>
        </w:tc>
        <w:tc>
          <w:tcPr>
            <w:tcW w:w="116" w:type="dxa"/>
            <w:tcBorders/>
            <w:shd w:fill="EEEEEE" w:val="clear"/>
            <w:vAlign w:val="center"/>
          </w:tcPr>
          <w:p>
            <w:pPr>
              <w:pStyle w:val="TableContents"/>
              <w:bidi w:val="0"/>
              <w:spacing w:before="0" w:after="283"/>
              <w:jc w:val="left"/>
              <w:rPr/>
            </w:pPr>
            <w:r>
              <w:rPr/>
              <w:t> </w:t>
            </w:r>
            <w:bookmarkStart w:id="126" w:name="xdx_404_eus-gaap--SellingGeneralAndAdmin"/>
            <w:bookmarkEnd w:id="126"/>
          </w:p>
        </w:tc>
      </w:tr>
      <w:tr>
        <w:trPr/>
        <w:tc>
          <w:tcPr>
            <w:tcW w:w="3797"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2,501,738</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3,077,365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3,823,251</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8,396,888</w:t>
            </w:r>
          </w:p>
        </w:tc>
        <w:tc>
          <w:tcPr>
            <w:tcW w:w="116" w:type="dxa"/>
            <w:tcBorders/>
            <w:shd w:fill="FFFFFF" w:val="clear"/>
            <w:vAlign w:val="center"/>
          </w:tcPr>
          <w:p>
            <w:pPr>
              <w:pStyle w:val="TableContents"/>
              <w:bidi w:val="0"/>
              <w:spacing w:before="0" w:after="283"/>
              <w:jc w:val="left"/>
              <w:rPr/>
            </w:pPr>
            <w:r>
              <w:rPr/>
              <w:t> </w:t>
            </w:r>
            <w:bookmarkStart w:id="127" w:name="xdx_405_eus-gaap--OperatingExpenses_i01T"/>
            <w:bookmarkEnd w:id="127"/>
          </w:p>
        </w:tc>
      </w:tr>
      <w:tr>
        <w:trPr/>
        <w:tc>
          <w:tcPr>
            <w:tcW w:w="3797" w:type="dxa"/>
            <w:tcBorders/>
            <w:shd w:fill="EEEEEE" w:val="clear"/>
            <w:vAlign w:val="center"/>
          </w:tcPr>
          <w:p>
            <w:pPr>
              <w:pStyle w:val="TableContents"/>
              <w:bidi w:val="0"/>
              <w:spacing w:before="0" w:after="283"/>
              <w:jc w:val="left"/>
              <w:rPr/>
            </w:pPr>
            <w:r>
              <w:rPr/>
              <w:t>Total operating expenses</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EEEEEE" w:val="clear"/>
            <w:tcMar>
              <w:bottom w:w="28" w:type="dxa"/>
            </w:tcMar>
            <w:vAlign w:val="center"/>
          </w:tcPr>
          <w:p>
            <w:pPr>
              <w:pStyle w:val="TableContents"/>
              <w:bidi w:val="0"/>
              <w:spacing w:before="0" w:after="283"/>
              <w:jc w:val="right"/>
              <w:rPr/>
            </w:pPr>
            <w:r>
              <w:rPr/>
              <w:t>5,576,899</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EEEEEE" w:val="clear"/>
            <w:tcMar>
              <w:bottom w:w="28" w:type="dxa"/>
            </w:tcMar>
            <w:vAlign w:val="center"/>
          </w:tcPr>
          <w:p>
            <w:pPr>
              <w:pStyle w:val="TableContents"/>
              <w:bidi w:val="0"/>
              <w:spacing w:before="0" w:after="283"/>
              <w:jc w:val="right"/>
              <w:rPr/>
            </w:pPr>
            <w:r>
              <w:rPr/>
              <w:t>7,706,279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12,078,602</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18,940,610</w:t>
            </w:r>
          </w:p>
        </w:tc>
        <w:tc>
          <w:tcPr>
            <w:tcW w:w="116" w:type="dxa"/>
            <w:tcBorders/>
            <w:shd w:fill="EEEEEE"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28" w:name="xdx_400_eus-gaap--OperatingIncomeLoss_i0"/>
            <w:bookmarkEnd w:id="128"/>
          </w:p>
        </w:tc>
      </w:tr>
      <w:tr>
        <w:trPr/>
        <w:tc>
          <w:tcPr>
            <w:tcW w:w="3797" w:type="dxa"/>
            <w:tcBorders/>
            <w:shd w:fill="EEEEEE" w:val="clear"/>
            <w:vAlign w:val="center"/>
          </w:tcPr>
          <w:p>
            <w:pPr>
              <w:pStyle w:val="TableContents"/>
              <w:bidi w:val="0"/>
              <w:spacing w:before="0" w:after="283"/>
              <w:jc w:val="left"/>
              <w:rPr/>
            </w:pPr>
            <w:r>
              <w:rPr/>
              <w:t>INCOME (LOSS) FROM OPERATIONS</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EEEEEE" w:val="clear"/>
            <w:tcMar>
              <w:bottom w:w="28" w:type="dxa"/>
            </w:tcMar>
            <w:vAlign w:val="center"/>
          </w:tcPr>
          <w:p>
            <w:pPr>
              <w:pStyle w:val="TableContents"/>
              <w:bidi w:val="0"/>
              <w:spacing w:before="0" w:after="283"/>
              <w:jc w:val="right"/>
              <w:rPr/>
            </w:pPr>
            <w:r>
              <w:rPr/>
              <w:t>(2,437,977</w:t>
            </w:r>
          </w:p>
        </w:tc>
        <w:tc>
          <w:tcPr>
            <w:tcW w:w="112" w:type="dxa"/>
            <w:tcBorders/>
            <w:shd w:fill="EEEEEE" w:val="clear"/>
            <w:vAlign w:val="center"/>
          </w:tcPr>
          <w:p>
            <w:pPr>
              <w:pStyle w:val="TableContents"/>
              <w:bidi w:val="0"/>
              <w:spacing w:before="0" w:after="283"/>
              <w:jc w:val="left"/>
              <w:rPr/>
            </w:pPr>
            <w:r>
              <w:rPr/>
              <w:t>)</w:t>
            </w:r>
          </w:p>
        </w:tc>
        <w:tc>
          <w:tcPr>
            <w:tcW w:w="7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EEEEEE" w:val="clear"/>
            <w:tcMar>
              <w:bottom w:w="28" w:type="dxa"/>
            </w:tcMar>
            <w:vAlign w:val="center"/>
          </w:tcPr>
          <w:p>
            <w:pPr>
              <w:pStyle w:val="TableContents"/>
              <w:bidi w:val="0"/>
              <w:spacing w:before="0" w:after="283"/>
              <w:jc w:val="right"/>
              <w:rPr/>
            </w:pPr>
            <w:r>
              <w:rPr/>
              <w:t>683,607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(4,133,156</w:t>
            </w:r>
          </w:p>
        </w:tc>
        <w:tc>
          <w:tcPr>
            <w:tcW w:w="108" w:type="dxa"/>
            <w:tcBorders/>
            <w:shd w:fill="EEEEEE" w:val="clear"/>
            <w:vAlign w:val="center"/>
          </w:tcPr>
          <w:p>
            <w:pPr>
              <w:pStyle w:val="TableContents"/>
              <w:bidi w:val="0"/>
              <w:spacing w:before="0" w:after="283"/>
              <w:jc w:val="left"/>
              <w:rPr/>
            </w:pPr>
            <w:r>
              <w:rPr/>
              <w:t>)</w:t>
            </w:r>
          </w:p>
        </w:tc>
        <w:tc>
          <w:tcPr>
            <w:tcW w:w="68"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(2,062,827</w:t>
            </w:r>
          </w:p>
        </w:tc>
        <w:tc>
          <w:tcPr>
            <w:tcW w:w="116" w:type="dxa"/>
            <w:tcBorders/>
            <w:shd w:fill="EEEEEE" w:val="clear"/>
            <w:vAlign w:val="center"/>
          </w:tcPr>
          <w:p>
            <w:pPr>
              <w:pStyle w:val="TableContents"/>
              <w:bidi w:val="0"/>
              <w:spacing w:before="0" w:after="283"/>
              <w:jc w:val="left"/>
              <w:rPr/>
            </w:pPr>
            <w:r>
              <w:rPr/>
              <w:t>)</w:t>
            </w:r>
          </w:p>
        </w:tc>
      </w:tr>
      <w:tr>
        <w:trPr/>
        <w:tc>
          <w:tcPr>
            <w:tcW w:w="37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29" w:name="xdx_40F_eus-gaap--NonoperatingIncomeExpe"/>
            <w:bookmarkEnd w:id="129"/>
          </w:p>
        </w:tc>
      </w:tr>
      <w:tr>
        <w:trPr/>
        <w:tc>
          <w:tcPr>
            <w:tcW w:w="3797" w:type="dxa"/>
            <w:tcBorders/>
            <w:shd w:fill="EEEEEE" w:val="clear"/>
            <w:vAlign w:val="center"/>
          </w:tcPr>
          <w:p>
            <w:pPr>
              <w:pStyle w:val="TableContents"/>
              <w:bidi w:val="0"/>
              <w:spacing w:before="0" w:after="283"/>
              <w:jc w:val="left"/>
              <w:rPr/>
            </w:pPr>
            <w:r>
              <w:rPr/>
              <w:t>OTHER INCOME (EXPENSE)</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bookmarkStart w:id="130" w:name="xdx_40F_eus-gaap--InterestIncomeExpenseN"/>
            <w:bookmarkEnd w:id="130"/>
          </w:p>
        </w:tc>
      </w:tr>
      <w:tr>
        <w:trPr/>
        <w:tc>
          <w:tcPr>
            <w:tcW w:w="3797"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(167,222</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(140,672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(228,941</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(280,634</w:t>
            </w:r>
          </w:p>
        </w:tc>
        <w:tc>
          <w:tcPr>
            <w:tcW w:w="116" w:type="dxa"/>
            <w:tcBorders/>
            <w:shd w:fill="FFFFFF" w:val="clear"/>
            <w:vAlign w:val="center"/>
          </w:tcPr>
          <w:p>
            <w:pPr>
              <w:pStyle w:val="TableContents"/>
              <w:bidi w:val="0"/>
              <w:spacing w:before="0" w:after="283"/>
              <w:jc w:val="left"/>
              <w:rPr/>
            </w:pPr>
            <w:r>
              <w:rPr/>
              <w:t>)</w:t>
            </w:r>
            <w:bookmarkStart w:id="131" w:name="xdx_405_eus-gaap--EquitySecuritiesFvNiGa"/>
            <w:bookmarkEnd w:id="131"/>
          </w:p>
        </w:tc>
      </w:tr>
      <w:tr>
        <w:trPr/>
        <w:tc>
          <w:tcPr>
            <w:tcW w:w="3797" w:type="dxa"/>
            <w:tcBorders/>
            <w:shd w:fill="EEEEEE" w:val="clear"/>
            <w:vAlign w:val="center"/>
          </w:tcPr>
          <w:p>
            <w:pPr>
              <w:pStyle w:val="TableContents"/>
              <w:bidi w:val="0"/>
              <w:spacing w:before="0" w:after="283"/>
              <w:jc w:val="left"/>
              <w:rPr/>
            </w:pPr>
            <w:r>
              <w:rPr/>
              <w:t>Loss on equity method investment</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(802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(1,721</w:t>
            </w:r>
          </w:p>
        </w:tc>
        <w:tc>
          <w:tcPr>
            <w:tcW w:w="116" w:type="dxa"/>
            <w:tcBorders/>
            <w:shd w:fill="EEEEEE" w:val="clear"/>
            <w:vAlign w:val="center"/>
          </w:tcPr>
          <w:p>
            <w:pPr>
              <w:pStyle w:val="TableContents"/>
              <w:bidi w:val="0"/>
              <w:spacing w:before="0" w:after="283"/>
              <w:jc w:val="left"/>
              <w:rPr/>
            </w:pPr>
            <w:r>
              <w:rPr/>
              <w:t>)</w:t>
            </w:r>
            <w:bookmarkStart w:id="132" w:name="xdx_407_eus-gaap--DeconsolidationGainOrL"/>
            <w:bookmarkEnd w:id="132"/>
          </w:p>
        </w:tc>
      </w:tr>
      <w:tr>
        <w:trPr/>
        <w:tc>
          <w:tcPr>
            <w:tcW w:w="3797" w:type="dxa"/>
            <w:tcBorders/>
            <w:shd w:fill="FFFFFF" w:val="clear"/>
            <w:vAlign w:val="center"/>
          </w:tcPr>
          <w:p>
            <w:pPr>
              <w:pStyle w:val="TableContents"/>
              <w:bidi w:val="0"/>
              <w:spacing w:before="0" w:after="283"/>
              <w:jc w:val="left"/>
              <w:rPr/>
            </w:pPr>
            <w:r>
              <w:rPr/>
              <w:t>Loss on deconsolidation of VIE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(39,624</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133" w:name="xdx_40A_eus-gaap--GainLossOnSaleOfOtherA"/>
            <w:bookmarkEnd w:id="133"/>
          </w:p>
        </w:tc>
      </w:tr>
      <w:tr>
        <w:trPr/>
        <w:tc>
          <w:tcPr>
            <w:tcW w:w="3797" w:type="dxa"/>
            <w:tcBorders/>
            <w:shd w:fill="EEEEEE" w:val="clear"/>
            <w:vAlign w:val="center"/>
          </w:tcPr>
          <w:p>
            <w:pPr>
              <w:pStyle w:val="TableContents"/>
              <w:bidi w:val="0"/>
              <w:spacing w:before="0" w:after="283"/>
              <w:jc w:val="left"/>
              <w:rPr/>
            </w:pPr>
            <w:r>
              <w:rPr/>
              <w:t>Unrealized gain (loss) on digital assets</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5,759</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5,759</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w:t>
            </w:r>
          </w:p>
        </w:tc>
        <w:tc>
          <w:tcPr>
            <w:tcW w:w="116" w:type="dxa"/>
            <w:tcBorders/>
            <w:shd w:fill="EEEEEE" w:val="clear"/>
            <w:vAlign w:val="center"/>
          </w:tcPr>
          <w:p>
            <w:pPr>
              <w:pStyle w:val="TableContents"/>
              <w:bidi w:val="0"/>
              <w:spacing w:before="0" w:after="283"/>
              <w:jc w:val="left"/>
              <w:rPr/>
            </w:pPr>
            <w:r>
              <w:rPr/>
              <w:t> </w:t>
            </w:r>
            <w:bookmarkStart w:id="134" w:name="xdx_40D_eus-gaap--DerivativeGainLossOnDe"/>
            <w:bookmarkEnd w:id="134"/>
          </w:p>
        </w:tc>
      </w:tr>
      <w:tr>
        <w:trPr/>
        <w:tc>
          <w:tcPr>
            <w:tcW w:w="3797"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176,600</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176,600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135" w:name="xdx_40A_eus-gaap--GainsLossesOnExtinguis"/>
            <w:bookmarkEnd w:id="135"/>
          </w:p>
        </w:tc>
      </w:tr>
      <w:tr>
        <w:trPr/>
        <w:tc>
          <w:tcPr>
            <w:tcW w:w="3797" w:type="dxa"/>
            <w:tcBorders/>
            <w:shd w:fill="EEEEEE" w:val="clear"/>
            <w:vAlign w:val="center"/>
          </w:tcPr>
          <w:p>
            <w:pPr>
              <w:pStyle w:val="TableContents"/>
              <w:bidi w:val="0"/>
              <w:spacing w:before="0" w:after="283"/>
              <w:jc w:val="left"/>
              <w:rPr/>
            </w:pPr>
            <w:r>
              <w:rPr/>
              <w:t>Loss on extinguishment of debt</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(24,100</w:t>
            </w:r>
          </w:p>
        </w:tc>
        <w:tc>
          <w:tcPr>
            <w:tcW w:w="112" w:type="dxa"/>
            <w:tcBorders/>
            <w:shd w:fill="EEEEEE" w:val="clear"/>
            <w:vAlign w:val="center"/>
          </w:tcPr>
          <w:p>
            <w:pPr>
              <w:pStyle w:val="TableContents"/>
              <w:bidi w:val="0"/>
              <w:spacing w:before="0" w:after="283"/>
              <w:jc w:val="left"/>
              <w:rPr/>
            </w:pPr>
            <w:r>
              <w:rPr/>
              <w:t>)</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(24,100</w:t>
            </w:r>
          </w:p>
        </w:tc>
        <w:tc>
          <w:tcPr>
            <w:tcW w:w="108" w:type="dxa"/>
            <w:tcBorders/>
            <w:shd w:fill="EEEEEE" w:val="clear"/>
            <w:vAlign w:val="center"/>
          </w:tcPr>
          <w:p>
            <w:pPr>
              <w:pStyle w:val="TableContents"/>
              <w:bidi w:val="0"/>
              <w:spacing w:before="0" w:after="283"/>
              <w:jc w:val="left"/>
              <w:rPr/>
            </w:pPr>
            <w:r>
              <w:rPr/>
              <w:t>)</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w:t>
            </w:r>
          </w:p>
        </w:tc>
        <w:tc>
          <w:tcPr>
            <w:tcW w:w="116" w:type="dxa"/>
            <w:tcBorders/>
            <w:shd w:fill="EEEEEE" w:val="clear"/>
            <w:vAlign w:val="center"/>
          </w:tcPr>
          <w:p>
            <w:pPr>
              <w:pStyle w:val="TableContents"/>
              <w:bidi w:val="0"/>
              <w:spacing w:before="0" w:after="283"/>
              <w:jc w:val="left"/>
              <w:rPr/>
            </w:pPr>
            <w:r>
              <w:rPr/>
              <w:t> </w:t>
            </w:r>
            <w:bookmarkStart w:id="136" w:name="xdx_40E_eus-gaap--OtherNonoperatingIncom"/>
            <w:bookmarkEnd w:id="136"/>
          </w:p>
        </w:tc>
      </w:tr>
      <w:tr>
        <w:trPr/>
        <w:tc>
          <w:tcPr>
            <w:tcW w:w="3797" w:type="dxa"/>
            <w:tcBorders/>
            <w:shd w:fill="FFFFFF" w:val="clear"/>
            <w:vAlign w:val="center"/>
          </w:tcPr>
          <w:p>
            <w:pPr>
              <w:pStyle w:val="TableContents"/>
              <w:bidi w:val="0"/>
              <w:spacing w:before="0" w:after="283"/>
              <w:jc w:val="left"/>
              <w:rPr/>
            </w:pPr>
            <w:r>
              <w:rPr/>
              <w:t>Other non-operating income (expenses)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433,151</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(205,958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1,232,441</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12,728</w:t>
            </w:r>
          </w:p>
        </w:tc>
        <w:tc>
          <w:tcPr>
            <w:tcW w:w="116" w:type="dxa"/>
            <w:tcBorders/>
            <w:shd w:fill="FFFFFF" w:val="clear"/>
            <w:vAlign w:val="center"/>
          </w:tcPr>
          <w:p>
            <w:pPr>
              <w:pStyle w:val="TableContents"/>
              <w:bidi w:val="0"/>
              <w:spacing w:before="0" w:after="283"/>
              <w:jc w:val="left"/>
              <w:rPr/>
            </w:pPr>
            <w:r>
              <w:rPr/>
              <w:t> </w:t>
            </w:r>
            <w:bookmarkStart w:id="137" w:name="xdx_403_eus-gaap--NonoperatingIncomeExpe"/>
            <w:bookmarkEnd w:id="137"/>
          </w:p>
        </w:tc>
      </w:tr>
      <w:tr>
        <w:trPr/>
        <w:tc>
          <w:tcPr>
            <w:tcW w:w="3797" w:type="dxa"/>
            <w:tcBorders/>
            <w:shd w:fill="EEEEEE" w:val="clear"/>
            <w:vAlign w:val="center"/>
          </w:tcPr>
          <w:p>
            <w:pPr>
              <w:pStyle w:val="TableContents"/>
              <w:bidi w:val="0"/>
              <w:spacing w:before="0" w:after="283"/>
              <w:jc w:val="left"/>
              <w:rPr/>
            </w:pPr>
            <w:r>
              <w:rPr/>
              <w:t>Total other income (expenses), net</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EEEEEE" w:val="clear"/>
            <w:tcMar>
              <w:bottom w:w="28" w:type="dxa"/>
            </w:tcMar>
            <w:vAlign w:val="center"/>
          </w:tcPr>
          <w:p>
            <w:pPr>
              <w:pStyle w:val="TableContents"/>
              <w:bidi w:val="0"/>
              <w:spacing w:before="0" w:after="283"/>
              <w:jc w:val="right"/>
              <w:rPr/>
            </w:pPr>
            <w:r>
              <w:rPr/>
              <w:t>424,188</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EEEEEE" w:val="clear"/>
            <w:tcMar>
              <w:bottom w:w="28" w:type="dxa"/>
            </w:tcMar>
            <w:vAlign w:val="center"/>
          </w:tcPr>
          <w:p>
            <w:pPr>
              <w:pStyle w:val="TableContents"/>
              <w:bidi w:val="0"/>
              <w:spacing w:before="0" w:after="283"/>
              <w:jc w:val="right"/>
              <w:rPr/>
            </w:pPr>
            <w:r>
              <w:rPr/>
              <w:t>(347,432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1,122,135</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(269,627</w:t>
            </w:r>
          </w:p>
        </w:tc>
        <w:tc>
          <w:tcPr>
            <w:tcW w:w="116" w:type="dxa"/>
            <w:tcBorders/>
            <w:shd w:fill="EEEEEE" w:val="clear"/>
            <w:vAlign w:val="center"/>
          </w:tcPr>
          <w:p>
            <w:pPr>
              <w:pStyle w:val="TableContents"/>
              <w:bidi w:val="0"/>
              <w:spacing w:before="0" w:after="283"/>
              <w:jc w:val="left"/>
              <w:rPr/>
            </w:pPr>
            <w:r>
              <w:rPr/>
              <w:t>)</w:t>
            </w:r>
          </w:p>
        </w:tc>
      </w:tr>
      <w:tr>
        <w:trPr/>
        <w:tc>
          <w:tcPr>
            <w:tcW w:w="37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38" w:name="xdx_405_eus-gaap--IncomeLossFromContinui"/>
            <w:bookmarkEnd w:id="138"/>
          </w:p>
        </w:tc>
      </w:tr>
      <w:tr>
        <w:trPr/>
        <w:tc>
          <w:tcPr>
            <w:tcW w:w="3797" w:type="dxa"/>
            <w:tcBorders/>
            <w:shd w:fill="EEEEEE" w:val="clear"/>
            <w:vAlign w:val="center"/>
          </w:tcPr>
          <w:p>
            <w:pPr>
              <w:pStyle w:val="TableContents"/>
              <w:bidi w:val="0"/>
              <w:spacing w:before="0" w:after="283"/>
              <w:jc w:val="left"/>
              <w:rPr/>
            </w:pPr>
            <w:r>
              <w:rPr/>
              <w:t>INCOME (LOSS) BEFORE INCOME TAXES</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(2,013,789</w:t>
            </w:r>
          </w:p>
        </w:tc>
        <w:tc>
          <w:tcPr>
            <w:tcW w:w="112" w:type="dxa"/>
            <w:tcBorders/>
            <w:shd w:fill="EEEEEE" w:val="clear"/>
            <w:vAlign w:val="center"/>
          </w:tcPr>
          <w:p>
            <w:pPr>
              <w:pStyle w:val="TableContents"/>
              <w:bidi w:val="0"/>
              <w:spacing w:before="0" w:after="283"/>
              <w:jc w:val="left"/>
              <w:rPr/>
            </w:pPr>
            <w:r>
              <w:rPr/>
              <w:t>)</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336,175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(3,011,021</w:t>
            </w:r>
          </w:p>
        </w:tc>
        <w:tc>
          <w:tcPr>
            <w:tcW w:w="108" w:type="dxa"/>
            <w:tcBorders/>
            <w:shd w:fill="EEEEEE" w:val="clear"/>
            <w:vAlign w:val="center"/>
          </w:tcPr>
          <w:p>
            <w:pPr>
              <w:pStyle w:val="TableContents"/>
              <w:bidi w:val="0"/>
              <w:spacing w:before="0" w:after="283"/>
              <w:jc w:val="left"/>
              <w:rPr/>
            </w:pPr>
            <w:r>
              <w:rPr/>
              <w:t>)</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(2,332,454</w:t>
            </w:r>
          </w:p>
        </w:tc>
        <w:tc>
          <w:tcPr>
            <w:tcW w:w="116" w:type="dxa"/>
            <w:tcBorders/>
            <w:shd w:fill="EEEEEE" w:val="clear"/>
            <w:vAlign w:val="center"/>
          </w:tcPr>
          <w:p>
            <w:pPr>
              <w:pStyle w:val="TableContents"/>
              <w:bidi w:val="0"/>
              <w:spacing w:before="0" w:after="283"/>
              <w:jc w:val="left"/>
              <w:rPr/>
            </w:pPr>
            <w:r>
              <w:rPr/>
              <w:t>)</w:t>
            </w:r>
          </w:p>
        </w:tc>
      </w:tr>
      <w:tr>
        <w:trPr/>
        <w:tc>
          <w:tcPr>
            <w:tcW w:w="37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39" w:name="xdx_400_eus-gaap--IncomeTaxExpenseBenefi"/>
            <w:bookmarkEnd w:id="139"/>
          </w:p>
        </w:tc>
      </w:tr>
      <w:tr>
        <w:trPr/>
        <w:tc>
          <w:tcPr>
            <w:tcW w:w="3797" w:type="dxa"/>
            <w:tcBorders/>
            <w:shd w:fill="EEEEEE" w:val="clear"/>
            <w:vAlign w:val="center"/>
          </w:tcPr>
          <w:p>
            <w:pPr>
              <w:pStyle w:val="TableContents"/>
              <w:bidi w:val="0"/>
              <w:spacing w:before="0" w:after="283"/>
              <w:jc w:val="left"/>
              <w:rPr/>
            </w:pPr>
            <w:r>
              <w:rPr/>
              <w:t>PROVISION FOR INCOME TAX EXPENSE (BENEFIT)</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EEEEEE" w:val="clear"/>
            <w:tcMar>
              <w:bottom w:w="28" w:type="dxa"/>
            </w:tcMar>
            <w:vAlign w:val="center"/>
          </w:tcPr>
          <w:p>
            <w:pPr>
              <w:pStyle w:val="TableContents"/>
              <w:bidi w:val="0"/>
              <w:spacing w:before="0" w:after="283"/>
              <w:jc w:val="right"/>
              <w:rPr/>
            </w:pPr>
            <w:r>
              <w:rPr/>
              <w:t>(820,508</w:t>
            </w:r>
          </w:p>
        </w:tc>
        <w:tc>
          <w:tcPr>
            <w:tcW w:w="112" w:type="dxa"/>
            <w:tcBorders/>
            <w:shd w:fill="EEEEEE" w:val="clear"/>
            <w:vAlign w:val="center"/>
          </w:tcPr>
          <w:p>
            <w:pPr>
              <w:pStyle w:val="TableContents"/>
              <w:bidi w:val="0"/>
              <w:spacing w:before="0" w:after="283"/>
              <w:jc w:val="left"/>
              <w:rPr/>
            </w:pPr>
            <w:r>
              <w:rPr/>
              <w:t>)</w:t>
            </w:r>
          </w:p>
        </w:tc>
        <w:tc>
          <w:tcPr>
            <w:tcW w:w="7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EEEEEE" w:val="clear"/>
            <w:tcMar>
              <w:bottom w:w="28" w:type="dxa"/>
            </w:tcMar>
            <w:vAlign w:val="center"/>
          </w:tcPr>
          <w:p>
            <w:pPr>
              <w:pStyle w:val="TableContents"/>
              <w:bidi w:val="0"/>
              <w:spacing w:before="0" w:after="283"/>
              <w:jc w:val="right"/>
              <w:rPr/>
            </w:pPr>
            <w:r>
              <w:rPr/>
              <w:t>120,511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(1,284,092</w:t>
            </w:r>
          </w:p>
        </w:tc>
        <w:tc>
          <w:tcPr>
            <w:tcW w:w="108" w:type="dxa"/>
            <w:tcBorders/>
            <w:shd w:fill="EEEEEE" w:val="clear"/>
            <w:vAlign w:val="center"/>
          </w:tcPr>
          <w:p>
            <w:pPr>
              <w:pStyle w:val="TableContents"/>
              <w:bidi w:val="0"/>
              <w:spacing w:before="0" w:after="283"/>
              <w:jc w:val="left"/>
              <w:rPr/>
            </w:pPr>
            <w:r>
              <w:rPr/>
              <w:t>)</w:t>
            </w:r>
          </w:p>
        </w:tc>
        <w:tc>
          <w:tcPr>
            <w:tcW w:w="68"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(516,001</w:t>
            </w:r>
          </w:p>
        </w:tc>
        <w:tc>
          <w:tcPr>
            <w:tcW w:w="116" w:type="dxa"/>
            <w:tcBorders/>
            <w:shd w:fill="EEEEEE" w:val="clear"/>
            <w:vAlign w:val="center"/>
          </w:tcPr>
          <w:p>
            <w:pPr>
              <w:pStyle w:val="TableContents"/>
              <w:bidi w:val="0"/>
              <w:spacing w:before="0" w:after="283"/>
              <w:jc w:val="left"/>
              <w:rPr/>
            </w:pPr>
            <w:r>
              <w:rPr/>
              <w:t>)</w:t>
            </w:r>
            <w:bookmarkStart w:id="140" w:name="xdx_40B_eus-gaap--ProfitLoss_i01T_pp0p0_"/>
            <w:bookmarkEnd w:id="140"/>
          </w:p>
        </w:tc>
      </w:tr>
      <w:tr>
        <w:trPr/>
        <w:tc>
          <w:tcPr>
            <w:tcW w:w="3797"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(1,193,281</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215,664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(1,726,929</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(1,816,453</w:t>
            </w:r>
          </w:p>
        </w:tc>
        <w:tc>
          <w:tcPr>
            <w:tcW w:w="116" w:type="dxa"/>
            <w:tcBorders/>
            <w:shd w:fill="FFFFFF" w:val="clear"/>
            <w:vAlign w:val="center"/>
          </w:tcPr>
          <w:p>
            <w:pPr>
              <w:pStyle w:val="TableContents"/>
              <w:bidi w:val="0"/>
              <w:spacing w:before="0" w:after="283"/>
              <w:jc w:val="left"/>
              <w:rPr/>
            </w:pPr>
            <w:r>
              <w:rPr/>
              <w:t>)</w:t>
            </w:r>
          </w:p>
        </w:tc>
      </w:tr>
      <w:tr>
        <w:trPr/>
        <w:tc>
          <w:tcPr>
            <w:tcW w:w="379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bookmarkStart w:id="141" w:name="xdx_408_eus-gaap--NetIncomeLossAttributa"/>
            <w:bookmarkEnd w:id="141"/>
          </w:p>
        </w:tc>
      </w:tr>
      <w:tr>
        <w:trPr/>
        <w:tc>
          <w:tcPr>
            <w:tcW w:w="3797"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(3,155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(5,991</w:t>
            </w:r>
          </w:p>
        </w:tc>
        <w:tc>
          <w:tcPr>
            <w:tcW w:w="116" w:type="dxa"/>
            <w:tcBorders/>
            <w:shd w:fill="FFFFFF" w:val="clear"/>
            <w:vAlign w:val="center"/>
          </w:tcPr>
          <w:p>
            <w:pPr>
              <w:pStyle w:val="TableContents"/>
              <w:bidi w:val="0"/>
              <w:spacing w:before="0" w:after="283"/>
              <w:jc w:val="left"/>
              <w:rPr/>
            </w:pPr>
            <w:r>
              <w:rPr/>
              <w:t>)</w:t>
            </w:r>
          </w:p>
        </w:tc>
      </w:tr>
      <w:tr>
        <w:trPr/>
        <w:tc>
          <w:tcPr>
            <w:tcW w:w="379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ind w:left="0" w:right="0" w:hanging="200"/>
              <w:jc w:val="left"/>
              <w:rPr/>
            </w:pPr>
            <w:r>
              <w:rPr/>
              <w:t> </w:t>
            </w:r>
            <w:bookmarkStart w:id="142" w:name="xdx_406_eus-gaap--NetIncomeLossAvailable"/>
            <w:bookmarkEnd w:id="142"/>
          </w:p>
        </w:tc>
      </w:tr>
      <w:tr>
        <w:trPr/>
        <w:tc>
          <w:tcPr>
            <w:tcW w:w="3797" w:type="dxa"/>
            <w:tcBorders/>
            <w:shd w:fill="FFFFFF" w:val="clear"/>
            <w:vAlign w:val="center"/>
          </w:tcPr>
          <w:p>
            <w:pPr>
              <w:pStyle w:val="TableContents"/>
              <w:bidi w:val="0"/>
              <w:spacing w:before="0" w:after="283"/>
              <w:jc w:val="left"/>
              <w:rPr/>
            </w:pPr>
            <w:r>
              <w:rPr/>
              <w:t>NET INCOME (LOSS) ATTRIBUTABLE TO IPOWER INC.</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247" w:type="dxa"/>
            <w:tcBorders/>
            <w:shd w:fill="FFFFFF" w:val="clear"/>
            <w:vAlign w:val="center"/>
          </w:tcPr>
          <w:p>
            <w:pPr>
              <w:pStyle w:val="TableContents"/>
              <w:bidi w:val="0"/>
              <w:spacing w:before="0" w:after="283"/>
              <w:jc w:val="right"/>
              <w:rPr/>
            </w:pPr>
            <w:r>
              <w:rPr/>
              <w:t>(1,193,281</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300" w:type="dxa"/>
            <w:tcBorders/>
            <w:shd w:fill="FFFFFF" w:val="clear"/>
            <w:vAlign w:val="center"/>
          </w:tcPr>
          <w:p>
            <w:pPr>
              <w:pStyle w:val="TableContents"/>
              <w:bidi w:val="0"/>
              <w:spacing w:before="0" w:after="283"/>
              <w:jc w:val="right"/>
              <w:rPr/>
            </w:pPr>
            <w:r>
              <w:rPr/>
              <w:t>218,819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1261" w:type="dxa"/>
            <w:tcBorders/>
            <w:shd w:fill="FFFFFF" w:val="clear"/>
            <w:vAlign w:val="center"/>
          </w:tcPr>
          <w:p>
            <w:pPr>
              <w:pStyle w:val="TableContents"/>
              <w:bidi w:val="0"/>
              <w:spacing w:before="0" w:after="283"/>
              <w:jc w:val="right"/>
              <w:rPr/>
            </w:pPr>
            <w:r>
              <w:rPr/>
              <w:t>(1,726,929</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1261" w:type="dxa"/>
            <w:tcBorders/>
            <w:shd w:fill="FFFFFF" w:val="clear"/>
            <w:vAlign w:val="center"/>
          </w:tcPr>
          <w:p>
            <w:pPr>
              <w:pStyle w:val="TableContents"/>
              <w:bidi w:val="0"/>
              <w:spacing w:before="0" w:after="283"/>
              <w:jc w:val="right"/>
              <w:rPr/>
            </w:pPr>
            <w:r>
              <w:rPr/>
              <w:t>(1,810,462</w:t>
            </w:r>
          </w:p>
        </w:tc>
        <w:tc>
          <w:tcPr>
            <w:tcW w:w="116" w:type="dxa"/>
            <w:tcBorders/>
            <w:shd w:fill="FFFFFF" w:val="clear"/>
            <w:vAlign w:val="center"/>
          </w:tcPr>
          <w:p>
            <w:pPr>
              <w:pStyle w:val="TableContents"/>
              <w:bidi w:val="0"/>
              <w:spacing w:before="0" w:after="283"/>
              <w:jc w:val="left"/>
              <w:rPr/>
            </w:pPr>
            <w:r>
              <w:rPr/>
              <w:t>)</w:t>
            </w:r>
          </w:p>
        </w:tc>
      </w:tr>
      <w:tr>
        <w:trPr/>
        <w:tc>
          <w:tcPr>
            <w:tcW w:w="379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bookmarkStart w:id="143" w:name="xdx_406_eus-gaap--OtherComprehensiveInco"/>
            <w:bookmarkEnd w:id="143"/>
          </w:p>
        </w:tc>
      </w:tr>
      <w:tr>
        <w:trPr/>
        <w:tc>
          <w:tcPr>
            <w:tcW w:w="3797" w:type="dxa"/>
            <w:tcBorders/>
            <w:shd w:fill="FFFFFF" w:val="clear"/>
            <w:vAlign w:val="center"/>
          </w:tcPr>
          <w:p>
            <w:pPr>
              <w:pStyle w:val="TableContents"/>
              <w:bidi w:val="0"/>
              <w:spacing w:before="0" w:after="283"/>
              <w:jc w:val="left"/>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44" w:name="xdx_402_eus-gaap--OtherComprehensiveInco"/>
            <w:bookmarkEnd w:id="144"/>
          </w:p>
        </w:tc>
      </w:tr>
      <w:tr>
        <w:trPr/>
        <w:tc>
          <w:tcPr>
            <w:tcW w:w="3797" w:type="dxa"/>
            <w:tcBorders/>
            <w:shd w:fill="EEEEEE" w:val="clear"/>
            <w:vAlign w:val="center"/>
          </w:tcPr>
          <w:p>
            <w:pPr>
              <w:pStyle w:val="TableContents"/>
              <w:bidi w:val="0"/>
              <w:spacing w:before="0" w:after="283"/>
              <w:jc w:val="left"/>
              <w:rPr/>
            </w:pPr>
            <w:r>
              <w:rPr/>
              <w:t>Foreign currency translation adjustments</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EEEEEE" w:val="clear"/>
            <w:tcMar>
              <w:bottom w:w="28" w:type="dxa"/>
            </w:tcMar>
            <w:vAlign w:val="center"/>
          </w:tcPr>
          <w:p>
            <w:pPr>
              <w:pStyle w:val="TableContents"/>
              <w:bidi w:val="0"/>
              <w:spacing w:before="0" w:after="283"/>
              <w:jc w:val="right"/>
              <w:rPr/>
            </w:pPr>
            <w:r>
              <w:rPr/>
              <w:t>(379</w:t>
            </w:r>
          </w:p>
        </w:tc>
        <w:tc>
          <w:tcPr>
            <w:tcW w:w="112" w:type="dxa"/>
            <w:tcBorders/>
            <w:shd w:fill="EEEEEE" w:val="clear"/>
            <w:vAlign w:val="center"/>
          </w:tcPr>
          <w:p>
            <w:pPr>
              <w:pStyle w:val="TableContents"/>
              <w:bidi w:val="0"/>
              <w:spacing w:before="0" w:after="283"/>
              <w:jc w:val="left"/>
              <w:rPr/>
            </w:pPr>
            <w:r>
              <w:rPr/>
              <w:t>)</w:t>
            </w:r>
          </w:p>
        </w:tc>
        <w:tc>
          <w:tcPr>
            <w:tcW w:w="7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EEEEEE" w:val="clear"/>
            <w:tcMar>
              <w:bottom w:w="28" w:type="dxa"/>
            </w:tcMar>
            <w:vAlign w:val="center"/>
          </w:tcPr>
          <w:p>
            <w:pPr>
              <w:pStyle w:val="TableContents"/>
              <w:bidi w:val="0"/>
              <w:spacing w:before="0" w:after="283"/>
              <w:jc w:val="right"/>
              <w:rPr/>
            </w:pPr>
            <w:r>
              <w:rPr/>
              <w:t>156,130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24,564</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EEEEEE" w:val="clear"/>
            <w:tcMar>
              <w:bottom w:w="28" w:type="dxa"/>
            </w:tcMar>
            <w:vAlign w:val="center"/>
          </w:tcPr>
          <w:p>
            <w:pPr>
              <w:pStyle w:val="TableContents"/>
              <w:bidi w:val="0"/>
              <w:spacing w:before="0" w:after="283"/>
              <w:jc w:val="right"/>
              <w:rPr/>
            </w:pPr>
            <w:r>
              <w:rPr/>
              <w:t>101,076</w:t>
            </w:r>
          </w:p>
        </w:tc>
        <w:tc>
          <w:tcPr>
            <w:tcW w:w="116" w:type="dxa"/>
            <w:tcBorders/>
            <w:shd w:fill="EEEEEE"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bookmarkStart w:id="145" w:name="xdx_402_eus-gaap--ComprehensiveIncomeNet"/>
            <w:bookmarkEnd w:id="145"/>
          </w:p>
        </w:tc>
      </w:tr>
      <w:tr>
        <w:trPr/>
        <w:tc>
          <w:tcPr>
            <w:tcW w:w="3797" w:type="dxa"/>
            <w:tcBorders/>
            <w:shd w:fill="EEEEEE" w:val="clear"/>
            <w:vAlign w:val="center"/>
          </w:tcPr>
          <w:p>
            <w:pPr>
              <w:pStyle w:val="TableContents"/>
              <w:bidi w:val="0"/>
              <w:spacing w:before="0" w:after="283"/>
              <w:jc w:val="left"/>
              <w:rPr/>
            </w:pPr>
            <w:r>
              <w:rPr/>
              <w:t>COMPREHENSIVE INCOME (LOSS) ATTRIBUTABLE TO IPOWER INC.</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47" w:type="dxa"/>
            <w:tcBorders>
              <w:bottom w:val="double" w:sz="6" w:space="0" w:color="000000"/>
            </w:tcBorders>
            <w:shd w:fill="EEEEEE" w:val="clear"/>
            <w:tcMar>
              <w:bottom w:w="28" w:type="dxa"/>
            </w:tcMar>
            <w:vAlign w:val="center"/>
          </w:tcPr>
          <w:p>
            <w:pPr>
              <w:pStyle w:val="TableContents"/>
              <w:bidi w:val="0"/>
              <w:spacing w:before="0" w:after="283"/>
              <w:jc w:val="right"/>
              <w:rPr/>
            </w:pPr>
            <w:r>
              <w:rPr/>
              <w:t>(1,193,660</w:t>
            </w:r>
          </w:p>
        </w:tc>
        <w:tc>
          <w:tcPr>
            <w:tcW w:w="112" w:type="dxa"/>
            <w:tcBorders/>
            <w:shd w:fill="EEEEEE" w:val="clear"/>
            <w:vAlign w:val="center"/>
          </w:tcPr>
          <w:p>
            <w:pPr>
              <w:pStyle w:val="TableContents"/>
              <w:bidi w:val="0"/>
              <w:spacing w:before="0" w:after="283"/>
              <w:jc w:val="left"/>
              <w:rPr/>
            </w:pPr>
            <w:r>
              <w:rPr/>
              <w:t>)</w:t>
            </w:r>
          </w:p>
        </w:tc>
        <w:tc>
          <w:tcPr>
            <w:tcW w:w="7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EEEEEE" w:val="clear"/>
            <w:tcMar>
              <w:bottom w:w="28" w:type="dxa"/>
            </w:tcMar>
            <w:vAlign w:val="center"/>
          </w:tcPr>
          <w:p>
            <w:pPr>
              <w:pStyle w:val="TableContents"/>
              <w:bidi w:val="0"/>
              <w:spacing w:before="0" w:after="283"/>
              <w:jc w:val="right"/>
              <w:rPr/>
            </w:pPr>
            <w:r>
              <w:rPr/>
              <w:t>374,949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61" w:type="dxa"/>
            <w:tcBorders>
              <w:bottom w:val="double" w:sz="6" w:space="0" w:color="000000"/>
            </w:tcBorders>
            <w:shd w:fill="EEEEEE" w:val="clear"/>
            <w:tcMar>
              <w:bottom w:w="28" w:type="dxa"/>
            </w:tcMar>
            <w:vAlign w:val="center"/>
          </w:tcPr>
          <w:p>
            <w:pPr>
              <w:pStyle w:val="TableContents"/>
              <w:bidi w:val="0"/>
              <w:spacing w:before="0" w:after="283"/>
              <w:jc w:val="right"/>
              <w:rPr/>
            </w:pPr>
            <w:r>
              <w:rPr/>
              <w:t>(1,702,365</w:t>
            </w:r>
          </w:p>
        </w:tc>
        <w:tc>
          <w:tcPr>
            <w:tcW w:w="108" w:type="dxa"/>
            <w:tcBorders/>
            <w:shd w:fill="EEEEEE" w:val="clear"/>
            <w:vAlign w:val="center"/>
          </w:tcPr>
          <w:p>
            <w:pPr>
              <w:pStyle w:val="TableContents"/>
              <w:bidi w:val="0"/>
              <w:spacing w:before="0" w:after="283"/>
              <w:jc w:val="left"/>
              <w:rPr/>
            </w:pPr>
            <w:r>
              <w:rPr/>
              <w:t>)</w:t>
            </w:r>
          </w:p>
        </w:tc>
        <w:tc>
          <w:tcPr>
            <w:tcW w:w="68" w:type="dxa"/>
            <w:tcBorders/>
            <w:shd w:fill="EEEEEE" w:val="clear"/>
            <w:vAlign w:val="center"/>
          </w:tcPr>
          <w:p>
            <w:pPr>
              <w:pStyle w:val="TableContents"/>
              <w:bidi w:val="0"/>
              <w:spacing w:before="0" w:after="283"/>
              <w:jc w:val="left"/>
              <w:rPr/>
            </w:pPr>
            <w:r>
              <w:rPr/>
              <w:t> </w:t>
            </w:r>
          </w:p>
        </w:tc>
        <w:tc>
          <w:tcPr>
            <w:tcW w:w="16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61" w:type="dxa"/>
            <w:tcBorders>
              <w:bottom w:val="double" w:sz="6" w:space="0" w:color="000000"/>
            </w:tcBorders>
            <w:shd w:fill="EEEEEE" w:val="clear"/>
            <w:tcMar>
              <w:bottom w:w="28" w:type="dxa"/>
            </w:tcMar>
            <w:vAlign w:val="center"/>
          </w:tcPr>
          <w:p>
            <w:pPr>
              <w:pStyle w:val="TableContents"/>
              <w:bidi w:val="0"/>
              <w:spacing w:before="0" w:after="283"/>
              <w:jc w:val="right"/>
              <w:rPr/>
            </w:pPr>
            <w:r>
              <w:rPr/>
              <w:t>(1,709,386</w:t>
            </w:r>
          </w:p>
        </w:tc>
        <w:tc>
          <w:tcPr>
            <w:tcW w:w="116" w:type="dxa"/>
            <w:tcBorders/>
            <w:shd w:fill="EEEEEE" w:val="clear"/>
            <w:vAlign w:val="center"/>
          </w:tcPr>
          <w:p>
            <w:pPr>
              <w:pStyle w:val="TableContents"/>
              <w:bidi w:val="0"/>
              <w:spacing w:before="0" w:after="283"/>
              <w:jc w:val="left"/>
              <w:rPr/>
            </w:pPr>
            <w:r>
              <w:rPr/>
              <w:t>)</w:t>
            </w:r>
          </w:p>
        </w:tc>
      </w:tr>
      <w:tr>
        <w:trPr/>
        <w:tc>
          <w:tcPr>
            <w:tcW w:w="37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46" w:name="xdx_40D_eus-gaap--WeightedAverageNumberO"/>
            <w:bookmarkEnd w:id="146"/>
          </w:p>
        </w:tc>
      </w:tr>
      <w:tr>
        <w:trPr/>
        <w:tc>
          <w:tcPr>
            <w:tcW w:w="3797" w:type="dxa"/>
            <w:tcBorders/>
            <w:shd w:fill="EEEEEE" w:val="clear"/>
            <w:vAlign w:val="center"/>
          </w:tcPr>
          <w:p>
            <w:pPr>
              <w:pStyle w:val="TableContents"/>
              <w:bidi w:val="0"/>
              <w:spacing w:before="0" w:after="283"/>
              <w:jc w:val="left"/>
              <w:rPr/>
            </w:pPr>
            <w:r>
              <w:rPr/>
              <w:t>WEIGHTED AVERAGE NUMBER OF COMMON STOCK</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bookmarkStart w:id="147" w:name="xdx_40C_eus-gaap--WeightedAverageNumberO"/>
            <w:bookmarkEnd w:id="147"/>
          </w:p>
        </w:tc>
      </w:tr>
      <w:tr>
        <w:trPr/>
        <w:tc>
          <w:tcPr>
            <w:tcW w:w="3797"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pPr>
            <w:r>
              <w:rPr/>
              <w:t>1,102,378</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pPr>
            <w:r>
              <w:rPr/>
              <w:t>1,047,917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bottom w:w="28" w:type="dxa"/>
            </w:tcMar>
            <w:vAlign w:val="center"/>
          </w:tcPr>
          <w:p>
            <w:pPr>
              <w:pStyle w:val="TableContents"/>
              <w:bidi w:val="0"/>
              <w:spacing w:before="0" w:after="283"/>
              <w:jc w:val="right"/>
              <w:rPr/>
            </w:pPr>
            <w:r>
              <w:rPr/>
              <w:t>1,075,986</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bottom w:w="28" w:type="dxa"/>
            </w:tcMar>
            <w:vAlign w:val="center"/>
          </w:tcPr>
          <w:p>
            <w:pPr>
              <w:pStyle w:val="TableContents"/>
              <w:bidi w:val="0"/>
              <w:spacing w:before="0" w:after="283"/>
              <w:jc w:val="right"/>
              <w:rPr/>
            </w:pPr>
            <w:r>
              <w:rPr/>
              <w:t>1,047,570</w:t>
            </w:r>
          </w:p>
        </w:tc>
        <w:tc>
          <w:tcPr>
            <w:tcW w:w="116" w:type="dxa"/>
            <w:tcBorders/>
            <w:shd w:fill="FFFFFF" w:val="clear"/>
            <w:vAlign w:val="center"/>
          </w:tcPr>
          <w:p>
            <w:pPr>
              <w:pStyle w:val="TableContents"/>
              <w:bidi w:val="0"/>
              <w:spacing w:before="0" w:after="283"/>
              <w:jc w:val="left"/>
              <w:rPr/>
            </w:pPr>
            <w:r>
              <w:rPr/>
              <w:t> </w:t>
            </w:r>
            <w:bookmarkStart w:id="148" w:name="xdx_404_eus-gaap--WeightedAverageNumberO"/>
            <w:bookmarkEnd w:id="148"/>
          </w:p>
        </w:tc>
      </w:tr>
      <w:tr>
        <w:trPr/>
        <w:tc>
          <w:tcPr>
            <w:tcW w:w="3797"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247" w:type="dxa"/>
            <w:tcBorders>
              <w:bottom w:val="double" w:sz="6" w:space="0" w:color="000000"/>
            </w:tcBorders>
            <w:shd w:fill="EEEEEE" w:val="clear"/>
            <w:tcMar>
              <w:bottom w:w="28" w:type="dxa"/>
            </w:tcMar>
            <w:vAlign w:val="center"/>
          </w:tcPr>
          <w:p>
            <w:pPr>
              <w:pStyle w:val="TableContents"/>
              <w:bidi w:val="0"/>
              <w:spacing w:before="0" w:after="283"/>
              <w:jc w:val="right"/>
              <w:rPr/>
            </w:pPr>
            <w:r>
              <w:rPr/>
              <w:t>1,102,378</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EEEEEE" w:val="clear"/>
            <w:tcMar>
              <w:bottom w:w="28" w:type="dxa"/>
            </w:tcMar>
            <w:vAlign w:val="center"/>
          </w:tcPr>
          <w:p>
            <w:pPr>
              <w:pStyle w:val="TableContents"/>
              <w:bidi w:val="0"/>
              <w:spacing w:before="0" w:after="283"/>
              <w:jc w:val="right"/>
              <w:rPr/>
            </w:pPr>
            <w:r>
              <w:rPr/>
              <w:t>1,047,917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double" w:sz="6" w:space="0" w:color="000000"/>
            </w:tcBorders>
            <w:shd w:fill="EEEEEE" w:val="clear"/>
            <w:tcMar>
              <w:bottom w:w="28" w:type="dxa"/>
            </w:tcMar>
            <w:vAlign w:val="center"/>
          </w:tcPr>
          <w:p>
            <w:pPr>
              <w:pStyle w:val="TableContents"/>
              <w:bidi w:val="0"/>
              <w:spacing w:before="0" w:after="283"/>
              <w:jc w:val="right"/>
              <w:rPr/>
            </w:pPr>
            <w:r>
              <w:rPr/>
              <w:t>1,075,986</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261" w:type="dxa"/>
            <w:tcBorders>
              <w:bottom w:val="double" w:sz="6" w:space="0" w:color="000000"/>
            </w:tcBorders>
            <w:shd w:fill="EEEEEE" w:val="clear"/>
            <w:tcMar>
              <w:bottom w:w="28" w:type="dxa"/>
            </w:tcMar>
            <w:vAlign w:val="center"/>
          </w:tcPr>
          <w:p>
            <w:pPr>
              <w:pStyle w:val="TableContents"/>
              <w:bidi w:val="0"/>
              <w:spacing w:before="0" w:after="283"/>
              <w:jc w:val="right"/>
              <w:rPr/>
            </w:pPr>
            <w:r>
              <w:rPr/>
              <w:t>1,047,570</w:t>
            </w:r>
          </w:p>
        </w:tc>
        <w:tc>
          <w:tcPr>
            <w:tcW w:w="116" w:type="dxa"/>
            <w:tcBorders/>
            <w:shd w:fill="EEEEEE"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49" w:name="xdx_40E_eus-gaap--EarningsPerShareAbstra"/>
            <w:bookmarkEnd w:id="149"/>
          </w:p>
        </w:tc>
      </w:tr>
      <w:tr>
        <w:trPr/>
        <w:tc>
          <w:tcPr>
            <w:tcW w:w="3797" w:type="dxa"/>
            <w:tcBorders/>
            <w:shd w:fill="EEEEEE" w:val="clear"/>
            <w:vAlign w:val="center"/>
          </w:tcPr>
          <w:p>
            <w:pPr>
              <w:pStyle w:val="TableContents"/>
              <w:bidi w:val="0"/>
              <w:spacing w:before="0" w:after="283"/>
              <w:jc w:val="left"/>
              <w:rPr/>
            </w:pPr>
            <w:r>
              <w:rPr/>
              <w:t>EARNINGS (LOSSES) PER SHARE</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0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bookmarkStart w:id="150" w:name="xdx_40D_eus-gaap--EarningsPerShareBasic_"/>
            <w:bookmarkEnd w:id="150"/>
          </w:p>
        </w:tc>
      </w:tr>
      <w:tr>
        <w:trPr/>
        <w:tc>
          <w:tcPr>
            <w:tcW w:w="3797"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pPr>
            <w:r>
              <w:rPr/>
              <w:t>(1.08</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pPr>
            <w:r>
              <w:rPr/>
              <w:t>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1" w:type="dxa"/>
            <w:tcBorders>
              <w:bottom w:val="double" w:sz="6" w:space="0" w:color="000000"/>
            </w:tcBorders>
            <w:shd w:fill="FFFFFF" w:val="clear"/>
            <w:tcMar>
              <w:bottom w:w="28" w:type="dxa"/>
            </w:tcMar>
            <w:vAlign w:val="center"/>
          </w:tcPr>
          <w:p>
            <w:pPr>
              <w:pStyle w:val="TableContents"/>
              <w:bidi w:val="0"/>
              <w:spacing w:before="0" w:after="283"/>
              <w:jc w:val="right"/>
              <w:rPr/>
            </w:pPr>
            <w:r>
              <w:rPr/>
              <w:t>(1.60</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1" w:type="dxa"/>
            <w:tcBorders>
              <w:bottom w:val="double" w:sz="6" w:space="0" w:color="000000"/>
            </w:tcBorders>
            <w:shd w:fill="FFFFFF" w:val="clear"/>
            <w:tcMar>
              <w:bottom w:w="28" w:type="dxa"/>
            </w:tcMar>
            <w:vAlign w:val="center"/>
          </w:tcPr>
          <w:p>
            <w:pPr>
              <w:pStyle w:val="TableContents"/>
              <w:bidi w:val="0"/>
              <w:spacing w:before="0" w:after="283"/>
              <w:jc w:val="right"/>
              <w:rPr/>
            </w:pPr>
            <w:r>
              <w:rPr/>
              <w:t>(1.73</w:t>
            </w:r>
          </w:p>
        </w:tc>
        <w:tc>
          <w:tcPr>
            <w:tcW w:w="116" w:type="dxa"/>
            <w:tcBorders/>
            <w:shd w:fill="FFFFFF" w:val="clear"/>
            <w:vAlign w:val="center"/>
          </w:tcPr>
          <w:p>
            <w:pPr>
              <w:pStyle w:val="TableContents"/>
              <w:bidi w:val="0"/>
              <w:spacing w:before="0" w:after="283"/>
              <w:jc w:val="left"/>
              <w:rPr/>
            </w:pPr>
            <w:r>
              <w:rPr/>
              <w:t>)</w:t>
            </w:r>
            <w:bookmarkStart w:id="151" w:name="xdx_401_eus-gaap--EarningsPerShareDilute"/>
            <w:bookmarkEnd w:id="151"/>
          </w:p>
        </w:tc>
      </w:tr>
      <w:tr>
        <w:trPr/>
        <w:tc>
          <w:tcPr>
            <w:tcW w:w="3797"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47" w:type="dxa"/>
            <w:tcBorders>
              <w:bottom w:val="double" w:sz="6" w:space="0" w:color="000000"/>
            </w:tcBorders>
            <w:shd w:fill="EEEEEE" w:val="clear"/>
            <w:tcMar>
              <w:bottom w:w="28" w:type="dxa"/>
            </w:tcMar>
            <w:vAlign w:val="center"/>
          </w:tcPr>
          <w:p>
            <w:pPr>
              <w:pStyle w:val="TableContents"/>
              <w:bidi w:val="0"/>
              <w:spacing w:before="0" w:after="283"/>
              <w:jc w:val="right"/>
              <w:rPr/>
            </w:pPr>
            <w:r>
              <w:rPr/>
              <w:t>(1.08</w:t>
            </w:r>
          </w:p>
        </w:tc>
        <w:tc>
          <w:tcPr>
            <w:tcW w:w="112" w:type="dxa"/>
            <w:tcBorders/>
            <w:shd w:fill="EEEEEE" w:val="clear"/>
            <w:vAlign w:val="center"/>
          </w:tcPr>
          <w:p>
            <w:pPr>
              <w:pStyle w:val="TableContents"/>
              <w:bidi w:val="0"/>
              <w:spacing w:before="0" w:after="283"/>
              <w:jc w:val="left"/>
              <w:rPr/>
            </w:pPr>
            <w:r>
              <w:rPr/>
              <w:t>)</w:t>
            </w:r>
          </w:p>
        </w:tc>
        <w:tc>
          <w:tcPr>
            <w:tcW w:w="7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EEEEEE" w:val="clear"/>
            <w:tcMar>
              <w:bottom w:w="28" w:type="dxa"/>
            </w:tcMar>
            <w:vAlign w:val="center"/>
          </w:tcPr>
          <w:p>
            <w:pPr>
              <w:pStyle w:val="TableContents"/>
              <w:bidi w:val="0"/>
              <w:spacing w:before="0" w:after="283"/>
              <w:jc w:val="right"/>
              <w:rPr/>
            </w:pPr>
            <w:r>
              <w:rPr/>
              <w:t>0.21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61" w:type="dxa"/>
            <w:tcBorders>
              <w:bottom w:val="double" w:sz="6" w:space="0" w:color="000000"/>
            </w:tcBorders>
            <w:shd w:fill="EEEEEE" w:val="clear"/>
            <w:tcMar>
              <w:bottom w:w="28" w:type="dxa"/>
            </w:tcMar>
            <w:vAlign w:val="center"/>
          </w:tcPr>
          <w:p>
            <w:pPr>
              <w:pStyle w:val="TableContents"/>
              <w:bidi w:val="0"/>
              <w:spacing w:before="0" w:after="283"/>
              <w:jc w:val="right"/>
              <w:rPr/>
            </w:pPr>
            <w:r>
              <w:rPr/>
              <w:t>(1.60</w:t>
            </w:r>
          </w:p>
        </w:tc>
        <w:tc>
          <w:tcPr>
            <w:tcW w:w="108" w:type="dxa"/>
            <w:tcBorders/>
            <w:shd w:fill="EEEEEE" w:val="clear"/>
            <w:vAlign w:val="center"/>
          </w:tcPr>
          <w:p>
            <w:pPr>
              <w:pStyle w:val="TableContents"/>
              <w:bidi w:val="0"/>
              <w:spacing w:before="0" w:after="283"/>
              <w:jc w:val="left"/>
              <w:rPr/>
            </w:pPr>
            <w:r>
              <w:rPr/>
              <w:t>)</w:t>
            </w:r>
          </w:p>
        </w:tc>
        <w:tc>
          <w:tcPr>
            <w:tcW w:w="68" w:type="dxa"/>
            <w:tcBorders/>
            <w:shd w:fill="EEEEEE" w:val="clear"/>
            <w:vAlign w:val="center"/>
          </w:tcPr>
          <w:p>
            <w:pPr>
              <w:pStyle w:val="TableContents"/>
              <w:bidi w:val="0"/>
              <w:spacing w:before="0" w:after="283"/>
              <w:jc w:val="left"/>
              <w:rPr/>
            </w:pPr>
            <w:r>
              <w:rPr/>
              <w:t> </w:t>
            </w:r>
          </w:p>
        </w:tc>
        <w:tc>
          <w:tcPr>
            <w:tcW w:w="16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61" w:type="dxa"/>
            <w:tcBorders>
              <w:bottom w:val="double" w:sz="6" w:space="0" w:color="000000"/>
            </w:tcBorders>
            <w:shd w:fill="EEEEEE" w:val="clear"/>
            <w:tcMar>
              <w:bottom w:w="28" w:type="dxa"/>
            </w:tcMar>
            <w:vAlign w:val="center"/>
          </w:tcPr>
          <w:p>
            <w:pPr>
              <w:pStyle w:val="TableContents"/>
              <w:bidi w:val="0"/>
              <w:spacing w:before="0" w:after="283"/>
              <w:jc w:val="right"/>
              <w:rPr/>
            </w:pPr>
            <w:r>
              <w:rPr/>
              <w:t>(1.73</w:t>
            </w:r>
          </w:p>
        </w:tc>
        <w:tc>
          <w:tcPr>
            <w:tcW w:w="116" w:type="dxa"/>
            <w:tcBorders/>
            <w:shd w:fill="EEEEEE"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sz w:val="20"/>
              </w:rPr>
            </w:pPr>
            <w:r>
              <w:rPr>
                <w:sz w:val="20"/>
              </w:rPr>
              <w:t>**</w:t>
            </w:r>
          </w:p>
        </w:tc>
        <w:tc>
          <w:tcPr>
            <w:tcW w:w="10027" w:type="dxa"/>
            <w:tcBorders/>
            <w:vAlign w:val="center"/>
          </w:tcPr>
          <w:p>
            <w:pPr>
              <w:pStyle w:val="TableContents"/>
              <w:bidi w:val="0"/>
              <w:spacing w:before="0" w:after="283"/>
              <w:jc w:val="both"/>
              <w:rPr>
                <w:i/>
                <w:sz w:val="20"/>
              </w:rPr>
            </w:pPr>
            <w:r>
              <w:rPr>
                <w:i/>
                <w:sz w:val="20"/>
              </w:rPr>
              <w:t>Unless otherwise indicated, all shares of common stock and per share numbers in the unaudited condensed consolidated financial statements and notes below have been adjusted retroactively to reflect the 1-for-30 reverse stock split effected on October 27, 2025, for all periods presented (see Note 15 for details).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152" w:name="q2_005"/>
      <w:bookmarkEnd w:id="152"/>
      <w:r>
        <w:rPr>
          <w:rFonts w:ascii="Times New Roman;Times;Serif" w:hAnsi="Times New Roman;Times;Serif"/>
          <w:b w:val="false"/>
          <w:i w:val="false"/>
          <w:caps w:val="false"/>
          <w:smallCaps w:val="false"/>
          <w:sz w:val="20"/>
        </w:rPr>
        <w:t>Consolidated Statements of Changes in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December 31, 2025 and 2024</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153" w:name="xdx_30B_114_z1LqmUM5fPU2"/>
      <w:bookmarkStart w:id="154" w:name="xdx_30B_114_z1LqmUM5fPU2"/>
      <w:bookmarkEnd w:id="154"/>
    </w:p>
    <w:tbl>
      <w:tblPr>
        <w:tblW w:w="1105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60"/>
        <w:gridCol w:w="640"/>
        <w:gridCol w:w="60"/>
        <w:gridCol w:w="60"/>
        <w:gridCol w:w="140"/>
        <w:gridCol w:w="1100"/>
        <w:gridCol w:w="95"/>
        <w:gridCol w:w="60"/>
        <w:gridCol w:w="144"/>
        <w:gridCol w:w="1211"/>
        <w:gridCol w:w="95"/>
        <w:gridCol w:w="60"/>
        <w:gridCol w:w="240"/>
        <w:gridCol w:w="1295"/>
        <w:gridCol w:w="95"/>
        <w:gridCol w:w="60"/>
        <w:gridCol w:w="207"/>
        <w:gridCol w:w="1298"/>
        <w:gridCol w:w="95"/>
        <w:gridCol w:w="60"/>
        <w:gridCol w:w="140"/>
        <w:gridCol w:w="1100"/>
        <w:gridCol w:w="75"/>
      </w:tblGrid>
      <w:tr>
        <w:trPr/>
        <w:tc>
          <w:tcPr>
            <w:tcW w:w="1340" w:type="dxa"/>
            <w:tcBorders/>
            <w:shd w:fill="FFFFFF" w:val="clear"/>
            <w:vAlign w:val="center"/>
          </w:tcPr>
          <w:p>
            <w:pPr>
              <w:pStyle w:val="TableContents"/>
              <w:bidi w:val="0"/>
              <w:spacing w:before="0" w:after="283"/>
              <w:ind w:left="0" w:right="0" w:hanging="1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155" w:name="xdx_4B7_us-gaap--StatementEquityComponen"/>
            <w:bookmarkEnd w:id="155"/>
          </w:p>
        </w:tc>
        <w:tc>
          <w:tcPr>
            <w:tcW w:w="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56" w:name="xdx_4B7_us-gaap--StatementEquityComponen"/>
            <w:bookmarkEnd w:id="156"/>
          </w:p>
        </w:tc>
        <w:tc>
          <w:tcPr>
            <w:tcW w:w="1100"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bookmarkStart w:id="157" w:name="xdx_4BA_us-gaap--StatementEquityComponen"/>
            <w:bookmarkEnd w:id="157"/>
          </w:p>
        </w:tc>
        <w:tc>
          <w:tcPr>
            <w:tcW w:w="1211"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bookmarkStart w:id="158" w:name="xdx_4B7_us-gaap--StatementEquityComponen"/>
            <w:bookmarkEnd w:id="158"/>
          </w:p>
        </w:tc>
        <w:tc>
          <w:tcPr>
            <w:tcW w:w="129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bookmarkStart w:id="159" w:name="xdx_4B2_us-gaap--StatementEquityComponen"/>
            <w:bookmarkEnd w:id="159"/>
          </w:p>
        </w:tc>
        <w:tc>
          <w:tcPr>
            <w:tcW w:w="1298"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0" w:name="xdx_4B5_z4MS70i0jb1a"/>
            <w:bookmarkEnd w:id="160"/>
          </w:p>
        </w:tc>
        <w:tc>
          <w:tcPr>
            <w:tcW w:w="110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60"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xml:space="preserve">Additional </w:t>
              <w:br/>
              <w:t>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Retained Earnings (Accumulated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pPr>
            <w:r>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pPr>
            <w:r>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ind w:left="0" w:right="0" w:hanging="100"/>
              <w:jc w:val="left"/>
              <w:rPr/>
            </w:pPr>
            <w:r>
              <w:rPr/>
              <w:t> </w:t>
            </w:r>
            <w:bookmarkStart w:id="161" w:name="xdx_433_c20250701__20250930_eus-gaap--St"/>
            <w:bookmarkEnd w:id="161"/>
          </w:p>
        </w:tc>
      </w:tr>
      <w:tr>
        <w:trPr/>
        <w:tc>
          <w:tcPr>
            <w:tcW w:w="1340" w:type="dxa"/>
            <w:tcBorders/>
            <w:shd w:fill="EEEEEE" w:val="clear"/>
            <w:vAlign w:val="center"/>
          </w:tcPr>
          <w:p>
            <w:pPr>
              <w:pStyle w:val="TableContents"/>
              <w:bidi w:val="0"/>
              <w:spacing w:before="0" w:after="283"/>
              <w:jc w:val="left"/>
              <w:rPr/>
            </w:pPr>
            <w:r>
              <w:rPr/>
              <w:t>Balance, June 30, 2025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62" w:name="xdx_98D_eus-gaap--SharesOutstanding_iS_c"/>
            <w:bookmarkEnd w:id="162"/>
          </w:p>
        </w:tc>
        <w:tc>
          <w:tcPr>
            <w:tcW w:w="980" w:type="dxa"/>
            <w:tcBorders/>
            <w:shd w:fill="EEEEEE" w:val="clear"/>
            <w:vAlign w:val="center"/>
          </w:tcPr>
          <w:p>
            <w:pPr>
              <w:pStyle w:val="TableContents"/>
              <w:bidi w:val="0"/>
              <w:spacing w:before="0" w:after="283"/>
              <w:jc w:val="right"/>
              <w:rPr/>
            </w:pPr>
            <w:r>
              <w:rPr/>
              <w:t>1,045,330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w:t>
            </w:r>
            <w:bookmarkStart w:id="163" w:name="xdx_98B_eus-gaap--StockholdersEquityIncl"/>
            <w:bookmarkEnd w:id="163"/>
          </w:p>
        </w:tc>
        <w:tc>
          <w:tcPr>
            <w:tcW w:w="640" w:type="dxa"/>
            <w:tcBorders/>
            <w:shd w:fill="EEEEEE" w:val="clear"/>
            <w:vAlign w:val="center"/>
          </w:tcPr>
          <w:p>
            <w:pPr>
              <w:pStyle w:val="TableContents"/>
              <w:bidi w:val="0"/>
              <w:spacing w:before="0" w:after="283"/>
              <w:jc w:val="right"/>
              <w:rPr/>
            </w:pPr>
            <w:r>
              <w:rPr/>
              <w:t>1,045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33,481,201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w:t>
            </w:r>
          </w:p>
        </w:tc>
        <w:tc>
          <w:tcPr>
            <w:tcW w:w="1211" w:type="dxa"/>
            <w:tcBorders/>
            <w:shd w:fill="EEEEEE" w:val="clear"/>
            <w:vAlign w:val="center"/>
          </w:tcPr>
          <w:p>
            <w:pPr>
              <w:pStyle w:val="TableContents"/>
              <w:bidi w:val="0"/>
              <w:spacing w:before="0" w:after="283"/>
              <w:jc w:val="right"/>
              <w:rPr/>
            </w:pPr>
            <w:r>
              <w:rPr/>
              <w:t>(15,198,889</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w:t>
            </w:r>
          </w:p>
        </w:tc>
        <w:tc>
          <w:tcPr>
            <w:tcW w:w="1295" w:type="dxa"/>
            <w:tcBorders/>
            <w:shd w:fill="EEEEEE" w:val="clear"/>
            <w:vAlign w:val="center"/>
          </w:tcPr>
          <w:p>
            <w:pPr>
              <w:pStyle w:val="TableContents"/>
              <w:bidi w:val="0"/>
              <w:spacing w:before="0" w:after="283"/>
              <w:jc w:val="right"/>
              <w:rPr/>
            </w:pPr>
            <w:r>
              <w:rPr/>
              <w:t>(47,462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298" w:type="dxa"/>
            <w:tcBorders/>
            <w:shd w:fill="EEEEEE" w:val="clear"/>
            <w:vAlign w:val="center"/>
          </w:tcPr>
          <w:p>
            <w:pPr>
              <w:pStyle w:val="TableContents"/>
              <w:bidi w:val="0"/>
              <w:spacing w:before="0" w:after="283"/>
              <w:jc w:val="right"/>
              <w:rPr/>
            </w:pPr>
            <w:r>
              <w:rPr/>
              <w:t>40,107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18,276,002</w:t>
            </w:r>
          </w:p>
        </w:tc>
        <w:tc>
          <w:tcPr>
            <w:tcW w:w="75" w:type="dxa"/>
            <w:tcBorders/>
            <w:shd w:fill="EEEEEE" w:val="clear"/>
            <w:vAlign w:val="center"/>
          </w:tcPr>
          <w:p>
            <w:pPr>
              <w:pStyle w:val="TableContents"/>
              <w:bidi w:val="0"/>
              <w:spacing w:before="0" w:after="283"/>
              <w:ind w:left="0" w:right="0" w:hanging="100"/>
              <w:jc w:val="left"/>
              <w:rPr/>
            </w:pPr>
            <w:r>
              <w:rPr/>
              <w:t> </w:t>
            </w:r>
            <w:bookmarkStart w:id="164" w:name="xdx_407_eus-gaap--IncomeLossFromContinui"/>
            <w:bookmarkEnd w:id="164"/>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(533,648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(533,648</w:t>
            </w:r>
          </w:p>
        </w:tc>
        <w:tc>
          <w:tcPr>
            <w:tcW w:w="75" w:type="dxa"/>
            <w:tcBorders/>
            <w:shd w:fill="FFFFFF" w:val="clear"/>
            <w:vAlign w:val="center"/>
          </w:tcPr>
          <w:p>
            <w:pPr>
              <w:pStyle w:val="TableContents"/>
              <w:bidi w:val="0"/>
              <w:spacing w:before="0" w:after="283"/>
              <w:ind w:left="0" w:right="0" w:hanging="100"/>
              <w:jc w:val="left"/>
              <w:rPr/>
            </w:pPr>
            <w:r>
              <w:rPr/>
              <w:t>)</w:t>
            </w:r>
            <w:bookmarkStart w:id="165" w:name="xdx_406_eus-gaap--AdjustmentsToAdditiona"/>
            <w:bookmarkEnd w:id="165"/>
          </w:p>
        </w:tc>
      </w:tr>
      <w:tr>
        <w:trPr/>
        <w:tc>
          <w:tcPr>
            <w:tcW w:w="1340"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64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150,203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150,203</w:t>
            </w:r>
          </w:p>
        </w:tc>
        <w:tc>
          <w:tcPr>
            <w:tcW w:w="75" w:type="dxa"/>
            <w:tcBorders/>
            <w:shd w:fill="EEEEEE" w:val="clear"/>
            <w:vAlign w:val="center"/>
          </w:tcPr>
          <w:p>
            <w:pPr>
              <w:pStyle w:val="TableContents"/>
              <w:bidi w:val="0"/>
              <w:spacing w:before="0" w:after="283"/>
              <w:ind w:left="0" w:right="0" w:hanging="100"/>
              <w:jc w:val="left"/>
              <w:rPr/>
            </w:pPr>
            <w:r>
              <w:rPr/>
              <w:t> </w:t>
            </w:r>
            <w:bookmarkStart w:id="166" w:name="xdx_40B_eus-gaap--StockIssuedDuringPerio"/>
            <w:bookmarkEnd w:id="166"/>
          </w:p>
        </w:tc>
      </w:tr>
      <w:tr>
        <w:trPr/>
        <w:tc>
          <w:tcPr>
            <w:tcW w:w="1340" w:type="dxa"/>
            <w:tcBorders/>
            <w:shd w:fill="FFFFFF" w:val="clear"/>
            <w:vAlign w:val="center"/>
          </w:tcPr>
          <w:p>
            <w:pPr>
              <w:pStyle w:val="TableContents"/>
              <w:bidi w:val="0"/>
              <w:spacing w:before="0" w:after="283"/>
              <w:jc w:val="left"/>
              <w:rPr/>
            </w:pPr>
            <w:r>
              <w:rPr/>
              <w:t>Restricted shares issued for vested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A_eus-gaap--StockIssuedDuringPerio"/>
            <w:bookmarkEnd w:id="167"/>
          </w:p>
        </w:tc>
        <w:tc>
          <w:tcPr>
            <w:tcW w:w="980" w:type="dxa"/>
            <w:tcBorders/>
            <w:shd w:fill="FFFFFF" w:val="clear"/>
            <w:vAlign w:val="center"/>
          </w:tcPr>
          <w:p>
            <w:pPr>
              <w:pStyle w:val="TableContents"/>
              <w:bidi w:val="0"/>
              <w:spacing w:before="0" w:after="283"/>
              <w:jc w:val="right"/>
              <w:rPr/>
            </w:pPr>
            <w:r>
              <w:rPr/>
              <w:t>4,460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00"/>
              <w:jc w:val="left"/>
              <w:rPr/>
            </w:pPr>
            <w:r>
              <w:rPr/>
              <w:t> </w:t>
            </w:r>
            <w:bookmarkStart w:id="168" w:name="xdx_40A_eus-gaap--OtherComprehensiveInco"/>
            <w:bookmarkEnd w:id="168"/>
          </w:p>
        </w:tc>
      </w:tr>
      <w:tr>
        <w:trPr/>
        <w:tc>
          <w:tcPr>
            <w:tcW w:w="1340" w:type="dxa"/>
            <w:tcBorders/>
            <w:shd w:fill="EEEEEE" w:val="clear"/>
            <w:vAlign w:val="center"/>
          </w:tcPr>
          <w:p>
            <w:pPr>
              <w:pStyle w:val="TableContents"/>
              <w:bidi w:val="0"/>
              <w:spacing w:before="0" w:after="283"/>
              <w:jc w:val="left"/>
              <w:rPr/>
            </w:pPr>
            <w:r>
              <w:rPr/>
              <w:t>Foreign currency translation adjustments</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EEEEEE" w:val="clear"/>
            <w:tcMar>
              <w:bottom w:w="28" w:type="dxa"/>
            </w:tcMar>
            <w:vAlign w:val="center"/>
          </w:tcPr>
          <w:p>
            <w:pPr>
              <w:pStyle w:val="TableContents"/>
              <w:bidi w:val="0"/>
              <w:spacing w:before="0" w:after="283"/>
              <w:jc w:val="right"/>
              <w:rPr/>
            </w:pPr>
            <w:r>
              <w:rPr/>
              <w:t>24,943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24,943</w:t>
            </w:r>
          </w:p>
        </w:tc>
        <w:tc>
          <w:tcPr>
            <w:tcW w:w="75" w:type="dxa"/>
            <w:tcBorders/>
            <w:shd w:fill="EEEEEE" w:val="clear"/>
            <w:vAlign w:val="center"/>
          </w:tcPr>
          <w:p>
            <w:pPr>
              <w:pStyle w:val="TableContents"/>
              <w:bidi w:val="0"/>
              <w:spacing w:before="0" w:after="283"/>
              <w:ind w:left="0" w:right="0" w:hanging="100"/>
              <w:jc w:val="left"/>
              <w:rPr/>
            </w:pPr>
            <w:r>
              <w:rPr/>
              <w:t> </w:t>
            </w:r>
            <w:bookmarkStart w:id="169" w:name="xdx_430_c20251001__20251231_eus-gaap--St"/>
            <w:bookmarkEnd w:id="169"/>
          </w:p>
        </w:tc>
      </w:tr>
      <w:tr>
        <w:trPr/>
        <w:tc>
          <w:tcPr>
            <w:tcW w:w="1340" w:type="dxa"/>
            <w:tcBorders/>
            <w:shd w:fill="FFFFFF" w:val="clear"/>
            <w:vAlign w:val="center"/>
          </w:tcPr>
          <w:p>
            <w:pPr>
              <w:pStyle w:val="TableContents"/>
              <w:bidi w:val="0"/>
              <w:spacing w:before="0" w:after="283"/>
              <w:jc w:val="left"/>
              <w:rPr/>
            </w:pPr>
            <w:r>
              <w:rPr/>
              <w:t>Balance, September 30,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 w:name="xdx_983_eus-gaap--SharesOutstanding_iS_c"/>
            <w:bookmarkEnd w:id="170"/>
          </w:p>
        </w:tc>
        <w:tc>
          <w:tcPr>
            <w:tcW w:w="980" w:type="dxa"/>
            <w:tcBorders/>
            <w:shd w:fill="FFFFFF" w:val="clear"/>
            <w:vAlign w:val="center"/>
          </w:tcPr>
          <w:p>
            <w:pPr>
              <w:pStyle w:val="TableContents"/>
              <w:bidi w:val="0"/>
              <w:spacing w:before="0" w:after="283"/>
              <w:jc w:val="right"/>
              <w:rPr/>
            </w:pPr>
            <w:r>
              <w:rPr/>
              <w:t>1,049,790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171" w:name="xdx_98C_eus-gaap--StockholdersEquityIncl"/>
            <w:bookmarkEnd w:id="171"/>
          </w:p>
        </w:tc>
        <w:tc>
          <w:tcPr>
            <w:tcW w:w="640" w:type="dxa"/>
            <w:tcBorders/>
            <w:shd w:fill="FFFFFF" w:val="clear"/>
            <w:vAlign w:val="center"/>
          </w:tcPr>
          <w:p>
            <w:pPr>
              <w:pStyle w:val="TableContents"/>
              <w:bidi w:val="0"/>
              <w:spacing w:before="0" w:after="283"/>
              <w:jc w:val="right"/>
              <w:rPr/>
            </w:pPr>
            <w:r>
              <w:rPr/>
              <w:t>1,050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33,631,399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(15,732,537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(47,462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65,050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17,917,500</w:t>
            </w:r>
          </w:p>
        </w:tc>
        <w:tc>
          <w:tcPr>
            <w:tcW w:w="75" w:type="dxa"/>
            <w:tcBorders/>
            <w:shd w:fill="FFFFFF" w:val="clear"/>
            <w:vAlign w:val="center"/>
          </w:tcPr>
          <w:p>
            <w:pPr>
              <w:pStyle w:val="TableContents"/>
              <w:bidi w:val="0"/>
              <w:spacing w:before="0" w:after="283"/>
              <w:ind w:left="0" w:right="0" w:hanging="100"/>
              <w:jc w:val="left"/>
              <w:rPr/>
            </w:pPr>
            <w:r>
              <w:rPr/>
              <w:t> </w:t>
            </w:r>
            <w:bookmarkStart w:id="172" w:name="xdx_407_eus-gaap--IncomeLossFromContinui"/>
            <w:bookmarkEnd w:id="172"/>
          </w:p>
        </w:tc>
      </w:tr>
      <w:tr>
        <w:trPr/>
        <w:tc>
          <w:tcPr>
            <w:tcW w:w="1340" w:type="dxa"/>
            <w:tcBorders/>
            <w:shd w:fill="EEEEEE" w:val="clear"/>
            <w:vAlign w:val="center"/>
          </w:tcPr>
          <w:p>
            <w:pPr>
              <w:pStyle w:val="TableContents"/>
              <w:bidi w:val="0"/>
              <w:spacing w:before="0" w:after="283"/>
              <w:jc w:val="left"/>
              <w:rPr/>
            </w:pPr>
            <w:r>
              <w:rPr/>
              <w:t>Net loss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64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(1,193,281</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(1,193,281</w:t>
            </w:r>
          </w:p>
        </w:tc>
        <w:tc>
          <w:tcPr>
            <w:tcW w:w="75" w:type="dxa"/>
            <w:tcBorders/>
            <w:shd w:fill="EEEEEE" w:val="clear"/>
            <w:vAlign w:val="center"/>
          </w:tcPr>
          <w:p>
            <w:pPr>
              <w:pStyle w:val="TableContents"/>
              <w:bidi w:val="0"/>
              <w:spacing w:before="0" w:after="283"/>
              <w:ind w:left="0" w:right="0" w:hanging="100"/>
              <w:jc w:val="left"/>
              <w:rPr/>
            </w:pPr>
            <w:r>
              <w:rPr/>
              <w:t>)</w:t>
            </w:r>
            <w:bookmarkStart w:id="173" w:name="xdx_406_eus-gaap--AdjustmentsToAdditiona"/>
            <w:bookmarkEnd w:id="173"/>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950,202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950,202</w:t>
            </w:r>
          </w:p>
        </w:tc>
        <w:tc>
          <w:tcPr>
            <w:tcW w:w="75" w:type="dxa"/>
            <w:tcBorders/>
            <w:shd w:fill="FFFFFF" w:val="clear"/>
            <w:vAlign w:val="center"/>
          </w:tcPr>
          <w:p>
            <w:pPr>
              <w:pStyle w:val="TableContents"/>
              <w:bidi w:val="0"/>
              <w:spacing w:before="0" w:after="283"/>
              <w:ind w:left="0" w:right="0" w:hanging="100"/>
              <w:jc w:val="left"/>
              <w:rPr/>
            </w:pPr>
            <w:r>
              <w:rPr/>
              <w:t> </w:t>
            </w:r>
            <w:bookmarkStart w:id="174" w:name="xdx_40E_eus-gaap--StockIssuedDuringPerio"/>
            <w:bookmarkEnd w:id="174"/>
          </w:p>
        </w:tc>
      </w:tr>
      <w:tr>
        <w:trPr/>
        <w:tc>
          <w:tcPr>
            <w:tcW w:w="1340" w:type="dxa"/>
            <w:tcBorders/>
            <w:shd w:fill="EEEEEE" w:val="clear"/>
            <w:vAlign w:val="center"/>
          </w:tcPr>
          <w:p>
            <w:pPr>
              <w:pStyle w:val="TableContents"/>
              <w:bidi w:val="0"/>
              <w:spacing w:before="0" w:after="283"/>
              <w:jc w:val="left"/>
              <w:rPr/>
            </w:pPr>
            <w:r>
              <w:rPr/>
              <w:t>Shares issued for consulting services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75" w:name="xdx_98D_eus-gaap--StockIssuedDuringPerio"/>
            <w:bookmarkEnd w:id="175"/>
          </w:p>
        </w:tc>
        <w:tc>
          <w:tcPr>
            <w:tcW w:w="980" w:type="dxa"/>
            <w:tcBorders/>
            <w:shd w:fill="EEEEEE" w:val="clear"/>
            <w:vAlign w:val="center"/>
          </w:tcPr>
          <w:p>
            <w:pPr>
              <w:pStyle w:val="TableContents"/>
              <w:bidi w:val="0"/>
              <w:spacing w:before="0" w:after="283"/>
              <w:jc w:val="right"/>
              <w:rPr/>
            </w:pPr>
            <w:r>
              <w:rPr/>
              <w:t>20,680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640" w:type="dxa"/>
            <w:tcBorders/>
            <w:shd w:fill="EEEEEE" w:val="clear"/>
            <w:vAlign w:val="center"/>
          </w:tcPr>
          <w:p>
            <w:pPr>
              <w:pStyle w:val="TableContents"/>
              <w:bidi w:val="0"/>
              <w:spacing w:before="0" w:after="283"/>
              <w:jc w:val="right"/>
              <w:rPr/>
            </w:pPr>
            <w:r>
              <w:rPr/>
              <w:t>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199,979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200,000</w:t>
            </w:r>
          </w:p>
        </w:tc>
        <w:tc>
          <w:tcPr>
            <w:tcW w:w="75" w:type="dxa"/>
            <w:tcBorders/>
            <w:shd w:fill="EEEEEE" w:val="clear"/>
            <w:vAlign w:val="center"/>
          </w:tcPr>
          <w:p>
            <w:pPr>
              <w:pStyle w:val="TableContents"/>
              <w:bidi w:val="0"/>
              <w:spacing w:before="0" w:after="283"/>
              <w:ind w:left="0" w:right="0" w:hanging="100"/>
              <w:jc w:val="left"/>
              <w:rPr/>
            </w:pPr>
            <w:r>
              <w:rPr/>
              <w:t> </w:t>
            </w:r>
            <w:bookmarkStart w:id="176" w:name="xdx_40E_eus-gaap--StockIssuedDuringPerio"/>
            <w:bookmarkEnd w:id="176"/>
          </w:p>
        </w:tc>
      </w:tr>
      <w:tr>
        <w:trPr/>
        <w:tc>
          <w:tcPr>
            <w:tcW w:w="1340" w:type="dxa"/>
            <w:tcBorders/>
            <w:shd w:fill="FFFFFF" w:val="clear"/>
            <w:vAlign w:val="center"/>
          </w:tcPr>
          <w:p>
            <w:pPr>
              <w:pStyle w:val="TableContents"/>
              <w:bidi w:val="0"/>
              <w:spacing w:before="0" w:after="283"/>
              <w:jc w:val="left"/>
              <w:rPr/>
            </w:pPr>
            <w:r>
              <w:rPr/>
              <w:t>Common stock issued for conversions of note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 w:name="xdx_988_eus-gaap--StockIssuedDuringPerio"/>
            <w:bookmarkEnd w:id="177"/>
          </w:p>
        </w:tc>
        <w:tc>
          <w:tcPr>
            <w:tcW w:w="980" w:type="dxa"/>
            <w:tcBorders/>
            <w:shd w:fill="FFFFFF" w:val="clear"/>
            <w:vAlign w:val="center"/>
          </w:tcPr>
          <w:p>
            <w:pPr>
              <w:pStyle w:val="TableContents"/>
              <w:bidi w:val="0"/>
              <w:spacing w:before="0" w:after="283"/>
              <w:jc w:val="right"/>
              <w:rPr/>
            </w:pPr>
            <w:r>
              <w:rPr/>
              <w:t>10,948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110,300</w:t>
            </w:r>
          </w:p>
        </w:tc>
        <w:tc>
          <w:tcPr>
            <w:tcW w:w="75" w:type="dxa"/>
            <w:tcBorders/>
            <w:shd w:fill="FFFFFF" w:val="clear"/>
            <w:vAlign w:val="center"/>
          </w:tcPr>
          <w:p>
            <w:pPr>
              <w:pStyle w:val="TableContents"/>
              <w:bidi w:val="0"/>
              <w:spacing w:before="0" w:after="283"/>
              <w:ind w:left="0" w:right="0" w:hanging="100"/>
              <w:jc w:val="left"/>
              <w:rPr/>
            </w:pPr>
            <w:r>
              <w:rPr/>
              <w:t> </w:t>
            </w:r>
            <w:bookmarkStart w:id="178" w:name="xdx_400_ecustom--StockIssuedDuringPeriod"/>
            <w:bookmarkEnd w:id="178"/>
          </w:p>
        </w:tc>
      </w:tr>
      <w:tr>
        <w:trPr/>
        <w:tc>
          <w:tcPr>
            <w:tcW w:w="1340" w:type="dxa"/>
            <w:tcBorders/>
            <w:shd w:fill="EEEEEE" w:val="clear"/>
            <w:vAlign w:val="center"/>
          </w:tcPr>
          <w:p>
            <w:pPr>
              <w:pStyle w:val="TableContents"/>
              <w:bidi w:val="0"/>
              <w:spacing w:before="0" w:after="283"/>
              <w:jc w:val="left"/>
              <w:rPr/>
            </w:pPr>
            <w:r>
              <w:rPr/>
              <w:t>Reverse-Split round up shares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79" w:name="xdx_986_eus-gaap--StockIssuedDuringPerio"/>
            <w:bookmarkEnd w:id="179"/>
          </w:p>
        </w:tc>
        <w:tc>
          <w:tcPr>
            <w:tcW w:w="980" w:type="dxa"/>
            <w:tcBorders/>
            <w:shd w:fill="EEEEEE" w:val="clear"/>
            <w:vAlign w:val="center"/>
          </w:tcPr>
          <w:p>
            <w:pPr>
              <w:pStyle w:val="TableContents"/>
              <w:bidi w:val="0"/>
              <w:spacing w:before="0" w:after="283"/>
              <w:jc w:val="right"/>
              <w:rPr/>
            </w:pPr>
            <w:r>
              <w:rPr/>
              <w:t>42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64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ind w:left="0" w:right="0" w:hanging="100"/>
              <w:jc w:val="left"/>
              <w:rPr/>
            </w:pPr>
            <w:r>
              <w:rPr/>
              <w:t> </w:t>
            </w:r>
            <w:bookmarkStart w:id="180" w:name="xdx_40A_eus-gaap--OtherComprehensiveInco"/>
            <w:bookmarkEnd w:id="180"/>
          </w:p>
        </w:tc>
      </w:tr>
      <w:tr>
        <w:trPr/>
        <w:tc>
          <w:tcPr>
            <w:tcW w:w="134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pPr>
            <w:r>
              <w:rPr/>
              <w:t>(379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(379</w:t>
            </w:r>
          </w:p>
        </w:tc>
        <w:tc>
          <w:tcPr>
            <w:tcW w:w="75" w:type="dxa"/>
            <w:tcBorders/>
            <w:shd w:fill="FFFFFF" w:val="clear"/>
            <w:vAlign w:val="center"/>
          </w:tcPr>
          <w:p>
            <w:pPr>
              <w:pStyle w:val="TableContents"/>
              <w:bidi w:val="0"/>
              <w:spacing w:before="0" w:after="283"/>
              <w:ind w:left="0" w:right="0" w:hanging="100"/>
              <w:jc w:val="left"/>
              <w:rPr/>
            </w:pPr>
            <w:r>
              <w:rPr/>
              <w:t>)</w:t>
            </w:r>
            <w:bookmarkStart w:id="181" w:name="xdx_435_c20251001__20251231_eus-gaap--St"/>
            <w:bookmarkEnd w:id="181"/>
          </w:p>
        </w:tc>
      </w:tr>
      <w:tr>
        <w:trPr/>
        <w:tc>
          <w:tcPr>
            <w:tcW w:w="1340" w:type="dxa"/>
            <w:tcBorders/>
            <w:shd w:fill="EEEEEE" w:val="clear"/>
            <w:vAlign w:val="center"/>
          </w:tcPr>
          <w:p>
            <w:pPr>
              <w:pStyle w:val="TableContents"/>
              <w:bidi w:val="0"/>
              <w:spacing w:before="0" w:after="283"/>
              <w:jc w:val="left"/>
              <w:rPr/>
            </w:pPr>
            <w:r>
              <w:rPr/>
              <w:t>Balance, December 31, 2025, unaudited</w:t>
            </w:r>
          </w:p>
        </w:tc>
        <w:tc>
          <w:tcPr>
            <w:tcW w:w="60" w:type="dxa"/>
            <w:tcBorders/>
            <w:shd w:fill="EEEEEE" w:val="clear"/>
            <w:vAlign w:val="center"/>
          </w:tcPr>
          <w:p>
            <w:pPr>
              <w:pStyle w:val="TableContents"/>
              <w:bidi w:val="0"/>
              <w:spacing w:before="0" w:after="283"/>
              <w:jc w:val="left"/>
              <w:rPr/>
            </w:pPr>
            <w:r>
              <w:rPr/>
              <w:t> </w:t>
            </w:r>
          </w:p>
        </w:tc>
        <w:tc>
          <w:tcPr>
            <w:tcW w:w="6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82" w:name="xdx_981_eus-gaap--SharesOutstanding_iE_c"/>
            <w:bookmarkEnd w:id="182"/>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1,081,460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183" w:name="xdx_982_eus-gaap--StockholdersEquityIncl"/>
            <w:bookmarkEnd w:id="183"/>
          </w:p>
        </w:tc>
        <w:tc>
          <w:tcPr>
            <w:tcW w:w="640" w:type="dxa"/>
            <w:tcBorders>
              <w:bottom w:val="double" w:sz="6" w:space="0" w:color="000000"/>
            </w:tcBorders>
            <w:shd w:fill="EEEEEE" w:val="clear"/>
            <w:tcMar>
              <w:bottom w:w="28" w:type="dxa"/>
            </w:tcMar>
            <w:vAlign w:val="center"/>
          </w:tcPr>
          <w:p>
            <w:pPr>
              <w:pStyle w:val="TableContents"/>
              <w:bidi w:val="0"/>
              <w:spacing w:before="0" w:after="283"/>
              <w:jc w:val="right"/>
              <w:rPr/>
            </w:pPr>
            <w:r>
              <w:rPr/>
              <w:t>1,082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34,891,869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EEEEEE" w:val="clear"/>
            <w:tcMar>
              <w:bottom w:w="28" w:type="dxa"/>
            </w:tcMar>
            <w:vAlign w:val="center"/>
          </w:tcPr>
          <w:p>
            <w:pPr>
              <w:pStyle w:val="TableContents"/>
              <w:bidi w:val="0"/>
              <w:spacing w:before="0" w:after="283"/>
              <w:jc w:val="right"/>
              <w:rPr/>
            </w:pPr>
            <w:r>
              <w:rPr/>
              <w:t>(16,925,818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EEEEEE" w:val="clear"/>
            <w:tcMar>
              <w:bottom w:w="28" w:type="dxa"/>
            </w:tcMar>
            <w:vAlign w:val="center"/>
          </w:tcPr>
          <w:p>
            <w:pPr>
              <w:pStyle w:val="TableContents"/>
              <w:bidi w:val="0"/>
              <w:spacing w:before="0" w:after="283"/>
              <w:jc w:val="right"/>
              <w:rPr/>
            </w:pPr>
            <w:r>
              <w:rPr/>
              <w:t>(47,462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98" w:type="dxa"/>
            <w:tcBorders>
              <w:bottom w:val="double" w:sz="6" w:space="0" w:color="000000"/>
            </w:tcBorders>
            <w:shd w:fill="EEEEEE" w:val="clear"/>
            <w:tcMar>
              <w:bottom w:w="28" w:type="dxa"/>
            </w:tcMar>
            <w:vAlign w:val="center"/>
          </w:tcPr>
          <w:p>
            <w:pPr>
              <w:pStyle w:val="TableContents"/>
              <w:bidi w:val="0"/>
              <w:spacing w:before="0" w:after="283"/>
              <w:jc w:val="right"/>
              <w:rPr/>
            </w:pPr>
            <w:r>
              <w:rPr/>
              <w:t>64,671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17,984,342</w:t>
            </w:r>
          </w:p>
        </w:tc>
        <w:tc>
          <w:tcPr>
            <w:tcW w:w="75" w:type="dxa"/>
            <w:tcBorders/>
            <w:shd w:fill="EEEEEE"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64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ind w:left="0" w:right="0" w:hanging="100"/>
              <w:jc w:val="left"/>
              <w:rPr/>
            </w:pPr>
            <w:r>
              <w:rPr/>
              <w:t> </w:t>
            </w:r>
            <w:bookmarkStart w:id="184" w:name="xdx_437_c20240701__20240930_eus-gaap--St"/>
            <w:bookmarkEnd w:id="184"/>
          </w:p>
        </w:tc>
      </w:tr>
      <w:tr>
        <w:trPr/>
        <w:tc>
          <w:tcPr>
            <w:tcW w:w="1340" w:type="dxa"/>
            <w:tcBorders/>
            <w:shd w:fill="FFFFFF" w:val="clear"/>
            <w:vAlign w:val="center"/>
          </w:tcPr>
          <w:p>
            <w:pPr>
              <w:pStyle w:val="TableContents"/>
              <w:bidi w:val="0"/>
              <w:spacing w:before="0" w:after="283"/>
              <w:jc w:val="left"/>
              <w:rPr/>
            </w:pPr>
            <w:r>
              <w:rPr/>
              <w:t>Balance,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5" w:name="xdx_98E_eus-gaap--SharesOutstanding_iS_c"/>
            <w:bookmarkEnd w:id="185"/>
          </w:p>
        </w:tc>
        <w:tc>
          <w:tcPr>
            <w:tcW w:w="980" w:type="dxa"/>
            <w:tcBorders/>
            <w:shd w:fill="FFFFFF" w:val="clear"/>
            <w:vAlign w:val="center"/>
          </w:tcPr>
          <w:p>
            <w:pPr>
              <w:pStyle w:val="TableContents"/>
              <w:bidi w:val="0"/>
              <w:spacing w:before="0" w:after="283"/>
              <w:jc w:val="right"/>
              <w:rPr/>
            </w:pPr>
            <w:r>
              <w:rPr/>
              <w:t>1,045,330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bookmarkStart w:id="186" w:name="xdx_98B_eus-gaap--StockholdersEquityIncl"/>
            <w:bookmarkEnd w:id="186"/>
          </w:p>
        </w:tc>
        <w:tc>
          <w:tcPr>
            <w:tcW w:w="640" w:type="dxa"/>
            <w:tcBorders/>
            <w:shd w:fill="FFFFFF" w:val="clear"/>
            <w:vAlign w:val="center"/>
          </w:tcPr>
          <w:p>
            <w:pPr>
              <w:pStyle w:val="TableContents"/>
              <w:bidi w:val="0"/>
              <w:spacing w:before="0" w:after="283"/>
              <w:jc w:val="right"/>
              <w:rPr/>
            </w:pPr>
            <w:r>
              <w:rPr/>
              <w:t>1,045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33,494,199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1" w:type="dxa"/>
            <w:tcBorders/>
            <w:shd w:fill="FFFFFF" w:val="clear"/>
            <w:vAlign w:val="center"/>
          </w:tcPr>
          <w:p>
            <w:pPr>
              <w:pStyle w:val="TableContents"/>
              <w:bidi w:val="0"/>
              <w:spacing w:before="0" w:after="283"/>
              <w:jc w:val="right"/>
              <w:rPr/>
            </w:pPr>
            <w:r>
              <w:rPr/>
              <w:t>(10,230,601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(38,204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298" w:type="dxa"/>
            <w:tcBorders/>
            <w:shd w:fill="FFFFFF" w:val="clear"/>
            <w:vAlign w:val="center"/>
          </w:tcPr>
          <w:p>
            <w:pPr>
              <w:pStyle w:val="TableContents"/>
              <w:bidi w:val="0"/>
              <w:spacing w:before="0" w:after="283"/>
              <w:jc w:val="right"/>
              <w:rPr/>
            </w:pPr>
            <w:r>
              <w:rPr/>
              <w:t>(210,406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23,016,033</w:t>
            </w:r>
          </w:p>
        </w:tc>
        <w:tc>
          <w:tcPr>
            <w:tcW w:w="75" w:type="dxa"/>
            <w:tcBorders/>
            <w:shd w:fill="FFFFFF" w:val="clear"/>
            <w:vAlign w:val="center"/>
          </w:tcPr>
          <w:p>
            <w:pPr>
              <w:pStyle w:val="TableContents"/>
              <w:bidi w:val="0"/>
              <w:spacing w:before="0" w:after="283"/>
              <w:ind w:left="0" w:right="0" w:hanging="100"/>
              <w:jc w:val="left"/>
              <w:rPr/>
            </w:pPr>
            <w:r>
              <w:rPr/>
              <w:t> </w:t>
            </w:r>
            <w:bookmarkStart w:id="187" w:name="xdx_407_eus-gaap--IncomeLossFromContinui"/>
            <w:bookmarkEnd w:id="187"/>
          </w:p>
        </w:tc>
      </w:tr>
      <w:tr>
        <w:trPr/>
        <w:tc>
          <w:tcPr>
            <w:tcW w:w="1340" w:type="dxa"/>
            <w:tcBorders/>
            <w:shd w:fill="EEEEEE" w:val="clear"/>
            <w:vAlign w:val="center"/>
          </w:tcPr>
          <w:p>
            <w:pPr>
              <w:pStyle w:val="TableContents"/>
              <w:bidi w:val="0"/>
              <w:spacing w:before="0" w:after="283"/>
              <w:jc w:val="left"/>
              <w:rPr/>
            </w:pPr>
            <w:r>
              <w:rPr/>
              <w:t>Net loss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64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(2,029,281</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(2,836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(2,032,117</w:t>
            </w:r>
          </w:p>
        </w:tc>
        <w:tc>
          <w:tcPr>
            <w:tcW w:w="75" w:type="dxa"/>
            <w:tcBorders/>
            <w:shd w:fill="EEEEEE" w:val="clear"/>
            <w:vAlign w:val="center"/>
          </w:tcPr>
          <w:p>
            <w:pPr>
              <w:pStyle w:val="TableContents"/>
              <w:bidi w:val="0"/>
              <w:spacing w:before="0" w:after="283"/>
              <w:ind w:left="0" w:right="0" w:hanging="100"/>
              <w:jc w:val="left"/>
              <w:rPr/>
            </w:pPr>
            <w:r>
              <w:rPr/>
              <w:t>)</w:t>
            </w:r>
            <w:bookmarkStart w:id="188" w:name="xdx_406_eus-gaap--AdjustmentsToAdditiona"/>
            <w:bookmarkEnd w:id="188"/>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205,960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205,960</w:t>
            </w:r>
          </w:p>
        </w:tc>
        <w:tc>
          <w:tcPr>
            <w:tcW w:w="75" w:type="dxa"/>
            <w:tcBorders/>
            <w:shd w:fill="FFFFFF" w:val="clear"/>
            <w:vAlign w:val="center"/>
          </w:tcPr>
          <w:p>
            <w:pPr>
              <w:pStyle w:val="TableContents"/>
              <w:bidi w:val="0"/>
              <w:spacing w:before="0" w:after="283"/>
              <w:ind w:left="0" w:right="0" w:hanging="100"/>
              <w:jc w:val="left"/>
              <w:rPr/>
            </w:pPr>
            <w:r>
              <w:rPr/>
              <w:t> </w:t>
            </w:r>
            <w:bookmarkStart w:id="189" w:name="xdx_40A_eus-gaap--OtherComprehensiveInco"/>
            <w:bookmarkEnd w:id="189"/>
          </w:p>
        </w:tc>
      </w:tr>
      <w:tr>
        <w:trPr/>
        <w:tc>
          <w:tcPr>
            <w:tcW w:w="1340" w:type="dxa"/>
            <w:tcBorders/>
            <w:shd w:fill="EEEEEE" w:val="clear"/>
            <w:vAlign w:val="center"/>
          </w:tcPr>
          <w:p>
            <w:pPr>
              <w:pStyle w:val="TableContents"/>
              <w:bidi w:val="0"/>
              <w:spacing w:before="0" w:after="283"/>
              <w:jc w:val="left"/>
              <w:rPr/>
            </w:pPr>
            <w:r>
              <w:rPr/>
              <w:t>Foreign currency translation adjustments</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EEEEEE" w:val="clear"/>
            <w:tcMar>
              <w:bottom w:w="28" w:type="dxa"/>
            </w:tcMar>
            <w:vAlign w:val="center"/>
          </w:tcPr>
          <w:p>
            <w:pPr>
              <w:pStyle w:val="TableContents"/>
              <w:bidi w:val="0"/>
              <w:spacing w:before="0" w:after="283"/>
              <w:jc w:val="right"/>
              <w:rPr/>
            </w:pPr>
            <w:r>
              <w:rPr/>
              <w:t>(55,054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(55,054</w:t>
            </w:r>
          </w:p>
        </w:tc>
        <w:tc>
          <w:tcPr>
            <w:tcW w:w="75" w:type="dxa"/>
            <w:tcBorders/>
            <w:shd w:fill="EEEEEE" w:val="clear"/>
            <w:vAlign w:val="center"/>
          </w:tcPr>
          <w:p>
            <w:pPr>
              <w:pStyle w:val="TableContents"/>
              <w:bidi w:val="0"/>
              <w:spacing w:before="0" w:after="283"/>
              <w:ind w:left="0" w:right="0" w:hanging="100"/>
              <w:jc w:val="left"/>
              <w:rPr/>
            </w:pPr>
            <w:r>
              <w:rPr/>
              <w:t>)</w:t>
            </w:r>
            <w:bookmarkStart w:id="190" w:name="xdx_43F_c20241001__20241231_eus-gaap--St"/>
            <w:bookmarkEnd w:id="190"/>
          </w:p>
        </w:tc>
      </w:tr>
      <w:tr>
        <w:trPr/>
        <w:tc>
          <w:tcPr>
            <w:tcW w:w="1340" w:type="dxa"/>
            <w:tcBorders/>
            <w:shd w:fill="FFFFFF" w:val="clear"/>
            <w:vAlign w:val="center"/>
          </w:tcPr>
          <w:p>
            <w:pPr>
              <w:pStyle w:val="TableContents"/>
              <w:bidi w:val="0"/>
              <w:spacing w:before="0" w:after="283"/>
              <w:jc w:val="left"/>
              <w:rPr/>
            </w:pPr>
            <w:r>
              <w:rPr/>
              <w:t>Balance, September 30, 2024, 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1" w:name="xdx_989_eus-gaap--SharesOutstanding_iS_c"/>
            <w:bookmarkEnd w:id="191"/>
          </w:p>
        </w:tc>
        <w:tc>
          <w:tcPr>
            <w:tcW w:w="980" w:type="dxa"/>
            <w:tcBorders/>
            <w:shd w:fill="FFFFFF" w:val="clear"/>
            <w:vAlign w:val="center"/>
          </w:tcPr>
          <w:p>
            <w:pPr>
              <w:pStyle w:val="TableContents"/>
              <w:bidi w:val="0"/>
              <w:spacing w:before="0" w:after="283"/>
              <w:jc w:val="right"/>
              <w:rPr/>
            </w:pPr>
            <w:r>
              <w:rPr/>
              <w:t>1,045,330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bookmarkStart w:id="192" w:name="xdx_984_eus-gaap--StockholdersEquityIncl"/>
            <w:bookmarkEnd w:id="192"/>
          </w:p>
        </w:tc>
        <w:tc>
          <w:tcPr>
            <w:tcW w:w="640" w:type="dxa"/>
            <w:tcBorders/>
            <w:shd w:fill="FFFFFF" w:val="clear"/>
            <w:vAlign w:val="center"/>
          </w:tcPr>
          <w:p>
            <w:pPr>
              <w:pStyle w:val="TableContents"/>
              <w:bidi w:val="0"/>
              <w:spacing w:before="0" w:after="283"/>
              <w:jc w:val="right"/>
              <w:rPr/>
            </w:pPr>
            <w:r>
              <w:rPr/>
              <w:t>1,045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33,700,159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1" w:type="dxa"/>
            <w:tcBorders/>
            <w:shd w:fill="FFFFFF" w:val="clear"/>
            <w:vAlign w:val="center"/>
          </w:tcPr>
          <w:p>
            <w:pPr>
              <w:pStyle w:val="TableContents"/>
              <w:bidi w:val="0"/>
              <w:spacing w:before="0" w:after="283"/>
              <w:jc w:val="right"/>
              <w:rPr/>
            </w:pPr>
            <w:r>
              <w:rPr/>
              <w:t>(12,259,882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(41,040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298" w:type="dxa"/>
            <w:tcBorders/>
            <w:shd w:fill="FFFFFF" w:val="clear"/>
            <w:vAlign w:val="center"/>
          </w:tcPr>
          <w:p>
            <w:pPr>
              <w:pStyle w:val="TableContents"/>
              <w:bidi w:val="0"/>
              <w:spacing w:before="0" w:after="283"/>
              <w:jc w:val="right"/>
              <w:rPr/>
            </w:pPr>
            <w:r>
              <w:rPr/>
              <w:t>(265,460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21,134,822</w:t>
            </w:r>
          </w:p>
        </w:tc>
        <w:tc>
          <w:tcPr>
            <w:tcW w:w="75" w:type="dxa"/>
            <w:tcBorders/>
            <w:shd w:fill="FFFFFF" w:val="clear"/>
            <w:vAlign w:val="center"/>
          </w:tcPr>
          <w:p>
            <w:pPr>
              <w:pStyle w:val="TableContents"/>
              <w:bidi w:val="0"/>
              <w:spacing w:before="0" w:after="283"/>
              <w:ind w:left="0" w:right="0" w:hanging="100"/>
              <w:jc w:val="left"/>
              <w:rPr/>
            </w:pPr>
            <w:r>
              <w:rPr/>
              <w:t> </w:t>
            </w:r>
            <w:bookmarkStart w:id="193" w:name="xdx_407_eus-gaap--IncomeLossFromContinui"/>
            <w:bookmarkEnd w:id="193"/>
          </w:p>
        </w:tc>
      </w:tr>
      <w:tr>
        <w:trPr/>
        <w:tc>
          <w:tcPr>
            <w:tcW w:w="1340" w:type="dxa"/>
            <w:tcBorders/>
            <w:shd w:fill="EEEEEE" w:val="clear"/>
            <w:vAlign w:val="center"/>
          </w:tcPr>
          <w:p>
            <w:pPr>
              <w:pStyle w:val="TableContents"/>
              <w:bidi w:val="0"/>
              <w:spacing w:before="0" w:after="283"/>
              <w:jc w:val="left"/>
              <w:rPr/>
            </w:pPr>
            <w:r>
              <w:rPr/>
              <w:t>Net income (loss)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p>
        </w:tc>
        <w:tc>
          <w:tcPr>
            <w:tcW w:w="64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218,819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(3,155</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215,664</w:t>
            </w:r>
          </w:p>
        </w:tc>
        <w:tc>
          <w:tcPr>
            <w:tcW w:w="75" w:type="dxa"/>
            <w:tcBorders/>
            <w:shd w:fill="EEEEEE" w:val="clear"/>
            <w:vAlign w:val="center"/>
          </w:tcPr>
          <w:p>
            <w:pPr>
              <w:pStyle w:val="TableContents"/>
              <w:bidi w:val="0"/>
              <w:spacing w:before="0" w:after="283"/>
              <w:ind w:left="0" w:right="0" w:hanging="100"/>
              <w:jc w:val="left"/>
              <w:rPr/>
            </w:pPr>
            <w:r>
              <w:rPr/>
              <w:t> </w:t>
            </w:r>
            <w:bookmarkStart w:id="194" w:name="xdx_406_eus-gaap--AdjustmentsToAdditiona"/>
            <w:bookmarkEnd w:id="194"/>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197,313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197,313</w:t>
            </w:r>
          </w:p>
        </w:tc>
        <w:tc>
          <w:tcPr>
            <w:tcW w:w="75" w:type="dxa"/>
            <w:tcBorders/>
            <w:shd w:fill="FFFFFF" w:val="clear"/>
            <w:vAlign w:val="center"/>
          </w:tcPr>
          <w:p>
            <w:pPr>
              <w:pStyle w:val="TableContents"/>
              <w:bidi w:val="0"/>
              <w:spacing w:before="0" w:after="283"/>
              <w:ind w:left="0" w:right="0" w:hanging="100"/>
              <w:jc w:val="left"/>
              <w:rPr/>
            </w:pPr>
            <w:r>
              <w:rPr/>
              <w:t> </w:t>
            </w:r>
            <w:bookmarkStart w:id="195" w:name="xdx_40A_eus-gaap--OtherComprehensiveInco"/>
            <w:bookmarkEnd w:id="195"/>
          </w:p>
        </w:tc>
      </w:tr>
      <w:tr>
        <w:trPr/>
        <w:tc>
          <w:tcPr>
            <w:tcW w:w="1340" w:type="dxa"/>
            <w:tcBorders/>
            <w:shd w:fill="EEEEEE" w:val="clear"/>
            <w:vAlign w:val="center"/>
          </w:tcPr>
          <w:p>
            <w:pPr>
              <w:pStyle w:val="TableContents"/>
              <w:bidi w:val="0"/>
              <w:spacing w:before="0" w:after="283"/>
              <w:jc w:val="left"/>
              <w:rPr/>
            </w:pPr>
            <w:r>
              <w:rPr/>
              <w:t>Foreign currency translation adjustments</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EEEEEE" w:val="clear"/>
            <w:tcMar>
              <w:bottom w:w="28" w:type="dxa"/>
            </w:tcMar>
            <w:vAlign w:val="center"/>
          </w:tcPr>
          <w:p>
            <w:pPr>
              <w:pStyle w:val="TableContents"/>
              <w:bidi w:val="0"/>
              <w:spacing w:before="0" w:after="283"/>
              <w:jc w:val="right"/>
              <w:rPr/>
            </w:pPr>
            <w:r>
              <w:rPr/>
              <w:t>156,130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156,130</w:t>
            </w:r>
          </w:p>
        </w:tc>
        <w:tc>
          <w:tcPr>
            <w:tcW w:w="75" w:type="dxa"/>
            <w:tcBorders/>
            <w:shd w:fill="EEEEEE" w:val="clear"/>
            <w:vAlign w:val="center"/>
          </w:tcPr>
          <w:p>
            <w:pPr>
              <w:pStyle w:val="TableContents"/>
              <w:bidi w:val="0"/>
              <w:spacing w:before="0" w:after="283"/>
              <w:ind w:left="0" w:right="0" w:hanging="100"/>
              <w:jc w:val="left"/>
              <w:rPr/>
            </w:pPr>
            <w:r>
              <w:rPr/>
              <w:t> </w:t>
            </w:r>
            <w:bookmarkStart w:id="196" w:name="xdx_434_c20241001__20241231_eus-gaap--St"/>
            <w:bookmarkEnd w:id="196"/>
          </w:p>
        </w:tc>
      </w:tr>
      <w:tr>
        <w:trPr/>
        <w:tc>
          <w:tcPr>
            <w:tcW w:w="1340" w:type="dxa"/>
            <w:tcBorders/>
            <w:shd w:fill="FFFFFF" w:val="clear"/>
            <w:vAlign w:val="center"/>
          </w:tcPr>
          <w:p>
            <w:pPr>
              <w:pStyle w:val="TableContents"/>
              <w:bidi w:val="0"/>
              <w:spacing w:before="0" w:after="283"/>
              <w:jc w:val="left"/>
              <w:rPr/>
            </w:pPr>
            <w:r>
              <w:rPr/>
              <w:t>Balance, December 31, 2024,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7" w:name="xdx_98D_eus-gaap--SharesOutstanding_iE_c"/>
            <w:bookmarkEnd w:id="197"/>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1,045,330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98" w:name="xdx_980_eus-gaap--StockholdersEquityIncl"/>
            <w:bookmarkEnd w:id="198"/>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pPr>
            <w:r>
              <w:rPr/>
              <w:t>1,045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33,897,472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FFFFFF" w:val="clear"/>
            <w:tcMar>
              <w:bottom w:w="28" w:type="dxa"/>
            </w:tcMar>
            <w:vAlign w:val="center"/>
          </w:tcPr>
          <w:p>
            <w:pPr>
              <w:pStyle w:val="TableContents"/>
              <w:bidi w:val="0"/>
              <w:spacing w:before="0" w:after="283"/>
              <w:jc w:val="right"/>
              <w:rPr/>
            </w:pPr>
            <w:r>
              <w:rPr/>
              <w:t>(12,041,063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(44,195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pPr>
            <w:r>
              <w:rPr/>
              <w:t>(109,330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21,703,929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sz w:val="20"/>
              </w:rPr>
            </w:pPr>
            <w:r>
              <w:rPr>
                <w:sz w:val="20"/>
              </w:rPr>
              <w:t>**</w:t>
            </w:r>
          </w:p>
        </w:tc>
        <w:tc>
          <w:tcPr>
            <w:tcW w:w="10027" w:type="dxa"/>
            <w:tcBorders/>
            <w:vAlign w:val="center"/>
          </w:tcPr>
          <w:p>
            <w:pPr>
              <w:pStyle w:val="TableContents"/>
              <w:bidi w:val="0"/>
              <w:spacing w:before="0" w:after="283"/>
              <w:jc w:val="both"/>
              <w:rPr>
                <w:i/>
                <w:sz w:val="20"/>
              </w:rPr>
            </w:pPr>
            <w:r>
              <w:rPr>
                <w:i/>
                <w:sz w:val="20"/>
              </w:rPr>
              <w:t>Unless otherwise indicated, all shares of common stock and per share numbers in the unaudited condensed consolidated financial statements and notes below have been adjusted retroactively to reflect the 1-for-30 reverse stock split effected on October 27, 2025, for all periods presented (see Note 15 for details).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199" w:name="q2_006"/>
      <w:bookmarkEnd w:id="199"/>
      <w:r>
        <w:rPr>
          <w:rFonts w:ascii="Times New Roman;Times;Serif" w:hAnsi="Times New Roman;Times;Serif"/>
          <w:b w:val="false"/>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December 31, 2025 and 2024</w:t>
      </w:r>
    </w:p>
    <w:p>
      <w:pPr>
        <w:pStyle w:val="TextBody"/>
        <w:bidi w:val="0"/>
        <w:jc w:val="center"/>
        <w:rPr/>
      </w:pPr>
      <w:r>
        <w:rPr/>
        <w:t> </w:t>
      </w:r>
    </w:p>
    <w:p>
      <w:pPr>
        <w:pStyle w:val="Normal"/>
        <w:bidi w:val="0"/>
        <w:spacing w:before="0" w:after="0"/>
        <w:jc w:val="left"/>
        <w:rPr>
          <w:sz w:val="4"/>
          <w:szCs w:val="4"/>
        </w:rPr>
      </w:pPr>
      <w:r>
        <w:rPr>
          <w:sz w:val="4"/>
          <w:szCs w:val="4"/>
        </w:rPr>
      </w:r>
      <w:bookmarkStart w:id="200" w:name="xdx_302_112_zg3JI2wrcO22"/>
      <w:bookmarkStart w:id="201" w:name="xdx_302_112_zg3JI2wrcO22"/>
      <w:bookmarkEnd w:id="201"/>
    </w:p>
    <w:tbl>
      <w:tblPr>
        <w:tblW w:w="10205" w:type="dxa"/>
        <w:jc w:val="left"/>
        <w:tblInd w:w="0" w:type="dxa"/>
        <w:tblLayout w:type="fixed"/>
        <w:tblCellMar>
          <w:top w:w="0" w:type="dxa"/>
          <w:left w:w="0" w:type="dxa"/>
          <w:bottom w:w="0" w:type="dxa"/>
          <w:right w:w="0" w:type="dxa"/>
        </w:tblCellMar>
      </w:tblPr>
      <w:tblGrid>
        <w:gridCol w:w="6731"/>
        <w:gridCol w:w="60"/>
        <w:gridCol w:w="181"/>
        <w:gridCol w:w="1369"/>
        <w:gridCol w:w="123"/>
        <w:gridCol w:w="77"/>
        <w:gridCol w:w="181"/>
        <w:gridCol w:w="1369"/>
        <w:gridCol w:w="114"/>
      </w:tblGrid>
      <w:tr>
        <w:trPr/>
        <w:tc>
          <w:tcPr>
            <w:tcW w:w="67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02" w:name="xdx_49D_20250701__20251231_zQARqrawyyge"/>
            <w:bookmarkEnd w:id="202"/>
          </w:p>
        </w:tc>
        <w:tc>
          <w:tcPr>
            <w:tcW w:w="1550" w:type="dxa"/>
            <w:gridSpan w:val="2"/>
            <w:tcBorders/>
            <w:vAlign w:val="center"/>
          </w:tcPr>
          <w:p>
            <w:pPr>
              <w:pStyle w:val="TableContents"/>
              <w:bidi w:val="0"/>
              <w:spacing w:before="0" w:after="283"/>
              <w:jc w:val="center"/>
              <w:rPr/>
            </w:pPr>
            <w:r>
              <w:rPr/>
              <w:t> </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bookmarkStart w:id="203" w:name="xdx_492_20240701__20241231_zbmO8ek5tGo8"/>
            <w:bookmarkEnd w:id="203"/>
          </w:p>
        </w:tc>
        <w:tc>
          <w:tcPr>
            <w:tcW w:w="1550"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67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00" w:type="dxa"/>
            <w:gridSpan w:val="6"/>
            <w:tcBorders/>
            <w:vAlign w:val="center"/>
          </w:tcPr>
          <w:p>
            <w:pPr>
              <w:pStyle w:val="TableContents"/>
              <w:bidi w:val="0"/>
              <w:spacing w:before="0" w:after="283"/>
              <w:jc w:val="center"/>
              <w:rPr/>
            </w:pPr>
            <w:r>
              <w:rPr/>
              <w:t>For the Six Months Ended December 31,</w:t>
            </w:r>
          </w:p>
        </w:tc>
        <w:tc>
          <w:tcPr>
            <w:tcW w:w="114" w:type="dxa"/>
            <w:tcBorders/>
            <w:vAlign w:val="center"/>
          </w:tcPr>
          <w:p>
            <w:pPr>
              <w:pStyle w:val="TableContents"/>
              <w:bidi w:val="0"/>
              <w:spacing w:before="0" w:after="283"/>
              <w:jc w:val="left"/>
              <w:rPr/>
            </w:pPr>
            <w:r>
              <w:rPr/>
              <w:t> </w:t>
            </w:r>
          </w:p>
        </w:tc>
      </w:tr>
      <w:tr>
        <w:trPr/>
        <w:tc>
          <w:tcPr>
            <w:tcW w:w="67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4" w:type="dxa"/>
            <w:tcBorders/>
            <w:vAlign w:val="center"/>
          </w:tcPr>
          <w:p>
            <w:pPr>
              <w:pStyle w:val="TableContents"/>
              <w:bidi w:val="0"/>
              <w:spacing w:before="0" w:after="283"/>
              <w:jc w:val="left"/>
              <w:rPr/>
            </w:pPr>
            <w:r>
              <w:rPr/>
              <w:t> </w:t>
            </w:r>
          </w:p>
        </w:tc>
      </w:tr>
      <w:tr>
        <w:trPr/>
        <w:tc>
          <w:tcPr>
            <w:tcW w:w="67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pPr>
            <w:r>
              <w:rPr/>
              <w:t>(Unaudited)</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pPr>
            <w:r>
              <w:rPr/>
              <w:t>(Unaudited)</w:t>
            </w:r>
          </w:p>
        </w:tc>
        <w:tc>
          <w:tcPr>
            <w:tcW w:w="114" w:type="dxa"/>
            <w:tcBorders/>
            <w:vAlign w:val="center"/>
          </w:tcPr>
          <w:p>
            <w:pPr>
              <w:pStyle w:val="TableContents"/>
              <w:bidi w:val="0"/>
              <w:spacing w:before="0" w:after="283"/>
              <w:jc w:val="left"/>
              <w:rPr/>
            </w:pPr>
            <w:r>
              <w:rPr/>
              <w:t> </w:t>
            </w:r>
            <w:bookmarkStart w:id="204" w:name="xdx_40D_eus-gaap--NetCashProvidedByUsedI"/>
            <w:bookmarkEnd w:id="204"/>
          </w:p>
        </w:tc>
      </w:tr>
      <w:tr>
        <w:trPr/>
        <w:tc>
          <w:tcPr>
            <w:tcW w:w="6731" w:type="dxa"/>
            <w:tcBorders/>
            <w:shd w:fill="EEEEEE" w:val="clear"/>
            <w:vAlign w:val="center"/>
          </w:tcPr>
          <w:p>
            <w:pPr>
              <w:pStyle w:val="TableContents"/>
              <w:bidi w:val="0"/>
              <w:spacing w:before="0" w:after="283"/>
              <w:jc w:val="left"/>
              <w:rPr/>
            </w:pPr>
            <w:r>
              <w:rPr/>
              <w:t>CASH FLOWS FROM OPERATING ACTIVITIES: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205" w:name="xdx_40E_eus-gaap--IncomeLossFromContinui"/>
            <w:bookmarkEnd w:id="205"/>
          </w:p>
        </w:tc>
      </w:tr>
      <w:tr>
        <w:trPr/>
        <w:tc>
          <w:tcPr>
            <w:tcW w:w="673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369" w:type="dxa"/>
            <w:tcBorders/>
            <w:shd w:fill="FFFFFF" w:val="clear"/>
            <w:vAlign w:val="center"/>
          </w:tcPr>
          <w:p>
            <w:pPr>
              <w:pStyle w:val="TableContents"/>
              <w:bidi w:val="0"/>
              <w:spacing w:before="0" w:after="283"/>
              <w:jc w:val="right"/>
              <w:rPr/>
            </w:pPr>
            <w:r>
              <w:rPr/>
              <w:t>(1,726,929</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369" w:type="dxa"/>
            <w:tcBorders/>
            <w:shd w:fill="FFFFFF" w:val="clear"/>
            <w:vAlign w:val="center"/>
          </w:tcPr>
          <w:p>
            <w:pPr>
              <w:pStyle w:val="TableContents"/>
              <w:bidi w:val="0"/>
              <w:spacing w:before="0" w:after="283"/>
              <w:jc w:val="right"/>
              <w:rPr/>
            </w:pPr>
            <w:r>
              <w:rPr/>
              <w:t>(1,816,453</w:t>
            </w:r>
          </w:p>
        </w:tc>
        <w:tc>
          <w:tcPr>
            <w:tcW w:w="114" w:type="dxa"/>
            <w:tcBorders/>
            <w:shd w:fill="FFFFFF" w:val="clear"/>
            <w:vAlign w:val="center"/>
          </w:tcPr>
          <w:p>
            <w:pPr>
              <w:pStyle w:val="TableContents"/>
              <w:bidi w:val="0"/>
              <w:spacing w:before="0" w:after="283"/>
              <w:ind w:left="0" w:right="0" w:hanging="200"/>
              <w:jc w:val="left"/>
              <w:rPr/>
            </w:pPr>
            <w:r>
              <w:rPr/>
              <w:t>)</w:t>
            </w:r>
            <w:bookmarkStart w:id="206" w:name="xdx_40F_eus-gaap--AdjustmentsToReconcile"/>
            <w:bookmarkEnd w:id="206"/>
          </w:p>
        </w:tc>
      </w:tr>
      <w:tr>
        <w:trPr/>
        <w:tc>
          <w:tcPr>
            <w:tcW w:w="6731" w:type="dxa"/>
            <w:tcBorders/>
            <w:shd w:fill="EEEEEE" w:val="clear"/>
            <w:vAlign w:val="center"/>
          </w:tcPr>
          <w:p>
            <w:pPr>
              <w:pStyle w:val="TableContents"/>
              <w:bidi w:val="0"/>
              <w:spacing w:before="0" w:after="283"/>
              <w:jc w:val="left"/>
              <w:rPr/>
            </w:pPr>
            <w:r>
              <w:rPr/>
              <w:t>Adjustments to reconcile net (loss) income to cash provided by (used in) operating activities: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207" w:name="xdx_40F_eus-gaap--DepreciationDepletionA"/>
            <w:bookmarkEnd w:id="207"/>
          </w:p>
        </w:tc>
      </w:tr>
      <w:tr>
        <w:trPr/>
        <w:tc>
          <w:tcPr>
            <w:tcW w:w="6731"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395,751</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392,568</w:t>
            </w:r>
          </w:p>
        </w:tc>
        <w:tc>
          <w:tcPr>
            <w:tcW w:w="114" w:type="dxa"/>
            <w:tcBorders/>
            <w:shd w:fill="FFFFFF" w:val="clear"/>
            <w:vAlign w:val="center"/>
          </w:tcPr>
          <w:p>
            <w:pPr>
              <w:pStyle w:val="TableContents"/>
              <w:bidi w:val="0"/>
              <w:spacing w:before="0" w:after="283"/>
              <w:jc w:val="left"/>
              <w:rPr/>
            </w:pPr>
            <w:r>
              <w:rPr/>
              <w:t> </w:t>
            </w:r>
            <w:bookmarkStart w:id="208" w:name="xdx_407_eus-gaap--InventoryLIFOReservePe"/>
            <w:bookmarkEnd w:id="208"/>
          </w:p>
        </w:tc>
      </w:tr>
      <w:tr>
        <w:trPr/>
        <w:tc>
          <w:tcPr>
            <w:tcW w:w="6731" w:type="dxa"/>
            <w:tcBorders/>
            <w:shd w:fill="EEEEEE" w:val="clear"/>
            <w:vAlign w:val="center"/>
          </w:tcPr>
          <w:p>
            <w:pPr>
              <w:pStyle w:val="TableContents"/>
              <w:bidi w:val="0"/>
              <w:spacing w:before="0" w:after="283"/>
              <w:jc w:val="left"/>
              <w:rPr/>
            </w:pPr>
            <w:r>
              <w:rPr/>
              <w:t>Inventory reserve</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58,453</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288,474</w:t>
            </w:r>
          </w:p>
        </w:tc>
        <w:tc>
          <w:tcPr>
            <w:tcW w:w="114" w:type="dxa"/>
            <w:tcBorders/>
            <w:shd w:fill="EEEEEE" w:val="clear"/>
            <w:vAlign w:val="center"/>
          </w:tcPr>
          <w:p>
            <w:pPr>
              <w:pStyle w:val="TableContents"/>
              <w:bidi w:val="0"/>
              <w:spacing w:before="0" w:after="283"/>
              <w:jc w:val="left"/>
              <w:rPr/>
            </w:pPr>
            <w:r>
              <w:rPr/>
              <w:t> </w:t>
            </w:r>
            <w:bookmarkStart w:id="209" w:name="xdx_401_eus-gaap--ProvisionForDoubtfulAc"/>
            <w:bookmarkEnd w:id="209"/>
          </w:p>
        </w:tc>
      </w:tr>
      <w:tr>
        <w:trPr/>
        <w:tc>
          <w:tcPr>
            <w:tcW w:w="6731" w:type="dxa"/>
            <w:tcBorders/>
            <w:shd w:fill="FFFFFF" w:val="clear"/>
            <w:vAlign w:val="center"/>
          </w:tcPr>
          <w:p>
            <w:pPr>
              <w:pStyle w:val="TableContents"/>
              <w:bidi w:val="0"/>
              <w:spacing w:before="0" w:after="283"/>
              <w:jc w:val="left"/>
              <w:rPr/>
            </w:pPr>
            <w:r>
              <w:rPr/>
              <w:t>Credit loss reserve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49,713</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1,516,940</w:t>
            </w:r>
          </w:p>
        </w:tc>
        <w:tc>
          <w:tcPr>
            <w:tcW w:w="114" w:type="dxa"/>
            <w:tcBorders/>
            <w:shd w:fill="FFFFFF" w:val="clear"/>
            <w:vAlign w:val="center"/>
          </w:tcPr>
          <w:p>
            <w:pPr>
              <w:pStyle w:val="TableContents"/>
              <w:bidi w:val="0"/>
              <w:spacing w:before="0" w:after="283"/>
              <w:jc w:val="left"/>
              <w:rPr/>
            </w:pPr>
            <w:r>
              <w:rPr/>
              <w:t> </w:t>
            </w:r>
            <w:bookmarkStart w:id="210" w:name="xdx_405_eus-gaap--EquitySecuritiesFvNiGa"/>
            <w:bookmarkEnd w:id="210"/>
          </w:p>
        </w:tc>
      </w:tr>
      <w:tr>
        <w:trPr/>
        <w:tc>
          <w:tcPr>
            <w:tcW w:w="6731" w:type="dxa"/>
            <w:tcBorders/>
            <w:shd w:fill="EEEEEE" w:val="clear"/>
            <w:vAlign w:val="center"/>
          </w:tcPr>
          <w:p>
            <w:pPr>
              <w:pStyle w:val="TableContents"/>
              <w:bidi w:val="0"/>
              <w:spacing w:before="0" w:after="283"/>
              <w:jc w:val="left"/>
              <w:rPr/>
            </w:pPr>
            <w:r>
              <w:rPr/>
              <w:t>Loss on equity method investment</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1,721</w:t>
            </w:r>
          </w:p>
        </w:tc>
        <w:tc>
          <w:tcPr>
            <w:tcW w:w="114" w:type="dxa"/>
            <w:tcBorders/>
            <w:shd w:fill="EEEEEE" w:val="clear"/>
            <w:vAlign w:val="center"/>
          </w:tcPr>
          <w:p>
            <w:pPr>
              <w:pStyle w:val="TableContents"/>
              <w:bidi w:val="0"/>
              <w:spacing w:before="0" w:after="283"/>
              <w:jc w:val="left"/>
              <w:rPr/>
            </w:pPr>
            <w:r>
              <w:rPr/>
              <w:t> </w:t>
            </w:r>
            <w:bookmarkStart w:id="211" w:name="xdx_40B_eus-gaap--ShareBasedCompensation"/>
            <w:bookmarkEnd w:id="211"/>
          </w:p>
        </w:tc>
      </w:tr>
      <w:tr>
        <w:trPr/>
        <w:tc>
          <w:tcPr>
            <w:tcW w:w="6731"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1,100,405</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403,273</w:t>
            </w:r>
          </w:p>
        </w:tc>
        <w:tc>
          <w:tcPr>
            <w:tcW w:w="114" w:type="dxa"/>
            <w:tcBorders/>
            <w:shd w:fill="FFFFFF" w:val="clear"/>
            <w:vAlign w:val="center"/>
          </w:tcPr>
          <w:p>
            <w:pPr>
              <w:pStyle w:val="TableContents"/>
              <w:bidi w:val="0"/>
              <w:spacing w:before="0" w:after="283"/>
              <w:jc w:val="left"/>
              <w:rPr/>
            </w:pPr>
            <w:r>
              <w:rPr/>
              <w:t> </w:t>
            </w:r>
            <w:bookmarkStart w:id="212" w:name="xdx_40A_eus-gaap--IssuanceOfStockAndWarr"/>
            <w:bookmarkEnd w:id="212"/>
          </w:p>
        </w:tc>
      </w:tr>
      <w:tr>
        <w:trPr/>
        <w:tc>
          <w:tcPr>
            <w:tcW w:w="6731" w:type="dxa"/>
            <w:tcBorders/>
            <w:shd w:fill="EEEEEE" w:val="clear"/>
            <w:vAlign w:val="center"/>
          </w:tcPr>
          <w:p>
            <w:pPr>
              <w:pStyle w:val="TableContents"/>
              <w:bidi w:val="0"/>
              <w:spacing w:before="0" w:after="283"/>
              <w:jc w:val="left"/>
              <w:rPr/>
            </w:pPr>
            <w:r>
              <w:rPr/>
              <w:t>Shares issued for consulting services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20,972</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w:t>
            </w:r>
          </w:p>
        </w:tc>
        <w:tc>
          <w:tcPr>
            <w:tcW w:w="114" w:type="dxa"/>
            <w:tcBorders/>
            <w:shd w:fill="EEEEEE" w:val="clear"/>
            <w:vAlign w:val="center"/>
          </w:tcPr>
          <w:p>
            <w:pPr>
              <w:pStyle w:val="TableContents"/>
              <w:bidi w:val="0"/>
              <w:spacing w:before="0" w:after="283"/>
              <w:jc w:val="left"/>
              <w:rPr/>
            </w:pPr>
            <w:r>
              <w:rPr/>
              <w:t> </w:t>
            </w:r>
            <w:bookmarkStart w:id="213" w:name="xdx_406_eus-gaap--DeconsolidationGainOrL"/>
            <w:bookmarkEnd w:id="213"/>
          </w:p>
        </w:tc>
      </w:tr>
      <w:tr>
        <w:trPr/>
        <w:tc>
          <w:tcPr>
            <w:tcW w:w="6731" w:type="dxa"/>
            <w:tcBorders/>
            <w:shd w:fill="FFFFFF" w:val="clear"/>
            <w:vAlign w:val="center"/>
          </w:tcPr>
          <w:p>
            <w:pPr>
              <w:pStyle w:val="TableContents"/>
              <w:bidi w:val="0"/>
              <w:spacing w:before="0" w:after="283"/>
              <w:jc w:val="left"/>
              <w:rPr/>
            </w:pPr>
            <w:r>
              <w:rPr/>
              <w:t>Loss on deconsolidation of VIE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39,624</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14" w:name="xdx_405_eus-gaap--OperatingLeaseRightOfU"/>
            <w:bookmarkEnd w:id="214"/>
          </w:p>
        </w:tc>
      </w:tr>
      <w:tr>
        <w:trPr/>
        <w:tc>
          <w:tcPr>
            <w:tcW w:w="6731" w:type="dxa"/>
            <w:tcBorders/>
            <w:shd w:fill="EEEEEE" w:val="clear"/>
            <w:vAlign w:val="center"/>
          </w:tcPr>
          <w:p>
            <w:pPr>
              <w:pStyle w:val="TableContents"/>
              <w:bidi w:val="0"/>
              <w:spacing w:before="0" w:after="283"/>
              <w:jc w:val="left"/>
              <w:rPr/>
            </w:pPr>
            <w:r>
              <w:rPr/>
              <w:t>Amortization of operating lease right of use assets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628,787</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932,701</w:t>
            </w:r>
          </w:p>
        </w:tc>
        <w:tc>
          <w:tcPr>
            <w:tcW w:w="114" w:type="dxa"/>
            <w:tcBorders/>
            <w:shd w:fill="EEEEEE" w:val="clear"/>
            <w:vAlign w:val="center"/>
          </w:tcPr>
          <w:p>
            <w:pPr>
              <w:pStyle w:val="TableContents"/>
              <w:bidi w:val="0"/>
              <w:spacing w:before="0" w:after="283"/>
              <w:jc w:val="left"/>
              <w:rPr/>
            </w:pPr>
            <w:r>
              <w:rPr/>
              <w:t> </w:t>
            </w:r>
            <w:bookmarkStart w:id="215" w:name="xdx_40D_eus-gaap--DerivativeGainLossOnDe"/>
            <w:bookmarkEnd w:id="215"/>
          </w:p>
        </w:tc>
      </w:tr>
      <w:tr>
        <w:trPr/>
        <w:tc>
          <w:tcPr>
            <w:tcW w:w="6731" w:type="dxa"/>
            <w:tcBorders/>
            <w:shd w:fill="FFFFFF" w:val="clear"/>
            <w:vAlign w:val="center"/>
          </w:tcPr>
          <w:p>
            <w:pPr>
              <w:pStyle w:val="TableContents"/>
              <w:bidi w:val="0"/>
              <w:spacing w:before="0" w:after="283"/>
              <w:jc w:val="left"/>
              <w:rPr/>
            </w:pPr>
            <w:r>
              <w:rPr/>
              <w:t>Change in FV of Derivative Liability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(176,600</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16" w:name="xdx_405_eus-gaap--GainLossOnSaleOfOtherA"/>
            <w:bookmarkEnd w:id="216"/>
          </w:p>
        </w:tc>
      </w:tr>
      <w:tr>
        <w:trPr/>
        <w:tc>
          <w:tcPr>
            <w:tcW w:w="6731" w:type="dxa"/>
            <w:tcBorders/>
            <w:shd w:fill="EEEEEE" w:val="clear"/>
            <w:vAlign w:val="center"/>
          </w:tcPr>
          <w:p>
            <w:pPr>
              <w:pStyle w:val="TableContents"/>
              <w:bidi w:val="0"/>
              <w:spacing w:before="0" w:after="283"/>
              <w:jc w:val="left"/>
              <w:rPr/>
            </w:pPr>
            <w:r>
              <w:rPr/>
              <w:t>Unrealized gain/loss on digital assets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(5,759</w:t>
            </w:r>
          </w:p>
        </w:tc>
        <w:tc>
          <w:tcPr>
            <w:tcW w:w="123" w:type="dxa"/>
            <w:tcBorders/>
            <w:shd w:fill="EEEEEE" w:val="clear"/>
            <w:vAlign w:val="center"/>
          </w:tcPr>
          <w:p>
            <w:pPr>
              <w:pStyle w:val="TableContents"/>
              <w:bidi w:val="0"/>
              <w:spacing w:before="0" w:after="283"/>
              <w:jc w:val="left"/>
              <w:rPr/>
            </w:pPr>
            <w:r>
              <w:rPr/>
              <w:t>)</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w:t>
            </w:r>
          </w:p>
        </w:tc>
        <w:tc>
          <w:tcPr>
            <w:tcW w:w="114" w:type="dxa"/>
            <w:tcBorders/>
            <w:shd w:fill="EEEEEE" w:val="clear"/>
            <w:vAlign w:val="center"/>
          </w:tcPr>
          <w:p>
            <w:pPr>
              <w:pStyle w:val="TableContents"/>
              <w:bidi w:val="0"/>
              <w:spacing w:before="0" w:after="283"/>
              <w:jc w:val="left"/>
              <w:rPr/>
            </w:pPr>
            <w:r>
              <w:rPr/>
              <w:t> </w:t>
            </w:r>
            <w:bookmarkStart w:id="217" w:name="xdx_40F_eus-gaap--GainsLossesOnExtinguis"/>
            <w:bookmarkEnd w:id="217"/>
          </w:p>
        </w:tc>
      </w:tr>
      <w:tr>
        <w:trPr/>
        <w:tc>
          <w:tcPr>
            <w:tcW w:w="6731"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24,100</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18" w:name="xdx_40B_eus-gaap--GainLossOnDispositionO"/>
            <w:bookmarkEnd w:id="218"/>
          </w:p>
        </w:tc>
      </w:tr>
      <w:tr>
        <w:trPr/>
        <w:tc>
          <w:tcPr>
            <w:tcW w:w="6731" w:type="dxa"/>
            <w:tcBorders/>
            <w:shd w:fill="EEEEEE" w:val="clear"/>
            <w:vAlign w:val="center"/>
          </w:tcPr>
          <w:p>
            <w:pPr>
              <w:pStyle w:val="TableContents"/>
              <w:bidi w:val="0"/>
              <w:spacing w:before="0" w:after="283"/>
              <w:jc w:val="left"/>
              <w:rPr/>
            </w:pPr>
            <w:r>
              <w:rPr/>
              <w:t>Gain on disposal of vehicle</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(63,605</w:t>
            </w:r>
          </w:p>
        </w:tc>
        <w:tc>
          <w:tcPr>
            <w:tcW w:w="123" w:type="dxa"/>
            <w:tcBorders/>
            <w:shd w:fill="EEEEEE" w:val="clear"/>
            <w:vAlign w:val="center"/>
          </w:tcPr>
          <w:p>
            <w:pPr>
              <w:pStyle w:val="TableContents"/>
              <w:bidi w:val="0"/>
              <w:spacing w:before="0" w:after="283"/>
              <w:jc w:val="left"/>
              <w:rPr/>
            </w:pPr>
            <w:r>
              <w:rPr/>
              <w:t>)</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w:t>
            </w:r>
          </w:p>
        </w:tc>
        <w:tc>
          <w:tcPr>
            <w:tcW w:w="114" w:type="dxa"/>
            <w:tcBorders/>
            <w:shd w:fill="EEEEEE" w:val="clear"/>
            <w:vAlign w:val="center"/>
          </w:tcPr>
          <w:p>
            <w:pPr>
              <w:pStyle w:val="TableContents"/>
              <w:bidi w:val="0"/>
              <w:spacing w:before="0" w:after="283"/>
              <w:jc w:val="left"/>
              <w:rPr/>
            </w:pPr>
            <w:r>
              <w:rPr/>
              <w:t> </w:t>
            </w:r>
            <w:bookmarkStart w:id="219" w:name="xdx_40C_eus-gaap--AmortizationOfDebtDisc"/>
            <w:bookmarkEnd w:id="219"/>
          </w:p>
        </w:tc>
      </w:tr>
      <w:tr>
        <w:trPr/>
        <w:tc>
          <w:tcPr>
            <w:tcW w:w="6731" w:type="dxa"/>
            <w:tcBorders/>
            <w:shd w:fill="FFFFFF" w:val="clear"/>
            <w:vAlign w:val="center"/>
          </w:tcPr>
          <w:p>
            <w:pPr>
              <w:pStyle w:val="TableContents"/>
              <w:bidi w:val="0"/>
              <w:spacing w:before="0" w:after="283"/>
              <w:jc w:val="left"/>
              <w:rPr/>
            </w:pPr>
            <w:r>
              <w:rPr/>
              <w:t>Amortization of debt premium / discount and non-cash financing costs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22,231</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125,906</w:t>
            </w:r>
          </w:p>
        </w:tc>
        <w:tc>
          <w:tcPr>
            <w:tcW w:w="114" w:type="dxa"/>
            <w:tcBorders/>
            <w:shd w:fill="FFFFFF" w:val="clear"/>
            <w:vAlign w:val="center"/>
          </w:tcPr>
          <w:p>
            <w:pPr>
              <w:pStyle w:val="TableContents"/>
              <w:bidi w:val="0"/>
              <w:spacing w:before="0" w:after="283"/>
              <w:jc w:val="left"/>
              <w:rPr/>
            </w:pPr>
            <w:r>
              <w:rPr/>
              <w:t> </w:t>
            </w:r>
            <w:bookmarkStart w:id="220" w:name="xdx_40A_eus-gaap--IncreaseDecreaseInOper"/>
            <w:bookmarkEnd w:id="220"/>
          </w:p>
        </w:tc>
      </w:tr>
      <w:tr>
        <w:trPr/>
        <w:tc>
          <w:tcPr>
            <w:tcW w:w="6731" w:type="dxa"/>
            <w:tcBorders/>
            <w:shd w:fill="EEEEEE" w:val="clear"/>
            <w:vAlign w:val="center"/>
          </w:tcPr>
          <w:p>
            <w:pPr>
              <w:pStyle w:val="TableContents"/>
              <w:bidi w:val="0"/>
              <w:spacing w:before="0" w:after="283"/>
              <w:jc w:val="left"/>
              <w:rPr/>
            </w:pPr>
            <w:r>
              <w:rPr/>
              <w:t>Change in operating assets and liabilities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221" w:name="xdx_40C_eus-gaap--IncreaseDecreaseInAcco"/>
            <w:bookmarkEnd w:id="221"/>
          </w:p>
        </w:tc>
      </w:tr>
      <w:tr>
        <w:trPr/>
        <w:tc>
          <w:tcPr>
            <w:tcW w:w="6731"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919,175</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(703,279</w:t>
            </w:r>
          </w:p>
        </w:tc>
        <w:tc>
          <w:tcPr>
            <w:tcW w:w="114" w:type="dxa"/>
            <w:tcBorders/>
            <w:shd w:fill="FFFFFF" w:val="clear"/>
            <w:vAlign w:val="center"/>
          </w:tcPr>
          <w:p>
            <w:pPr>
              <w:pStyle w:val="TableContents"/>
              <w:bidi w:val="0"/>
              <w:spacing w:before="0" w:after="283"/>
              <w:jc w:val="left"/>
              <w:rPr/>
            </w:pPr>
            <w:r>
              <w:rPr/>
              <w:t>)</w:t>
            </w:r>
            <w:bookmarkStart w:id="222" w:name="xdx_401_eus-gaap--IncreaseDecreaseInInve"/>
            <w:bookmarkEnd w:id="222"/>
          </w:p>
        </w:tc>
      </w:tr>
      <w:tr>
        <w:trPr/>
        <w:tc>
          <w:tcPr>
            <w:tcW w:w="6731" w:type="dxa"/>
            <w:tcBorders/>
            <w:shd w:fill="EEEEEE" w:val="clear"/>
            <w:vAlign w:val="center"/>
          </w:tcPr>
          <w:p>
            <w:pPr>
              <w:pStyle w:val="TableContents"/>
              <w:bidi w:val="0"/>
              <w:spacing w:before="0" w:after="283"/>
              <w:jc w:val="left"/>
              <w:rPr/>
            </w:pPr>
            <w:r>
              <w:rPr/>
              <w:t>Inventories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4,460,891</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1,074,168</w:t>
            </w:r>
          </w:p>
        </w:tc>
        <w:tc>
          <w:tcPr>
            <w:tcW w:w="114" w:type="dxa"/>
            <w:tcBorders/>
            <w:shd w:fill="EEEEEE" w:val="clear"/>
            <w:vAlign w:val="center"/>
          </w:tcPr>
          <w:p>
            <w:pPr>
              <w:pStyle w:val="TableContents"/>
              <w:bidi w:val="0"/>
              <w:spacing w:before="0" w:after="283"/>
              <w:jc w:val="left"/>
              <w:rPr/>
            </w:pPr>
            <w:r>
              <w:rPr/>
              <w:t> </w:t>
            </w:r>
            <w:bookmarkStart w:id="223" w:name="xdx_400_eus-gaap--IncreaseDecreaseInDefe"/>
            <w:bookmarkEnd w:id="223"/>
          </w:p>
        </w:tc>
      </w:tr>
      <w:tr>
        <w:trPr/>
        <w:tc>
          <w:tcPr>
            <w:tcW w:w="6731"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(1,028,563</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(555,912</w:t>
            </w:r>
          </w:p>
        </w:tc>
        <w:tc>
          <w:tcPr>
            <w:tcW w:w="114" w:type="dxa"/>
            <w:tcBorders/>
            <w:shd w:fill="FFFFFF" w:val="clear"/>
            <w:vAlign w:val="center"/>
          </w:tcPr>
          <w:p>
            <w:pPr>
              <w:pStyle w:val="TableContents"/>
              <w:bidi w:val="0"/>
              <w:spacing w:before="0" w:after="283"/>
              <w:jc w:val="left"/>
              <w:rPr/>
            </w:pPr>
            <w:r>
              <w:rPr/>
              <w:t>)</w:t>
            </w:r>
            <w:bookmarkStart w:id="224" w:name="xdx_407_eus-gaap--IncreaseDecreaseInPrep"/>
            <w:bookmarkEnd w:id="224"/>
          </w:p>
        </w:tc>
      </w:tr>
      <w:tr>
        <w:trPr/>
        <w:tc>
          <w:tcPr>
            <w:tcW w:w="6731" w:type="dxa"/>
            <w:tcBorders/>
            <w:shd w:fill="EEEEEE" w:val="clear"/>
            <w:vAlign w:val="center"/>
          </w:tcPr>
          <w:p>
            <w:pPr>
              <w:pStyle w:val="TableContents"/>
              <w:bidi w:val="0"/>
              <w:spacing w:before="0" w:after="283"/>
              <w:jc w:val="left"/>
              <w:rPr/>
            </w:pPr>
            <w:r>
              <w:rPr/>
              <w:t>Prepayments and other current assets, net</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sz w:val="20"/>
              </w:rPr>
            </w:pPr>
            <w:r>
              <w:rPr>
                <w:sz w:val="20"/>
              </w:rPr>
              <w:t>1,790,481</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53,790</w:t>
            </w:r>
          </w:p>
        </w:tc>
        <w:tc>
          <w:tcPr>
            <w:tcW w:w="114" w:type="dxa"/>
            <w:tcBorders/>
            <w:shd w:fill="EEEEEE" w:val="clear"/>
            <w:vAlign w:val="center"/>
          </w:tcPr>
          <w:p>
            <w:pPr>
              <w:pStyle w:val="TableContents"/>
              <w:bidi w:val="0"/>
              <w:spacing w:before="0" w:after="283"/>
              <w:jc w:val="left"/>
              <w:rPr/>
            </w:pPr>
            <w:r>
              <w:rPr/>
              <w:t> </w:t>
            </w:r>
            <w:bookmarkStart w:id="225" w:name="xdx_401_eus-gaap--IncreaseDecreaseInOthe"/>
            <w:bookmarkEnd w:id="225"/>
          </w:p>
        </w:tc>
      </w:tr>
      <w:tr>
        <w:trPr/>
        <w:tc>
          <w:tcPr>
            <w:tcW w:w="6731"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65,772</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156,842</w:t>
            </w:r>
          </w:p>
        </w:tc>
        <w:tc>
          <w:tcPr>
            <w:tcW w:w="114" w:type="dxa"/>
            <w:tcBorders/>
            <w:shd w:fill="FFFFFF" w:val="clear"/>
            <w:vAlign w:val="center"/>
          </w:tcPr>
          <w:p>
            <w:pPr>
              <w:pStyle w:val="TableContents"/>
              <w:bidi w:val="0"/>
              <w:spacing w:before="0" w:after="283"/>
              <w:jc w:val="left"/>
              <w:rPr/>
            </w:pPr>
            <w:r>
              <w:rPr/>
              <w:t> </w:t>
            </w:r>
            <w:bookmarkStart w:id="226" w:name="xdx_40A_eus-gaap--IncreaseDecreaseInAcco"/>
            <w:bookmarkEnd w:id="226"/>
          </w:p>
        </w:tc>
      </w:tr>
      <w:tr>
        <w:trPr/>
        <w:tc>
          <w:tcPr>
            <w:tcW w:w="6731" w:type="dxa"/>
            <w:tcBorders/>
            <w:shd w:fill="EEEEEE" w:val="clear"/>
            <w:vAlign w:val="center"/>
          </w:tcPr>
          <w:p>
            <w:pPr>
              <w:pStyle w:val="TableContents"/>
              <w:bidi w:val="0"/>
              <w:spacing w:before="0" w:after="283"/>
              <w:jc w:val="left"/>
              <w:rPr/>
            </w:pPr>
            <w:r>
              <w:rPr/>
              <w:t>Accounts payable</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(4,022,907</w:t>
            </w:r>
          </w:p>
        </w:tc>
        <w:tc>
          <w:tcPr>
            <w:tcW w:w="123" w:type="dxa"/>
            <w:tcBorders/>
            <w:shd w:fill="EEEEEE" w:val="clear"/>
            <w:vAlign w:val="center"/>
          </w:tcPr>
          <w:p>
            <w:pPr>
              <w:pStyle w:val="TableContents"/>
              <w:bidi w:val="0"/>
              <w:spacing w:before="0" w:after="283"/>
              <w:jc w:val="left"/>
              <w:rPr/>
            </w:pPr>
            <w:r>
              <w:rPr/>
              <w:t>)</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(2,373,796</w:t>
            </w:r>
          </w:p>
        </w:tc>
        <w:tc>
          <w:tcPr>
            <w:tcW w:w="114" w:type="dxa"/>
            <w:tcBorders/>
            <w:shd w:fill="EEEEEE" w:val="clear"/>
            <w:vAlign w:val="center"/>
          </w:tcPr>
          <w:p>
            <w:pPr>
              <w:pStyle w:val="TableContents"/>
              <w:bidi w:val="0"/>
              <w:spacing w:before="0" w:after="283"/>
              <w:jc w:val="left"/>
              <w:rPr/>
            </w:pPr>
            <w:r>
              <w:rPr/>
              <w:t>)</w:t>
            </w:r>
            <w:bookmarkStart w:id="227" w:name="xdx_409_eus-gaap--IncreaseDecreaseInOthe"/>
            <w:bookmarkEnd w:id="227"/>
          </w:p>
        </w:tc>
      </w:tr>
      <w:tr>
        <w:trPr/>
        <w:tc>
          <w:tcPr>
            <w:tcW w:w="6731" w:type="dxa"/>
            <w:tcBorders/>
            <w:shd w:fill="FFFFFF" w:val="clear"/>
            <w:vAlign w:val="center"/>
          </w:tcPr>
          <w:p>
            <w:pPr>
              <w:pStyle w:val="TableContents"/>
              <w:bidi w:val="0"/>
              <w:spacing w:before="0" w:after="283"/>
              <w:jc w:val="left"/>
              <w:rPr/>
            </w:pPr>
            <w:r>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(849,123</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69,014</w:t>
            </w:r>
          </w:p>
        </w:tc>
        <w:tc>
          <w:tcPr>
            <w:tcW w:w="114" w:type="dxa"/>
            <w:tcBorders/>
            <w:shd w:fill="FFFFFF" w:val="clear"/>
            <w:vAlign w:val="center"/>
          </w:tcPr>
          <w:p>
            <w:pPr>
              <w:pStyle w:val="TableContents"/>
              <w:bidi w:val="0"/>
              <w:spacing w:before="0" w:after="283"/>
              <w:jc w:val="left"/>
              <w:rPr/>
            </w:pPr>
            <w:r>
              <w:rPr/>
              <w:t> </w:t>
            </w:r>
            <w:bookmarkStart w:id="228" w:name="xdx_40E_eus-gaap--IncreaseDecreaseInOper"/>
            <w:bookmarkEnd w:id="228"/>
          </w:p>
        </w:tc>
      </w:tr>
      <w:tr>
        <w:trPr/>
        <w:tc>
          <w:tcPr>
            <w:tcW w:w="6731" w:type="dxa"/>
            <w:tcBorders/>
            <w:shd w:fill="EEEEEE" w:val="clear"/>
            <w:vAlign w:val="center"/>
          </w:tcPr>
          <w:p>
            <w:pPr>
              <w:pStyle w:val="TableContents"/>
              <w:bidi w:val="0"/>
              <w:spacing w:before="0" w:after="283"/>
              <w:jc w:val="left"/>
              <w:rPr/>
            </w:pPr>
            <w:r>
              <w:rPr/>
              <w:t>Operating lease liabilities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(662,320</w:t>
            </w:r>
          </w:p>
        </w:tc>
        <w:tc>
          <w:tcPr>
            <w:tcW w:w="123" w:type="dxa"/>
            <w:tcBorders/>
            <w:shd w:fill="EEEEEE" w:val="clear"/>
            <w:vAlign w:val="center"/>
          </w:tcPr>
          <w:p>
            <w:pPr>
              <w:pStyle w:val="TableContents"/>
              <w:bidi w:val="0"/>
              <w:spacing w:before="0" w:after="283"/>
              <w:jc w:val="left"/>
              <w:rPr/>
            </w:pPr>
            <w:r>
              <w:rPr/>
              <w:t>)</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(952,672</w:t>
            </w:r>
          </w:p>
        </w:tc>
        <w:tc>
          <w:tcPr>
            <w:tcW w:w="114" w:type="dxa"/>
            <w:tcBorders/>
            <w:shd w:fill="EEEEEE" w:val="clear"/>
            <w:vAlign w:val="center"/>
          </w:tcPr>
          <w:p>
            <w:pPr>
              <w:pStyle w:val="TableContents"/>
              <w:bidi w:val="0"/>
              <w:spacing w:before="0" w:after="283"/>
              <w:jc w:val="left"/>
              <w:rPr/>
            </w:pPr>
            <w:r>
              <w:rPr/>
              <w:t>)</w:t>
            </w:r>
            <w:bookmarkStart w:id="229" w:name="xdx_404_eus-gaap--IncreaseDecreaseInAccr"/>
            <w:bookmarkEnd w:id="229"/>
          </w:p>
        </w:tc>
      </w:tr>
      <w:tr>
        <w:trPr/>
        <w:tc>
          <w:tcPr>
            <w:tcW w:w="6731"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pPr>
            <w:r>
              <w:rPr/>
              <w:t>(276,643</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pPr>
            <w:r>
              <w:rPr/>
              <w:t>(1,211</w:t>
            </w:r>
          </w:p>
        </w:tc>
        <w:tc>
          <w:tcPr>
            <w:tcW w:w="114" w:type="dxa"/>
            <w:tcBorders/>
            <w:shd w:fill="FFFFFF" w:val="clear"/>
            <w:vAlign w:val="center"/>
          </w:tcPr>
          <w:p>
            <w:pPr>
              <w:pStyle w:val="TableContents"/>
              <w:bidi w:val="0"/>
              <w:spacing w:before="0" w:after="283"/>
              <w:jc w:val="left"/>
              <w:rPr/>
            </w:pPr>
            <w:r>
              <w:rPr/>
              <w:t>)</w:t>
            </w:r>
            <w:bookmarkStart w:id="230" w:name="xdx_401_eus-gaap--NetCashProvidedByUsedI"/>
            <w:bookmarkEnd w:id="230"/>
          </w:p>
        </w:tc>
      </w:tr>
      <w:tr>
        <w:trPr/>
        <w:tc>
          <w:tcPr>
            <w:tcW w:w="6731" w:type="dxa"/>
            <w:tcBorders/>
            <w:shd w:fill="EEEEEE" w:val="clear"/>
            <w:vAlign w:val="center"/>
          </w:tcPr>
          <w:p>
            <w:pPr>
              <w:pStyle w:val="TableContents"/>
              <w:bidi w:val="0"/>
              <w:spacing w:before="0" w:after="283"/>
              <w:jc w:val="left"/>
              <w:rPr/>
            </w:pPr>
            <w:r>
              <w:rPr/>
              <w:t>Net cash provided by (used in) operating activities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763,906</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(1,387,926</w:t>
            </w:r>
          </w:p>
        </w:tc>
        <w:tc>
          <w:tcPr>
            <w:tcW w:w="114" w:type="dxa"/>
            <w:tcBorders/>
            <w:shd w:fill="EEEEEE" w:val="clear"/>
            <w:vAlign w:val="center"/>
          </w:tcPr>
          <w:p>
            <w:pPr>
              <w:pStyle w:val="TableContents"/>
              <w:bidi w:val="0"/>
              <w:spacing w:before="0" w:after="283"/>
              <w:jc w:val="left"/>
              <w:rPr/>
            </w:pPr>
            <w:r>
              <w:rPr/>
              <w:t>)</w:t>
            </w:r>
          </w:p>
        </w:tc>
      </w:tr>
      <w:tr>
        <w:trPr/>
        <w:tc>
          <w:tcPr>
            <w:tcW w:w="6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31" w:name="xdx_40E_eus-gaap--NetCashProvidedByUsedI"/>
            <w:bookmarkEnd w:id="231"/>
          </w:p>
        </w:tc>
      </w:tr>
      <w:tr>
        <w:trPr/>
        <w:tc>
          <w:tcPr>
            <w:tcW w:w="6731" w:type="dxa"/>
            <w:tcBorders/>
            <w:shd w:fill="EEEEEE" w:val="clear"/>
            <w:vAlign w:val="center"/>
          </w:tcPr>
          <w:p>
            <w:pPr>
              <w:pStyle w:val="TableContents"/>
              <w:bidi w:val="0"/>
              <w:spacing w:before="0" w:after="283"/>
              <w:jc w:val="left"/>
              <w:rPr/>
            </w:pPr>
            <w:r>
              <w:rPr/>
              <w:t>CASH FLOWS FROM INVESTING ACTIVITIES: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232" w:name="xdx_408_eus-gaap--CashDivestedFromDecons"/>
            <w:bookmarkEnd w:id="232"/>
          </w:p>
        </w:tc>
      </w:tr>
      <w:tr>
        <w:trPr/>
        <w:tc>
          <w:tcPr>
            <w:tcW w:w="6731" w:type="dxa"/>
            <w:tcBorders/>
            <w:shd w:fill="FFFFFF" w:val="clear"/>
            <w:vAlign w:val="center"/>
          </w:tcPr>
          <w:p>
            <w:pPr>
              <w:pStyle w:val="TableContents"/>
              <w:bidi w:val="0"/>
              <w:spacing w:before="0" w:after="283"/>
              <w:jc w:val="left"/>
              <w:rPr/>
            </w:pPr>
            <w:r>
              <w:rPr/>
              <w:t>Deconsolidation of VIE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(160,113</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33" w:name="xdx_403_eus-gaap--PaymentsToAcquireInter"/>
            <w:bookmarkEnd w:id="233"/>
          </w:p>
        </w:tc>
      </w:tr>
      <w:tr>
        <w:trPr/>
        <w:tc>
          <w:tcPr>
            <w:tcW w:w="6731" w:type="dxa"/>
            <w:tcBorders/>
            <w:shd w:fill="EEEEEE" w:val="clear"/>
            <w:vAlign w:val="center"/>
          </w:tcPr>
          <w:p>
            <w:pPr>
              <w:pStyle w:val="TableContents"/>
              <w:bidi w:val="0"/>
              <w:spacing w:before="0" w:after="283"/>
              <w:jc w:val="left"/>
              <w:rPr/>
            </w:pPr>
            <w:r>
              <w:rPr/>
              <w:t>Investment in joint venture</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(293,526</w:t>
            </w:r>
          </w:p>
        </w:tc>
        <w:tc>
          <w:tcPr>
            <w:tcW w:w="123" w:type="dxa"/>
            <w:tcBorders/>
            <w:shd w:fill="EEEEEE" w:val="clear"/>
            <w:vAlign w:val="center"/>
          </w:tcPr>
          <w:p>
            <w:pPr>
              <w:pStyle w:val="TableContents"/>
              <w:bidi w:val="0"/>
              <w:spacing w:before="0" w:after="283"/>
              <w:jc w:val="left"/>
              <w:rPr/>
            </w:pPr>
            <w:r>
              <w:rPr/>
              <w:t>)</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w:t>
            </w:r>
          </w:p>
        </w:tc>
        <w:tc>
          <w:tcPr>
            <w:tcW w:w="114" w:type="dxa"/>
            <w:tcBorders/>
            <w:shd w:fill="EEEEEE" w:val="clear"/>
            <w:vAlign w:val="center"/>
          </w:tcPr>
          <w:p>
            <w:pPr>
              <w:pStyle w:val="TableContents"/>
              <w:bidi w:val="0"/>
              <w:spacing w:before="0" w:after="283"/>
              <w:jc w:val="left"/>
              <w:rPr/>
            </w:pPr>
            <w:r>
              <w:rPr/>
              <w:t> </w:t>
            </w:r>
            <w:bookmarkStart w:id="234" w:name="xdx_40F_ecustom--RestrictedCashHeldInBit"/>
            <w:bookmarkEnd w:id="234"/>
          </w:p>
        </w:tc>
      </w:tr>
      <w:tr>
        <w:trPr/>
        <w:tc>
          <w:tcPr>
            <w:tcW w:w="6731" w:type="dxa"/>
            <w:tcBorders/>
            <w:shd w:fill="FFFFFF" w:val="clear"/>
            <w:vAlign w:val="center"/>
          </w:tcPr>
          <w:p>
            <w:pPr>
              <w:pStyle w:val="TableContents"/>
              <w:bidi w:val="0"/>
              <w:spacing w:before="0" w:after="283"/>
              <w:jc w:val="left"/>
              <w:rPr/>
            </w:pPr>
            <w:r>
              <w:rPr/>
              <w:t>Restricted cash held in Bitgo account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(2,209,000</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35" w:name="xdx_409_eus-gaap--PaymentForAcquisitionC"/>
            <w:bookmarkEnd w:id="235"/>
          </w:p>
        </w:tc>
      </w:tr>
      <w:tr>
        <w:trPr/>
        <w:tc>
          <w:tcPr>
            <w:tcW w:w="6731" w:type="dxa"/>
            <w:tcBorders/>
            <w:shd w:fill="EEEEEE" w:val="clear"/>
            <w:vAlign w:val="center"/>
          </w:tcPr>
          <w:p>
            <w:pPr>
              <w:pStyle w:val="TableContents"/>
              <w:bidi w:val="0"/>
              <w:spacing w:before="0" w:after="283"/>
              <w:jc w:val="left"/>
              <w:rPr/>
            </w:pPr>
            <w:r>
              <w:rPr/>
              <w:t>Purchase of digital assets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(2,209,000</w:t>
            </w:r>
          </w:p>
        </w:tc>
        <w:tc>
          <w:tcPr>
            <w:tcW w:w="123" w:type="dxa"/>
            <w:tcBorders/>
            <w:shd w:fill="EEEEEE" w:val="clear"/>
            <w:vAlign w:val="center"/>
          </w:tcPr>
          <w:p>
            <w:pPr>
              <w:pStyle w:val="TableContents"/>
              <w:bidi w:val="0"/>
              <w:spacing w:before="0" w:after="283"/>
              <w:jc w:val="left"/>
              <w:rPr/>
            </w:pPr>
            <w:r>
              <w:rPr/>
              <w:t>)</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w:t>
            </w:r>
          </w:p>
        </w:tc>
        <w:tc>
          <w:tcPr>
            <w:tcW w:w="114" w:type="dxa"/>
            <w:tcBorders/>
            <w:shd w:fill="EEEEEE" w:val="clear"/>
            <w:vAlign w:val="center"/>
          </w:tcPr>
          <w:p>
            <w:pPr>
              <w:pStyle w:val="TableContents"/>
              <w:bidi w:val="0"/>
              <w:spacing w:before="0" w:after="283"/>
              <w:jc w:val="left"/>
              <w:rPr/>
            </w:pPr>
            <w:r>
              <w:rPr/>
              <w:t> </w:t>
            </w:r>
            <w:bookmarkStart w:id="236" w:name="xdx_409_eus-gaap--PaymentsToDevelopSoftw"/>
            <w:bookmarkEnd w:id="236"/>
          </w:p>
        </w:tc>
      </w:tr>
      <w:tr>
        <w:trPr/>
        <w:tc>
          <w:tcPr>
            <w:tcW w:w="6731" w:type="dxa"/>
            <w:tcBorders/>
            <w:shd w:fill="FFFFFF" w:val="clear"/>
            <w:vAlign w:val="center"/>
          </w:tcPr>
          <w:p>
            <w:pPr>
              <w:pStyle w:val="TableContents"/>
              <w:bidi w:val="0"/>
              <w:spacing w:before="0" w:after="283"/>
              <w:jc w:val="left"/>
              <w:rPr/>
            </w:pPr>
            <w:r>
              <w:rPr/>
              <w:t>Prepayments for software development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pPr>
            <w:r>
              <w:rPr/>
              <w:t>(721,989</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pPr>
            <w:r>
              <w:rPr/>
              <w:t>(664,366</w:t>
            </w:r>
          </w:p>
        </w:tc>
        <w:tc>
          <w:tcPr>
            <w:tcW w:w="114" w:type="dxa"/>
            <w:tcBorders/>
            <w:shd w:fill="FFFFFF" w:val="clear"/>
            <w:vAlign w:val="center"/>
          </w:tcPr>
          <w:p>
            <w:pPr>
              <w:pStyle w:val="TableContents"/>
              <w:bidi w:val="0"/>
              <w:spacing w:before="0" w:after="283"/>
              <w:jc w:val="left"/>
              <w:rPr/>
            </w:pPr>
            <w:r>
              <w:rPr/>
              <w:t>)</w:t>
            </w:r>
            <w:bookmarkStart w:id="237" w:name="xdx_403_eus-gaap--NetCashProvidedByUsedI"/>
            <w:bookmarkEnd w:id="237"/>
          </w:p>
        </w:tc>
      </w:tr>
      <w:tr>
        <w:trPr/>
        <w:tc>
          <w:tcPr>
            <w:tcW w:w="6731" w:type="dxa"/>
            <w:tcBorders/>
            <w:shd w:fill="EEEEEE" w:val="clear"/>
            <w:vAlign w:val="center"/>
          </w:tcPr>
          <w:p>
            <w:pPr>
              <w:pStyle w:val="TableContents"/>
              <w:bidi w:val="0"/>
              <w:spacing w:before="0" w:after="283"/>
              <w:jc w:val="left"/>
              <w:rPr/>
            </w:pPr>
            <w:r>
              <w:rPr/>
              <w:t>Net cash used in investing activities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(5,593,628</w:t>
            </w:r>
          </w:p>
        </w:tc>
        <w:tc>
          <w:tcPr>
            <w:tcW w:w="123" w:type="dxa"/>
            <w:tcBorders/>
            <w:shd w:fill="EEEEEE" w:val="clear"/>
            <w:vAlign w:val="center"/>
          </w:tcPr>
          <w:p>
            <w:pPr>
              <w:pStyle w:val="TableContents"/>
              <w:bidi w:val="0"/>
              <w:spacing w:before="0" w:after="283"/>
              <w:jc w:val="left"/>
              <w:rPr/>
            </w:pPr>
            <w:r>
              <w:rPr/>
              <w:t>)</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(664,366</w:t>
            </w:r>
          </w:p>
        </w:tc>
        <w:tc>
          <w:tcPr>
            <w:tcW w:w="114" w:type="dxa"/>
            <w:tcBorders/>
            <w:shd w:fill="EEEEEE" w:val="clear"/>
            <w:vAlign w:val="center"/>
          </w:tcPr>
          <w:p>
            <w:pPr>
              <w:pStyle w:val="TableContents"/>
              <w:bidi w:val="0"/>
              <w:spacing w:before="0" w:after="283"/>
              <w:jc w:val="left"/>
              <w:rPr/>
            </w:pPr>
            <w:r>
              <w:rPr/>
              <w:t>)</w:t>
            </w:r>
          </w:p>
        </w:tc>
      </w:tr>
      <w:tr>
        <w:trPr/>
        <w:tc>
          <w:tcPr>
            <w:tcW w:w="6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38" w:name="xdx_40F_eus-gaap--NetCashProvidedByUsedI"/>
            <w:bookmarkEnd w:id="238"/>
          </w:p>
        </w:tc>
      </w:tr>
      <w:tr>
        <w:trPr/>
        <w:tc>
          <w:tcPr>
            <w:tcW w:w="6731" w:type="dxa"/>
            <w:tcBorders/>
            <w:shd w:fill="EEEEEE" w:val="clear"/>
            <w:vAlign w:val="center"/>
          </w:tcPr>
          <w:p>
            <w:pPr>
              <w:pStyle w:val="TableContents"/>
              <w:bidi w:val="0"/>
              <w:spacing w:before="0" w:after="283"/>
              <w:jc w:val="left"/>
              <w:rPr/>
            </w:pPr>
            <w:r>
              <w:rPr/>
              <w:t>CASH FLOWS FROM FINANCING ACTIVITIES: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239" w:name="xdx_403_eus-gaap--PaymentsOfStockIssuanc"/>
            <w:bookmarkEnd w:id="239"/>
          </w:p>
        </w:tc>
      </w:tr>
      <w:tr>
        <w:trPr/>
        <w:tc>
          <w:tcPr>
            <w:tcW w:w="6731" w:type="dxa"/>
            <w:tcBorders/>
            <w:shd w:fill="FFFFFF" w:val="clear"/>
            <w:vAlign w:val="center"/>
          </w:tcPr>
          <w:p>
            <w:pPr>
              <w:pStyle w:val="TableContents"/>
              <w:bidi w:val="0"/>
              <w:spacing w:before="0" w:after="283"/>
              <w:jc w:val="left"/>
              <w:rPr/>
            </w:pPr>
            <w:r>
              <w:rPr/>
              <w:t>Payments of offering cost settlement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(325,000</w:t>
            </w:r>
          </w:p>
        </w:tc>
        <w:tc>
          <w:tcPr>
            <w:tcW w:w="114" w:type="dxa"/>
            <w:tcBorders/>
            <w:shd w:fill="FFFFFF" w:val="clear"/>
            <w:vAlign w:val="center"/>
          </w:tcPr>
          <w:p>
            <w:pPr>
              <w:pStyle w:val="TableContents"/>
              <w:bidi w:val="0"/>
              <w:spacing w:before="0" w:after="283"/>
              <w:jc w:val="left"/>
              <w:rPr/>
            </w:pPr>
            <w:r>
              <w:rPr/>
              <w:t>)</w:t>
            </w:r>
            <w:bookmarkStart w:id="240" w:name="xdx_40F_eus-gaap--ProceedsFromRelatedPar"/>
            <w:bookmarkEnd w:id="240"/>
          </w:p>
        </w:tc>
      </w:tr>
      <w:tr>
        <w:trPr/>
        <w:tc>
          <w:tcPr>
            <w:tcW w:w="6731" w:type="dxa"/>
            <w:tcBorders/>
            <w:shd w:fill="EEEEEE" w:val="clear"/>
            <w:vAlign w:val="center"/>
          </w:tcPr>
          <w:p>
            <w:pPr>
              <w:pStyle w:val="TableContents"/>
              <w:bidi w:val="0"/>
              <w:spacing w:before="0" w:after="283"/>
              <w:jc w:val="left"/>
              <w:rPr/>
            </w:pPr>
            <w:r>
              <w:rPr/>
              <w:t>Proceeds from short-term loans -related party</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1,050,100</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w:t>
            </w:r>
          </w:p>
        </w:tc>
        <w:tc>
          <w:tcPr>
            <w:tcW w:w="114" w:type="dxa"/>
            <w:tcBorders/>
            <w:shd w:fill="EEEEEE" w:val="clear"/>
            <w:vAlign w:val="center"/>
          </w:tcPr>
          <w:p>
            <w:pPr>
              <w:pStyle w:val="TableContents"/>
              <w:bidi w:val="0"/>
              <w:spacing w:before="0" w:after="283"/>
              <w:jc w:val="left"/>
              <w:rPr/>
            </w:pPr>
            <w:r>
              <w:rPr/>
              <w:t> </w:t>
            </w:r>
            <w:bookmarkStart w:id="241" w:name="xdx_406_eus-gaap--ProceedsFromShortTermD"/>
            <w:bookmarkEnd w:id="241"/>
          </w:p>
        </w:tc>
      </w:tr>
      <w:tr>
        <w:trPr/>
        <w:tc>
          <w:tcPr>
            <w:tcW w:w="6731" w:type="dxa"/>
            <w:tcBorders/>
            <w:shd w:fill="FFFFFF" w:val="clear"/>
            <w:vAlign w:val="center"/>
          </w:tcPr>
          <w:p>
            <w:pPr>
              <w:pStyle w:val="TableContents"/>
              <w:bidi w:val="0"/>
              <w:spacing w:before="0" w:after="283"/>
              <w:jc w:val="left"/>
              <w:rPr/>
            </w:pPr>
            <w:r>
              <w:rPr/>
              <w:t>Proceeds from short-term loans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1,500,000</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42" w:name="xdx_404_eus-gaap--RepaymentsOfRelatedPar"/>
            <w:bookmarkEnd w:id="242"/>
          </w:p>
        </w:tc>
      </w:tr>
      <w:tr>
        <w:trPr/>
        <w:tc>
          <w:tcPr>
            <w:tcW w:w="6731" w:type="dxa"/>
            <w:tcBorders/>
            <w:shd w:fill="EEEEEE" w:val="clear"/>
            <w:vAlign w:val="center"/>
          </w:tcPr>
          <w:p>
            <w:pPr>
              <w:pStyle w:val="TableContents"/>
              <w:bidi w:val="0"/>
              <w:spacing w:before="0" w:after="283"/>
              <w:jc w:val="left"/>
              <w:rPr/>
            </w:pPr>
            <w:r>
              <w:rPr/>
              <w:t>Payments on short-term loans - related party</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(483,599</w:t>
            </w:r>
          </w:p>
        </w:tc>
        <w:tc>
          <w:tcPr>
            <w:tcW w:w="114" w:type="dxa"/>
            <w:tcBorders/>
            <w:shd w:fill="EEEEEE" w:val="clear"/>
            <w:vAlign w:val="center"/>
          </w:tcPr>
          <w:p>
            <w:pPr>
              <w:pStyle w:val="TableContents"/>
              <w:bidi w:val="0"/>
              <w:spacing w:before="0" w:after="283"/>
              <w:jc w:val="left"/>
              <w:rPr/>
            </w:pPr>
            <w:r>
              <w:rPr/>
              <w:t>)</w:t>
            </w:r>
            <w:bookmarkStart w:id="243" w:name="xdx_402_eus-gaap--ProceedsFromConvertibl"/>
            <w:bookmarkEnd w:id="243"/>
          </w:p>
        </w:tc>
      </w:tr>
      <w:tr>
        <w:trPr/>
        <w:tc>
          <w:tcPr>
            <w:tcW w:w="6731" w:type="dxa"/>
            <w:tcBorders/>
            <w:shd w:fill="FFFFFF" w:val="clear"/>
            <w:vAlign w:val="center"/>
          </w:tcPr>
          <w:p>
            <w:pPr>
              <w:pStyle w:val="TableContents"/>
              <w:bidi w:val="0"/>
              <w:spacing w:before="0" w:after="283"/>
              <w:jc w:val="left"/>
              <w:rPr/>
            </w:pPr>
            <w:r>
              <w:rPr/>
              <w:t>Net proceeds from convertible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6,035,200</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44" w:name="xdx_403_eus-gaap--ProceedsFromLinesOfCre"/>
            <w:bookmarkEnd w:id="244"/>
          </w:p>
        </w:tc>
      </w:tr>
      <w:tr>
        <w:trPr/>
        <w:tc>
          <w:tcPr>
            <w:tcW w:w="6731" w:type="dxa"/>
            <w:tcBorders/>
            <w:shd w:fill="EEEEEE" w:val="clear"/>
            <w:vAlign w:val="center"/>
          </w:tcPr>
          <w:p>
            <w:pPr>
              <w:pStyle w:val="TableContents"/>
              <w:bidi w:val="0"/>
              <w:spacing w:before="0" w:after="283"/>
              <w:jc w:val="left"/>
              <w:rPr/>
            </w:pPr>
            <w:r>
              <w:rPr/>
              <w:t>Proceeds from revolving loan</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3,619,974</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3,650,210</w:t>
            </w:r>
          </w:p>
        </w:tc>
        <w:tc>
          <w:tcPr>
            <w:tcW w:w="114" w:type="dxa"/>
            <w:tcBorders/>
            <w:shd w:fill="EEEEEE" w:val="clear"/>
            <w:vAlign w:val="center"/>
          </w:tcPr>
          <w:p>
            <w:pPr>
              <w:pStyle w:val="TableContents"/>
              <w:bidi w:val="0"/>
              <w:spacing w:before="0" w:after="283"/>
              <w:jc w:val="left"/>
              <w:rPr/>
            </w:pPr>
            <w:r>
              <w:rPr/>
              <w:t> </w:t>
            </w:r>
            <w:bookmarkStart w:id="245" w:name="xdx_40B_eus-gaap--RepaymentsOfLinesOfCre"/>
            <w:bookmarkEnd w:id="245"/>
          </w:p>
        </w:tc>
      </w:tr>
      <w:tr>
        <w:trPr/>
        <w:tc>
          <w:tcPr>
            <w:tcW w:w="6731" w:type="dxa"/>
            <w:tcBorders/>
            <w:shd w:fill="FFFFFF" w:val="clear"/>
            <w:vAlign w:val="center"/>
          </w:tcPr>
          <w:p>
            <w:pPr>
              <w:pStyle w:val="TableContents"/>
              <w:bidi w:val="0"/>
              <w:spacing w:before="0" w:after="283"/>
              <w:jc w:val="left"/>
              <w:rPr/>
            </w:pPr>
            <w:r>
              <w:rPr/>
              <w:t>Payments on revolving loan</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pPr>
            <w:r>
              <w:rPr/>
              <w:t>(7,383,223</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pPr>
            <w:r>
              <w:rPr/>
              <w:t>(5,400,000</w:t>
            </w:r>
          </w:p>
        </w:tc>
        <w:tc>
          <w:tcPr>
            <w:tcW w:w="114" w:type="dxa"/>
            <w:tcBorders/>
            <w:shd w:fill="FFFFFF" w:val="clear"/>
            <w:vAlign w:val="center"/>
          </w:tcPr>
          <w:p>
            <w:pPr>
              <w:pStyle w:val="TableContents"/>
              <w:bidi w:val="0"/>
              <w:spacing w:before="0" w:after="283"/>
              <w:jc w:val="left"/>
              <w:rPr/>
            </w:pPr>
            <w:r>
              <w:rPr/>
              <w:t>)</w:t>
            </w:r>
            <w:bookmarkStart w:id="246" w:name="xdx_403_eus-gaap--NetCashProvidedByUsedI"/>
            <w:bookmarkEnd w:id="246"/>
          </w:p>
        </w:tc>
      </w:tr>
      <w:tr>
        <w:trPr/>
        <w:tc>
          <w:tcPr>
            <w:tcW w:w="6731" w:type="dxa"/>
            <w:tcBorders/>
            <w:shd w:fill="EEEEEE" w:val="clear"/>
            <w:vAlign w:val="center"/>
          </w:tcPr>
          <w:p>
            <w:pPr>
              <w:pStyle w:val="TableContents"/>
              <w:bidi w:val="0"/>
              <w:spacing w:before="0" w:after="283"/>
              <w:jc w:val="left"/>
              <w:rPr/>
            </w:pPr>
            <w:r>
              <w:rPr/>
              <w:t>Net cash provided by (used in) financing activities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4,822,051</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(2,558,389</w:t>
            </w:r>
          </w:p>
        </w:tc>
        <w:tc>
          <w:tcPr>
            <w:tcW w:w="114" w:type="dxa"/>
            <w:tcBorders/>
            <w:shd w:fill="EEEEEE" w:val="clear"/>
            <w:vAlign w:val="center"/>
          </w:tcPr>
          <w:p>
            <w:pPr>
              <w:pStyle w:val="TableContents"/>
              <w:bidi w:val="0"/>
              <w:spacing w:before="0" w:after="283"/>
              <w:jc w:val="left"/>
              <w:rPr/>
            </w:pPr>
            <w:r>
              <w:rPr/>
              <w:t>)</w:t>
            </w:r>
          </w:p>
        </w:tc>
      </w:tr>
      <w:tr>
        <w:trPr/>
        <w:tc>
          <w:tcPr>
            <w:tcW w:w="6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47" w:name="xdx_403_eus-gaap--EffectOfExchangeRateOn"/>
            <w:bookmarkEnd w:id="247"/>
          </w:p>
        </w:tc>
      </w:tr>
      <w:tr>
        <w:trPr/>
        <w:tc>
          <w:tcPr>
            <w:tcW w:w="6731" w:type="dxa"/>
            <w:tcBorders/>
            <w:shd w:fill="EEEEEE" w:val="clear"/>
            <w:vAlign w:val="center"/>
          </w:tcPr>
          <w:p>
            <w:pPr>
              <w:pStyle w:val="TableContents"/>
              <w:bidi w:val="0"/>
              <w:spacing w:before="0" w:after="283"/>
              <w:jc w:val="left"/>
              <w:rPr/>
            </w:pPr>
            <w:r>
              <w:rPr/>
              <w:t>EFFECT OF EXCHANGE RATE ON CASH</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11,519</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110,301</w:t>
            </w:r>
          </w:p>
        </w:tc>
        <w:tc>
          <w:tcPr>
            <w:tcW w:w="114" w:type="dxa"/>
            <w:tcBorders/>
            <w:shd w:fill="EEEEEE" w:val="clear"/>
            <w:vAlign w:val="center"/>
          </w:tcPr>
          <w:p>
            <w:pPr>
              <w:pStyle w:val="TableContents"/>
              <w:bidi w:val="0"/>
              <w:spacing w:before="0" w:after="283"/>
              <w:jc w:val="left"/>
              <w:rPr/>
            </w:pPr>
            <w:r>
              <w:rPr/>
              <w:t> </w:t>
            </w:r>
          </w:p>
        </w:tc>
      </w:tr>
      <w:tr>
        <w:trPr/>
        <w:tc>
          <w:tcPr>
            <w:tcW w:w="6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48" w:name="xdx_401_eus-gaap--CashCashEquivalentsRes"/>
            <w:bookmarkEnd w:id="248"/>
          </w:p>
        </w:tc>
      </w:tr>
      <w:tr>
        <w:trPr/>
        <w:tc>
          <w:tcPr>
            <w:tcW w:w="6731" w:type="dxa"/>
            <w:tcBorders/>
            <w:shd w:fill="EEEEEE" w:val="clear"/>
            <w:vAlign w:val="center"/>
          </w:tcPr>
          <w:p>
            <w:pPr>
              <w:pStyle w:val="TableContents"/>
              <w:bidi w:val="0"/>
              <w:spacing w:before="0" w:after="283"/>
              <w:jc w:val="left"/>
              <w:rPr/>
            </w:pPr>
            <w:r>
              <w:rPr/>
              <w:t>CHANGES IN CASH AND CASH EQUIVALENT</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3,848</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(4,500,380</w:t>
            </w:r>
          </w:p>
        </w:tc>
        <w:tc>
          <w:tcPr>
            <w:tcW w:w="114" w:type="dxa"/>
            <w:tcBorders/>
            <w:shd w:fill="EEEEEE" w:val="clear"/>
            <w:vAlign w:val="center"/>
          </w:tcPr>
          <w:p>
            <w:pPr>
              <w:pStyle w:val="TableContents"/>
              <w:bidi w:val="0"/>
              <w:spacing w:before="0" w:after="283"/>
              <w:jc w:val="left"/>
              <w:rPr/>
            </w:pPr>
            <w:r>
              <w:rPr/>
              <w:t>)</w:t>
            </w:r>
          </w:p>
        </w:tc>
      </w:tr>
      <w:tr>
        <w:trPr/>
        <w:tc>
          <w:tcPr>
            <w:tcW w:w="6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49" w:name="xdx_403_eus-gaap--CashCashEquivalentsRes"/>
            <w:bookmarkEnd w:id="249"/>
          </w:p>
        </w:tc>
      </w:tr>
      <w:tr>
        <w:trPr/>
        <w:tc>
          <w:tcPr>
            <w:tcW w:w="6731" w:type="dxa"/>
            <w:tcBorders/>
            <w:shd w:fill="EEEEEE" w:val="clear"/>
            <w:vAlign w:val="center"/>
          </w:tcPr>
          <w:p>
            <w:pPr>
              <w:pStyle w:val="TableContents"/>
              <w:bidi w:val="0"/>
              <w:spacing w:before="0" w:after="283"/>
              <w:jc w:val="left"/>
              <w:rPr/>
            </w:pPr>
            <w:r>
              <w:rPr/>
              <w:t>CASH AND CASH EQUIVALENT, beginning of period</w:t>
            </w:r>
          </w:p>
        </w:tc>
        <w:tc>
          <w:tcPr>
            <w:tcW w:w="60" w:type="dxa"/>
            <w:tcBorders/>
            <w:shd w:fill="EEEEEE" w:val="clear"/>
            <w:vAlign w:val="center"/>
          </w:tcPr>
          <w:p>
            <w:pPr>
              <w:pStyle w:val="TableContents"/>
              <w:bidi w:val="0"/>
              <w:spacing w:before="0" w:after="283"/>
              <w:jc w:val="left"/>
              <w:rPr/>
            </w:pPr>
            <w:r>
              <w:rPr/>
              <w:t> </w:t>
            </w:r>
          </w:p>
        </w:tc>
        <w:tc>
          <w:tcPr>
            <w:tcW w:w="18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EEEEEE" w:val="clear"/>
            <w:tcMar>
              <w:bottom w:w="28" w:type="dxa"/>
            </w:tcMar>
            <w:vAlign w:val="center"/>
          </w:tcPr>
          <w:p>
            <w:pPr>
              <w:pStyle w:val="TableContents"/>
              <w:bidi w:val="0"/>
              <w:spacing w:before="0" w:after="283"/>
              <w:jc w:val="right"/>
              <w:rPr/>
            </w:pPr>
            <w:r>
              <w:rPr/>
              <w:t>2,007,890</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EEEEEE" w:val="clear"/>
            <w:tcMar>
              <w:bottom w:w="28" w:type="dxa"/>
            </w:tcMar>
            <w:vAlign w:val="center"/>
          </w:tcPr>
          <w:p>
            <w:pPr>
              <w:pStyle w:val="TableContents"/>
              <w:bidi w:val="0"/>
              <w:spacing w:before="0" w:after="283"/>
              <w:jc w:val="right"/>
              <w:rPr/>
            </w:pPr>
            <w:r>
              <w:rPr/>
              <w:t>7,377,837</w:t>
            </w:r>
          </w:p>
        </w:tc>
        <w:tc>
          <w:tcPr>
            <w:tcW w:w="114" w:type="dxa"/>
            <w:tcBorders/>
            <w:shd w:fill="EEEEEE" w:val="clear"/>
            <w:vAlign w:val="center"/>
          </w:tcPr>
          <w:p>
            <w:pPr>
              <w:pStyle w:val="TableContents"/>
              <w:bidi w:val="0"/>
              <w:spacing w:before="0" w:after="283"/>
              <w:jc w:val="left"/>
              <w:rPr/>
            </w:pPr>
            <w:r>
              <w:rPr/>
              <w:t> </w:t>
            </w:r>
          </w:p>
        </w:tc>
      </w:tr>
      <w:tr>
        <w:trPr/>
        <w:tc>
          <w:tcPr>
            <w:tcW w:w="6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50" w:name="xdx_40D_eus-gaap--CashCashEquivalentsRes"/>
            <w:bookmarkEnd w:id="250"/>
          </w:p>
        </w:tc>
      </w:tr>
      <w:tr>
        <w:trPr/>
        <w:tc>
          <w:tcPr>
            <w:tcW w:w="6731" w:type="dxa"/>
            <w:tcBorders/>
            <w:shd w:fill="EEEEEE" w:val="clear"/>
            <w:vAlign w:val="center"/>
          </w:tcPr>
          <w:p>
            <w:pPr>
              <w:pStyle w:val="TableContents"/>
              <w:bidi w:val="0"/>
              <w:spacing w:before="0" w:after="283"/>
              <w:jc w:val="left"/>
              <w:rPr/>
            </w:pPr>
            <w:r>
              <w:rPr/>
              <w:t>CASH AND CASH EQUIVALENT, end of period</w:t>
            </w:r>
          </w:p>
        </w:tc>
        <w:tc>
          <w:tcPr>
            <w:tcW w:w="60" w:type="dxa"/>
            <w:tcBorders/>
            <w:shd w:fill="EEEEEE" w:val="clear"/>
            <w:vAlign w:val="center"/>
          </w:tcPr>
          <w:p>
            <w:pPr>
              <w:pStyle w:val="TableContents"/>
              <w:bidi w:val="0"/>
              <w:spacing w:before="0" w:after="283"/>
              <w:jc w:val="left"/>
              <w:rPr/>
            </w:pPr>
            <w:r>
              <w:rPr/>
              <w:t> </w:t>
            </w:r>
          </w:p>
        </w:tc>
        <w:tc>
          <w:tcPr>
            <w:tcW w:w="18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69" w:type="dxa"/>
            <w:tcBorders>
              <w:bottom w:val="double" w:sz="6" w:space="0" w:color="000000"/>
            </w:tcBorders>
            <w:shd w:fill="EEEEEE" w:val="clear"/>
            <w:tcMar>
              <w:bottom w:w="28" w:type="dxa"/>
            </w:tcMar>
            <w:vAlign w:val="center"/>
          </w:tcPr>
          <w:p>
            <w:pPr>
              <w:pStyle w:val="TableContents"/>
              <w:bidi w:val="0"/>
              <w:spacing w:before="0" w:after="283"/>
              <w:jc w:val="right"/>
              <w:rPr/>
            </w:pPr>
            <w:r>
              <w:rPr/>
              <w:t>2,011,738</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69" w:type="dxa"/>
            <w:tcBorders>
              <w:bottom w:val="double" w:sz="6" w:space="0" w:color="000000"/>
            </w:tcBorders>
            <w:shd w:fill="EEEEEE" w:val="clear"/>
            <w:tcMar>
              <w:bottom w:w="28" w:type="dxa"/>
            </w:tcMar>
            <w:vAlign w:val="center"/>
          </w:tcPr>
          <w:p>
            <w:pPr>
              <w:pStyle w:val="TableContents"/>
              <w:bidi w:val="0"/>
              <w:spacing w:before="0" w:after="283"/>
              <w:jc w:val="right"/>
              <w:rPr/>
            </w:pPr>
            <w:r>
              <w:rPr/>
              <w:t>2,877,457</w:t>
            </w:r>
          </w:p>
        </w:tc>
        <w:tc>
          <w:tcPr>
            <w:tcW w:w="114" w:type="dxa"/>
            <w:tcBorders/>
            <w:shd w:fill="EEEEEE" w:val="clear"/>
            <w:vAlign w:val="center"/>
          </w:tcPr>
          <w:p>
            <w:pPr>
              <w:pStyle w:val="TableContents"/>
              <w:bidi w:val="0"/>
              <w:spacing w:before="0" w:after="283"/>
              <w:jc w:val="left"/>
              <w:rPr/>
            </w:pPr>
            <w:r>
              <w:rPr/>
              <w:t> </w:t>
            </w:r>
          </w:p>
        </w:tc>
      </w:tr>
      <w:tr>
        <w:trPr/>
        <w:tc>
          <w:tcPr>
            <w:tcW w:w="6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51" w:name="xdx_403_eus-gaap--SupplementalCashFlowIn"/>
            <w:bookmarkEnd w:id="251"/>
          </w:p>
        </w:tc>
      </w:tr>
      <w:tr>
        <w:trPr/>
        <w:tc>
          <w:tcPr>
            <w:tcW w:w="6731" w:type="dxa"/>
            <w:tcBorders/>
            <w:shd w:fill="EEEEEE" w:val="clear"/>
            <w:vAlign w:val="center"/>
          </w:tcPr>
          <w:p>
            <w:pPr>
              <w:pStyle w:val="TableContents"/>
              <w:bidi w:val="0"/>
              <w:spacing w:before="0" w:after="283"/>
              <w:jc w:val="left"/>
              <w:rPr/>
            </w:pPr>
            <w:r>
              <w:rPr/>
              <w:t>SUPPLEMENTAL CASH FLOW INFORMATION:</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252" w:name="xdx_407_eus-gaap--IncomeTaxesPaidNet_i01"/>
            <w:bookmarkEnd w:id="252"/>
          </w:p>
        </w:tc>
      </w:tr>
      <w:tr>
        <w:trPr/>
        <w:tc>
          <w:tcPr>
            <w:tcW w:w="6731" w:type="dxa"/>
            <w:tcBorders/>
            <w:shd w:fill="FFFFFF" w:val="clear"/>
            <w:vAlign w:val="center"/>
          </w:tcPr>
          <w:p>
            <w:pPr>
              <w:pStyle w:val="TableContents"/>
              <w:bidi w:val="0"/>
              <w:spacing w:before="0" w:after="283"/>
              <w:jc w:val="left"/>
              <w:rPr/>
            </w:pPr>
            <w:r>
              <w:rPr/>
              <w:t>Cash paid for income tax</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369"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36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53" w:name="xdx_408_eus-gaap--InterestPaidNet_i01_pp"/>
            <w:bookmarkEnd w:id="253"/>
          </w:p>
        </w:tc>
      </w:tr>
      <w:tr>
        <w:trPr/>
        <w:tc>
          <w:tcPr>
            <w:tcW w:w="6731" w:type="dxa"/>
            <w:tcBorders/>
            <w:shd w:fill="EEEEEE" w:val="clear"/>
            <w:vAlign w:val="center"/>
          </w:tcPr>
          <w:p>
            <w:pPr>
              <w:pStyle w:val="TableContents"/>
              <w:bidi w:val="0"/>
              <w:spacing w:before="0" w:after="283"/>
              <w:jc w:val="left"/>
              <w:rPr/>
            </w:pPr>
            <w:r>
              <w:rPr/>
              <w:t>Cash paid for interest</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w:t>
            </w:r>
          </w:p>
        </w:tc>
        <w:tc>
          <w:tcPr>
            <w:tcW w:w="1369" w:type="dxa"/>
            <w:tcBorders/>
            <w:shd w:fill="EEEEEE" w:val="clear"/>
            <w:vAlign w:val="center"/>
          </w:tcPr>
          <w:p>
            <w:pPr>
              <w:pStyle w:val="TableContents"/>
              <w:bidi w:val="0"/>
              <w:spacing w:before="0" w:after="283"/>
              <w:jc w:val="right"/>
              <w:rPr/>
            </w:pPr>
            <w:r>
              <w:rPr/>
              <w:t>72,304</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w:t>
            </w:r>
          </w:p>
        </w:tc>
        <w:tc>
          <w:tcPr>
            <w:tcW w:w="1369" w:type="dxa"/>
            <w:tcBorders/>
            <w:shd w:fill="EEEEEE" w:val="clear"/>
            <w:vAlign w:val="center"/>
          </w:tcPr>
          <w:p>
            <w:pPr>
              <w:pStyle w:val="TableContents"/>
              <w:bidi w:val="0"/>
              <w:spacing w:before="0" w:after="283"/>
              <w:jc w:val="right"/>
              <w:rPr/>
            </w:pPr>
            <w:r>
              <w:rPr/>
              <w:t>121,754</w:t>
            </w:r>
          </w:p>
        </w:tc>
        <w:tc>
          <w:tcPr>
            <w:tcW w:w="114" w:type="dxa"/>
            <w:tcBorders/>
            <w:shd w:fill="EEEEEE" w:val="clear"/>
            <w:vAlign w:val="center"/>
          </w:tcPr>
          <w:p>
            <w:pPr>
              <w:pStyle w:val="TableContents"/>
              <w:bidi w:val="0"/>
              <w:spacing w:before="0" w:after="283"/>
              <w:jc w:val="left"/>
              <w:rPr/>
            </w:pPr>
            <w:r>
              <w:rPr/>
              <w:t> </w:t>
            </w:r>
          </w:p>
        </w:tc>
      </w:tr>
      <w:tr>
        <w:trPr/>
        <w:tc>
          <w:tcPr>
            <w:tcW w:w="6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bookmarkStart w:id="254" w:name="xdx_408_eus-gaap--NoncashInvestingAndFin"/>
            <w:bookmarkEnd w:id="254"/>
          </w:p>
        </w:tc>
      </w:tr>
      <w:tr>
        <w:trPr/>
        <w:tc>
          <w:tcPr>
            <w:tcW w:w="6731" w:type="dxa"/>
            <w:tcBorders/>
            <w:shd w:fill="EEEEEE" w:val="clear"/>
            <w:vAlign w:val="center"/>
          </w:tcPr>
          <w:p>
            <w:pPr>
              <w:pStyle w:val="TableContents"/>
              <w:bidi w:val="0"/>
              <w:spacing w:before="0" w:after="283"/>
              <w:jc w:val="left"/>
              <w:rPr/>
            </w:pPr>
            <w:r>
              <w:rPr/>
              <w:t>SUPPLEMENTAL DISCLOSURE OF NON-CASH INVESTING AND FINANCING TRANSACTIONS:</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255" w:name="xdx_406_ecustom--DerivativeLiabilityConv"/>
            <w:bookmarkEnd w:id="255"/>
          </w:p>
        </w:tc>
      </w:tr>
      <w:tr>
        <w:trPr/>
        <w:tc>
          <w:tcPr>
            <w:tcW w:w="6731" w:type="dxa"/>
            <w:tcBorders/>
            <w:shd w:fill="FFFFFF" w:val="clear"/>
            <w:vAlign w:val="center"/>
          </w:tcPr>
          <w:p>
            <w:pPr>
              <w:pStyle w:val="TableContents"/>
              <w:bidi w:val="0"/>
              <w:spacing w:before="0" w:after="283"/>
              <w:jc w:val="left"/>
              <w:rPr/>
            </w:pPr>
            <w:r>
              <w:rPr/>
              <w:t>Derivative liability - conversion option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369" w:type="dxa"/>
            <w:tcBorders/>
            <w:shd w:fill="FFFFFF" w:val="clear"/>
            <w:vAlign w:val="center"/>
          </w:tcPr>
          <w:p>
            <w:pPr>
              <w:pStyle w:val="TableContents"/>
              <w:bidi w:val="0"/>
              <w:spacing w:before="0" w:after="283"/>
              <w:jc w:val="right"/>
              <w:rPr/>
            </w:pPr>
            <w:r>
              <w:rPr/>
              <w:t>1,413,100</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36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56" w:name="xdx_408_ecustom--CommonStockIssuedForCon"/>
            <w:bookmarkEnd w:id="256"/>
          </w:p>
        </w:tc>
      </w:tr>
      <w:tr>
        <w:trPr/>
        <w:tc>
          <w:tcPr>
            <w:tcW w:w="6731" w:type="dxa"/>
            <w:tcBorders/>
            <w:shd w:fill="EEEEEE" w:val="clear"/>
            <w:vAlign w:val="center"/>
          </w:tcPr>
          <w:p>
            <w:pPr>
              <w:pStyle w:val="TableContents"/>
              <w:bidi w:val="0"/>
              <w:spacing w:before="0" w:after="283"/>
              <w:jc w:val="left"/>
              <w:rPr/>
            </w:pPr>
            <w:r>
              <w:rPr/>
              <w:t>Common stock issued for conversions of note payable</w:t>
            </w:r>
          </w:p>
        </w:tc>
        <w:tc>
          <w:tcPr>
            <w:tcW w:w="60"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110,300</w:t>
            </w:r>
          </w:p>
        </w:tc>
        <w:tc>
          <w:tcPr>
            <w:tcW w:w="123" w:type="dxa"/>
            <w:tcBorders/>
            <w:shd w:fill="EEEEEE" w:val="clear"/>
            <w:vAlign w:val="center"/>
          </w:tcPr>
          <w:p>
            <w:pPr>
              <w:pStyle w:val="TableContents"/>
              <w:bidi w:val="0"/>
              <w:spacing w:before="0" w:after="283"/>
              <w:jc w:val="left"/>
              <w:rPr/>
            </w:pPr>
            <w:r>
              <w:rPr/>
              <w:t> </w:t>
            </w:r>
          </w:p>
        </w:tc>
        <w:tc>
          <w:tcPr>
            <w:tcW w:w="77" w:type="dxa"/>
            <w:tcBorders/>
            <w:shd w:fill="EEEEEE" w:val="clear"/>
            <w:vAlign w:val="center"/>
          </w:tcPr>
          <w:p>
            <w:pPr>
              <w:pStyle w:val="TableContents"/>
              <w:bidi w:val="0"/>
              <w:spacing w:before="0" w:after="283"/>
              <w:jc w:val="left"/>
              <w:rPr/>
            </w:pPr>
            <w:r>
              <w:rPr/>
              <w:t> </w:t>
            </w:r>
          </w:p>
        </w:tc>
        <w:tc>
          <w:tcPr>
            <w:tcW w:w="181"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pPr>
            <w:r>
              <w:rPr/>
              <w:t>–</w:t>
            </w:r>
          </w:p>
        </w:tc>
        <w:tc>
          <w:tcPr>
            <w:tcW w:w="114" w:type="dxa"/>
            <w:tcBorders/>
            <w:shd w:fill="EEEEEE" w:val="clear"/>
            <w:vAlign w:val="center"/>
          </w:tcPr>
          <w:p>
            <w:pPr>
              <w:pStyle w:val="TableContents"/>
              <w:bidi w:val="0"/>
              <w:spacing w:before="0" w:after="283"/>
              <w:jc w:val="left"/>
              <w:rPr/>
            </w:pPr>
            <w:r>
              <w:rPr/>
              <w:t> </w:t>
            </w:r>
            <w:bookmarkStart w:id="257" w:name="xdx_403_ecustom--RightOfUseAssetsDerecog"/>
            <w:bookmarkEnd w:id="257"/>
          </w:p>
        </w:tc>
      </w:tr>
      <w:tr>
        <w:trPr/>
        <w:tc>
          <w:tcPr>
            <w:tcW w:w="6731" w:type="dxa"/>
            <w:tcBorders/>
            <w:shd w:fill="FFFFFF" w:val="clear"/>
            <w:vAlign w:val="center"/>
          </w:tcPr>
          <w:p>
            <w:pPr>
              <w:pStyle w:val="TableContents"/>
              <w:bidi w:val="0"/>
              <w:spacing w:before="0" w:after="283"/>
              <w:jc w:val="left"/>
              <w:rPr/>
            </w:pPr>
            <w:r>
              <w:rPr/>
              <w:t>Right of use assets derecognized due to termination of operating leases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434,033</w:t>
            </w:r>
          </w:p>
        </w:tc>
        <w:tc>
          <w:tcPr>
            <w:tcW w:w="114"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8" w:name="q2_007"/>
      <w:bookmarkEnd w:id="258"/>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June 30, 2025 and for the Six Months Ended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9" w:name="xdx_803_eus-gaap--OrganizationConsolidat"/>
      <w:bookmarkEnd w:id="259"/>
      <w:r>
        <w:rPr>
          <w:rFonts w:ascii="Times New Roman;Times;Serif" w:hAnsi="Times New Roman;Times;Serif"/>
          <w:b/>
          <w:i w:val="false"/>
          <w:caps w:val="false"/>
          <w:smallCaps w:val="false"/>
          <w:sz w:val="20"/>
        </w:rPr>
        <w:t xml:space="preserve">Note 1 - </w:t>
      </w:r>
      <w:bookmarkStart w:id="260" w:name="xdx_822_zpQXL4C17Tye"/>
      <w:bookmarkEnd w:id="260"/>
      <w:r>
        <w:rPr>
          <w:rFonts w:ascii="Times New Roman;Times;Serif" w:hAnsi="Times New Roman;Times;Serif"/>
          <w:b/>
          <w:i w:val="false"/>
          <w:caps w:val="false"/>
          <w:smallCaps w:val="false"/>
          <w:sz w:val="20"/>
        </w:rPr>
        <w:t>Nature of business and 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formerly known as BZRTH Inc., a Nevada corporation (the “Company”), was incorporated on April 11, 2018. The Company is principally engaged in the marketing and sale of consumer home, garden and other products and accessories mainly in North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2021, the Company acquired 100% of the equity ownership of its variable interest entity, Global Product Marketing Inc. (“GPM”), an entity which was incorporated in the State of Nevada on September 4, 2020, and was owned by Chenlong Tan, the Company’s Chairman, CEO, President and Interim CFO, and one of the majority shareholders of the Company. As a result, GPM became the Company’s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 See details at Note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(“DYRZ”), and Daheshou (Shenzhen) Information Technology Co., Ltd. (“DHS”). Anivia owns 100% of the equity of Fly Elephant Limited, which in turn owns 100% of the equity of DYRZ, a corporation located in the People’s Republic of China (“PRC”), which is a wholly foreign-owned enterprise (“WFOE”) of Fly Elephant Limited. The WFOE controls, through contractual arrangements summarized in Note 4 below, the business, revenues and profits of DHS, a company organized under the Laws of the PRC and located in Shenzhen, China. See details on Note 4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2025, the Company entered into a joint venture agreement and formed a Nevada limited liability company, United Package NV, LLC (“United Package”), for the principal purpose of producing packaging materials to serve the rapidly growing demands of U.S. businesses seeking reliable, sustainable, and cost-effective supply chain solutions without reliance on offshore manufacturing. The Company owns approximately </w:t>
      </w:r>
      <w:bookmarkStart w:id="261" w:name="xdx_90E_eus-gaap--EquityMethodInvestment"/>
      <w:bookmarkEnd w:id="261"/>
      <w:r>
        <w:rPr>
          <w:rFonts w:ascii="Times New Roman;Times;Serif" w:hAnsi="Times New Roman;Times;Serif"/>
          <w:b w:val="false"/>
          <w:i w:val="false"/>
          <w:caps w:val="false"/>
          <w:smallCaps w:val="false"/>
          <w:sz w:val="20"/>
        </w:rPr>
        <w:t>44% of the equity interest in United Package, retaining significant influence, but does not own a majority equity interest in or otherwise control United Package. See details at Note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executed an agreement (the “Restructuring Agreement” ) with its subsidiaries to modify its corporate structure so that the Company’s consumer goods and logistics business be operated out of GPM. Pursuant to the Restructuring Agreement, the Company transferred its ownership in E Marketing and United Package to GPM. Execution of the Restructuring Agreement does not have any impact on the consolidated financial statements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2025, the Company formed iPower Smart LLC, a Delaware limited liability company (‘Smart LLC”). Smart LLC is principally engaged in digital treasury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62" w:name="xdx_239_zTdYhGbe0xZ4"/>
      <w:bookmarkEnd w:id="262"/>
      <w:r>
        <w:rPr>
          <w:caps w:val="false"/>
          <w:smallCaps w:val="false"/>
        </w:rPr>
        <w:t> </w:t>
      </w:r>
    </w:p>
    <w:p>
      <w:pPr>
        <w:pStyle w:val="TextBody"/>
        <w:bidi w:val="0"/>
        <w:spacing w:before="0" w:after="0"/>
        <w:ind w:left="0" w:right="0" w:hanging="0"/>
        <w:jc w:val="both"/>
        <w:rPr>
          <w:caps w:val="false"/>
          <w:smallCaps w:val="false"/>
        </w:rPr>
      </w:pPr>
      <w:bookmarkStart w:id="263" w:name="xdx_234_zX1fs2AiFb04"/>
      <w:bookmarkEnd w:id="263"/>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64" w:name="xdx_239_zwUxhcj1W5D6"/>
      <w:bookmarkEnd w:id="26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5" w:name="xdx_80F_eus-gaap--SignificantAccountingP"/>
      <w:bookmarkEnd w:id="265"/>
      <w:r>
        <w:rPr>
          <w:rFonts w:ascii="Times New Roman;Times;Serif" w:hAnsi="Times New Roman;Times;Serif"/>
          <w:b/>
          <w:i w:val="false"/>
          <w:caps w:val="false"/>
          <w:smallCaps w:val="false"/>
          <w:sz w:val="20"/>
        </w:rPr>
        <w:t xml:space="preserve">Note 2 – </w:t>
      </w:r>
      <w:bookmarkStart w:id="266" w:name="xdx_825_z5VVywMm42E4"/>
      <w:bookmarkEnd w:id="266"/>
      <w:r>
        <w:rPr>
          <w:rFonts w:ascii="Times New Roman;Times;Serif" w:hAnsi="Times New Roman;Times;Serif"/>
          <w:b/>
          <w:i w:val="false"/>
          <w:caps w:val="false"/>
          <w:smallCaps w:val="false"/>
          <w:sz w:val="20"/>
        </w:rPr>
        <w:t>Basis of Presentation and Summary of significant accounting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67" w:name="xdx_862_zZedOb7DW91b"/>
      <w:bookmarkStart w:id="268" w:name="xdx_849_eus-gaap--BasisOfAccountingPolic"/>
      <w:bookmarkEnd w:id="267"/>
      <w:bookmarkEnd w:id="268"/>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accounts of the Company and its subsidiaries and VIE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2026, or for any other interim period or for any other future year.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should be read in conjunction with the Company’s audited consolidated financial statements and the notes thereto included in the Annual Report for the year ended June 30, 2025, which are included in Form 10-K filed with the SEC on October 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69" w:name="xdx_86C_z1hlD6xq9bk4"/>
      <w:bookmarkStart w:id="270" w:name="xdx_843_eus-gaap--ConsolidationPolicyTex"/>
      <w:bookmarkEnd w:id="269"/>
      <w:bookmarkEnd w:id="270"/>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accounts of the Company and its subsidiaries, E Marketing, GPM, GSM, Smart LLC and Anivia Limited and its subsidiaries and VIE, including Fly Elephant Limited, DYRZ and DHS. All inter-company balances and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71" w:name="xdx_86F_zRnXu5NYch6j"/>
      <w:bookmarkStart w:id="272" w:name="xdx_848_ecustom--EmergingGrowthCompanySt"/>
      <w:bookmarkEnd w:id="271"/>
      <w:bookmarkEnd w:id="272"/>
      <w:r>
        <w:rPr>
          <w:rFonts w:ascii="Times New Roman;Times;Serif" w:hAnsi="Times New Roman;Times;Serif"/>
          <w:b w:val="false"/>
          <w:i w:val="false"/>
          <w:caps w:val="false"/>
          <w:smallCaps w:val="false"/>
          <w:sz w:val="20"/>
          <w:u w:val="single"/>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73" w:name="xdx_239_zl0LtvR2ztX2"/>
      <w:bookmarkEnd w:id="273"/>
      <w:r>
        <w:rPr>
          <w:caps w:val="false"/>
          <w:smallCaps w:val="false"/>
        </w:rPr>
        <w:t> </w:t>
      </w:r>
    </w:p>
    <w:p>
      <w:pPr>
        <w:pStyle w:val="TextBody"/>
        <w:bidi w:val="0"/>
        <w:spacing w:before="0" w:after="0"/>
        <w:ind w:left="0" w:right="0" w:hanging="0"/>
        <w:jc w:val="both"/>
        <w:rPr>
          <w:caps w:val="false"/>
          <w:smallCaps w:val="false"/>
        </w:rPr>
      </w:pPr>
      <w:bookmarkStart w:id="274" w:name="xdx_23F_zkkluT6b7g0l"/>
      <w:bookmarkEnd w:id="27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75" w:name="xdx_23D_zPSRIxxW7cr9"/>
      <w:bookmarkEnd w:id="275"/>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76" w:name="xdx_869_z7aUYUFz27Rb"/>
      <w:bookmarkStart w:id="277" w:name="xdx_84B_eus-gaap--UseOfEstimates_zaLyypP"/>
      <w:bookmarkEnd w:id="276"/>
      <w:bookmarkEnd w:id="277"/>
      <w:r>
        <w:rPr>
          <w:rFonts w:ascii="Times New Roman;Times;Serif" w:hAnsi="Times New Roman;Times;Serif"/>
          <w:b w:val="false"/>
          <w:i w:val="false"/>
          <w:caps w:val="false"/>
          <w:smallCaps w:val="false"/>
          <w:sz w:val="20"/>
          <w:u w:val="single"/>
        </w:rPr>
        <w:t>Use of estimates and assumptions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78" w:name="xdx_868_zOwSuC1Rcch3"/>
      <w:bookmarkStart w:id="279" w:name="xdx_84F_eus-gaap--ForeignCurrencyTransac"/>
      <w:bookmarkEnd w:id="278"/>
      <w:bookmarkEnd w:id="279"/>
      <w:r>
        <w:rPr>
          <w:rFonts w:ascii="Times New Roman;Times;Serif" w:hAnsi="Times New Roman;Times;Serif"/>
          <w:b w:val="false"/>
          <w:i w:val="false"/>
          <w:caps w:val="false"/>
          <w:smallCaps w:val="false"/>
          <w:sz w:val="20"/>
          <w:u w:val="single"/>
        </w:rPr>
        <w:t>Foreign currency translation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and functional currency of iPower and its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balance sheet amounts of the WFOE, with the exception of equity, on December 31, 2025, were translated at </w:t>
      </w:r>
      <w:bookmarkStart w:id="280" w:name="xdx_905_eus-gaap--ForeignCurrencyExchang"/>
      <w:bookmarkEnd w:id="280"/>
      <w:r>
        <w:rPr>
          <w:rFonts w:ascii="Times New Roman;Times;Serif" w:hAnsi="Times New Roman;Times;Serif"/>
          <w:b w:val="false"/>
          <w:i w:val="false"/>
          <w:caps w:val="false"/>
          <w:smallCaps w:val="false"/>
          <w:sz w:val="20"/>
        </w:rPr>
        <w:t xml:space="preserve">6.9931 RMB to $1.00. The equity accounts were stated at their historical rates. The average translation rates applied to statements of operations and comprehensive income (loss) accounts for the six months ended December 31, 2025was </w:t>
      </w:r>
      <w:bookmarkStart w:id="281" w:name="xdx_90F_ecustom--ForeignCurrencyExchange"/>
      <w:bookmarkEnd w:id="281"/>
      <w:r>
        <w:rPr>
          <w:rFonts w:ascii="Times New Roman;Times;Serif" w:hAnsi="Times New Roman;Times;Serif"/>
          <w:b w:val="false"/>
          <w:i w:val="false"/>
          <w:caps w:val="false"/>
          <w:smallCaps w:val="false"/>
          <w:sz w:val="20"/>
        </w:rPr>
        <w:t>7.1235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82" w:name="xdx_867_zNNYgVaw5Z49"/>
      <w:bookmarkStart w:id="283" w:name="xdx_84E_eus-gaap--CashAndCashEquivalents"/>
      <w:bookmarkEnd w:id="282"/>
      <w:bookmarkEnd w:id="283"/>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amounts held as cash on hand and financial institution and financial service company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maintain bank balances in interest bearing accounts in excess of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4" w:name="xdx_86E_zg9Sltq1dbvg"/>
      <w:bookmarkStart w:id="285" w:name="xdx_848_eus-gaap--ReceivablesPolicyTextB"/>
      <w:bookmarkEnd w:id="284"/>
      <w:bookmarkEnd w:id="285"/>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and expected loss rate and status of negotiations with the sales channel partner, management reviews its accounts receivable balances each reporting period to determine if an allowance for credit loss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86" w:name="xdx_23A_zhQ1jkKE6hS3"/>
      <w:bookmarkEnd w:id="286"/>
      <w:r>
        <w:rPr>
          <w:caps w:val="false"/>
          <w:smallCaps w:val="false"/>
        </w:rPr>
        <w:t> </w:t>
      </w:r>
    </w:p>
    <w:p>
      <w:pPr>
        <w:pStyle w:val="TextBody"/>
        <w:bidi w:val="0"/>
        <w:spacing w:before="0" w:after="0"/>
        <w:ind w:left="0" w:right="0" w:hanging="0"/>
        <w:jc w:val="both"/>
        <w:rPr>
          <w:caps w:val="false"/>
          <w:smallCaps w:val="false"/>
        </w:rPr>
      </w:pPr>
      <w:bookmarkStart w:id="287" w:name="xdx_231_zVnmkW5o6Hje"/>
      <w:bookmarkEnd w:id="28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88" w:name="xdx_235_zgXEjh7p7TVd"/>
      <w:bookmarkEnd w:id="28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95"/>
        <w:gridCol w:w="74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the customer fails to comply with its payment schedule;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the customer is in serious financial difficulty;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a significant dispute with the customer has occurred regarding job progress or other matters;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the customer breaches any of its contractual obligations;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the customer appears to be financially distressed due to economic or legal factors;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the business between the customer and the Company is not active; or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other objective evidence indicates non-collectability of the accounts receivable.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its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9" w:name="xdx_864_zKM3fkpXordj"/>
      <w:bookmarkStart w:id="290" w:name="xdx_848_eus-gaap--EquityMethodInvestment"/>
      <w:bookmarkEnd w:id="289"/>
      <w:bookmarkEnd w:id="290"/>
      <w:r>
        <w:rPr>
          <w:rFonts w:ascii="Times New Roman;Times;Serif" w:hAnsi="Times New Roman;Times;Serif"/>
          <w:b w:val="false"/>
          <w:i w:val="false"/>
          <w:caps w:val="false"/>
          <w:smallCaps w:val="false"/>
          <w:sz w:val="20"/>
          <w:u w:val="single"/>
        </w:rPr>
        <w:t xml:space="preserve">Equity method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ownership interest in Box Harmony, a </w:t>
      </w:r>
      <w:bookmarkStart w:id="291" w:name="xdx_90A_eus-gaap--EquityMethodInvestment"/>
      <w:bookmarkEnd w:id="291"/>
      <w:r>
        <w:rPr>
          <w:rFonts w:ascii="Times New Roman;Times;Serif" w:hAnsi="Times New Roman;Times;Serif"/>
          <w:b w:val="false"/>
          <w:i w:val="false"/>
          <w:caps w:val="false"/>
          <w:smallCaps w:val="false"/>
          <w:sz w:val="20"/>
        </w:rPr>
        <w:t>40% owned joint venture, and United Package NV LLC, a 44%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the joint ventures’ statement of operations and a corresponding charge or credit to the carrying value of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2" w:name="xdx_863_ziO8h8sEz4gb"/>
      <w:bookmarkStart w:id="293" w:name="xdx_841_esrt--PlatformOperatorCryptoAsse"/>
      <w:bookmarkEnd w:id="292"/>
      <w:bookmarkEnd w:id="293"/>
      <w:r>
        <w:rPr>
          <w:rFonts w:ascii="Times New Roman;Times;Serif" w:hAnsi="Times New Roman;Times;Serif"/>
          <w:b w:val="false"/>
          <w:i w:val="false"/>
          <w:caps w:val="false"/>
          <w:smallCaps w:val="false"/>
          <w:sz w:val="20"/>
          <w:u w:val="single"/>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digital assets, which currently are comprised solely of Bitcoin (“BTC”) and Ethereum (“ETH”), as indefinite-lived intangible assets in accordance with Accounting Standards Codification (“ASC”) Topic 350-60, “Intangibles—Goodwill and Other—Crypto Assets.” The Company has ownership of and control over its digital assets and may use third-party custodial services to secure it. The Company’s digital assets are initially recorded at cost and are subsequently remeasured on the balance sheet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94" w:name="xdx_231_z2NJHf9ySCG7"/>
      <w:bookmarkEnd w:id="294"/>
      <w:r>
        <w:rPr>
          <w:caps w:val="false"/>
          <w:smallCaps w:val="false"/>
        </w:rPr>
        <w:t> </w:t>
      </w:r>
    </w:p>
    <w:p>
      <w:pPr>
        <w:pStyle w:val="TextBody"/>
        <w:bidi w:val="0"/>
        <w:spacing w:before="0" w:after="0"/>
        <w:ind w:left="0" w:right="0" w:hanging="0"/>
        <w:jc w:val="both"/>
        <w:rPr>
          <w:caps w:val="false"/>
          <w:smallCaps w:val="false"/>
        </w:rPr>
      </w:pPr>
      <w:bookmarkStart w:id="295" w:name="xdx_234_zJYSI2W8H7Tf"/>
      <w:bookmarkStart w:id="296" w:name="xdx_23C_zjQrcer7ZJHe"/>
      <w:bookmarkEnd w:id="295"/>
      <w:bookmarkEnd w:id="29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97" w:name="xdx_23A_z7F67QPxoDUh"/>
      <w:bookmarkEnd w:id="29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its digital assets on a recurring basis in accordance with ASC Topic 820, “Fair Value Measurement,” based on quoted prices on the active exchange that the Company has determined is its principal market for such digital assets (Level 1 inputs). The Company determines the cost basis of digital assets using the specific identification of each unit received. Realized and unrealized gains and losses from changes in the fair value of digital assets are recognized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8" w:name="xdx_863_zKblY6jcU5fc"/>
      <w:bookmarkStart w:id="299" w:name="xdx_846_eus-gaap--ConsolidationVariableI"/>
      <w:bookmarkEnd w:id="298"/>
      <w:bookmarkEnd w:id="299"/>
      <w:r>
        <w:rPr>
          <w:rFonts w:ascii="Times New Roman;Times;Serif" w:hAnsi="Times New Roman;Times;Serif"/>
          <w:b w:val="false"/>
          <w:i w:val="false"/>
          <w:caps w:val="false"/>
          <w:smallCaps w:val="false"/>
          <w:sz w:val="20"/>
          <w:u w:val="single"/>
        </w:rPr>
        <w:t>Variable 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and its subsidiaries, including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2025, the Company entered into a Variable Interest Entity (“VIE”) Contract Termination Agreement with the VIE, pursuant to which all VIE agreements were terminated. As a result, the Company no longer has a controlling financial interest in the VIE. In accordance with ASC 810-10-40, </w:t>
      </w:r>
      <w:r>
        <w:rPr>
          <w:rFonts w:ascii="Times New Roman;Times;Serif" w:hAnsi="Times New Roman;Times;Serif"/>
          <w:b w:val="false"/>
          <w:i/>
          <w:caps w:val="false"/>
          <w:smallCaps w:val="false"/>
          <w:sz w:val="20"/>
        </w:rPr>
        <w:t>Consolidation — Deconsolidation of a Subsidiary or Derecognition of a Group of Assets</w:t>
      </w:r>
      <w:r>
        <w:rPr>
          <w:rFonts w:ascii="Times New Roman;Times;Serif" w:hAnsi="Times New Roman;Times;Serif"/>
          <w:b w:val="false"/>
          <w:i w:val="false"/>
          <w:caps w:val="false"/>
          <w:smallCaps w:val="false"/>
          <w:sz w:val="20"/>
        </w:rPr>
        <w:t>, the Company deconsolidated the VIE as of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00" w:name="xdx_863_zkkagirocao5"/>
      <w:bookmarkStart w:id="301" w:name="xdx_84A_eus-gaap--GoodwillAndIntangibleA"/>
      <w:bookmarkEnd w:id="300"/>
      <w:bookmarkEnd w:id="301"/>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price over the fair value of assets acquired and liabilities assumed. The Company accounts for goodwill under </w:t>
      </w:r>
      <w:r>
        <w:rPr>
          <w:rFonts w:ascii="Times New Roman;Times;Serif" w:hAnsi="Times New Roman;Times;Serif"/>
          <w:b w:val="false"/>
          <w:i/>
          <w:caps w:val="false"/>
          <w:smallCaps w:val="false"/>
          <w:sz w:val="20"/>
        </w:rPr>
        <w:t>ASC Topic 350, Intangibles-Goodwill and Other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December 31, 2025 and 2024, the Company performed a qualitative goodwill impairment analysis following the steps laid out in ASC 350-20-35-3C and noted no goodwill impairment. As of December 31, 2025 and June 30, 2025, the goodwill balance amounted to $</w:t>
      </w:r>
      <w:bookmarkStart w:id="302" w:name="xdx_90D_eus-gaap--Goodwill_iI_pp0p0_c202"/>
      <w:bookmarkEnd w:id="302"/>
      <w:r>
        <w:rPr>
          <w:rFonts w:ascii="Times New Roman;Times;Serif" w:hAnsi="Times New Roman;Times;Serif"/>
          <w:b w:val="false"/>
          <w:i w:val="false"/>
          <w:caps w:val="false"/>
          <w:smallCaps w:val="false"/>
          <w:sz w:val="20"/>
        </w:rPr>
        <w:t>3,034,110 and $</w:t>
      </w:r>
      <w:bookmarkStart w:id="303" w:name="xdx_909_eus-gaap--Goodwill_iI_pp0p0_c202"/>
      <w:bookmarkEnd w:id="303"/>
      <w:r>
        <w:rPr>
          <w:rFonts w:ascii="Times New Roman;Times;Serif" w:hAnsi="Times New Roman;Times;Serif"/>
          <w:b w:val="false"/>
          <w:i w:val="false"/>
          <w:caps w:val="false"/>
          <w:smallCaps w:val="false"/>
          <w:sz w:val="20"/>
        </w:rPr>
        <w:t>3,034,110,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04" w:name="xdx_233_zt4gLZM5zwUe"/>
      <w:bookmarkEnd w:id="304"/>
      <w:r>
        <w:rPr>
          <w:caps w:val="false"/>
          <w:smallCaps w:val="false"/>
        </w:rPr>
        <w:t> </w:t>
      </w:r>
    </w:p>
    <w:p>
      <w:pPr>
        <w:pStyle w:val="TextBody"/>
        <w:bidi w:val="0"/>
        <w:spacing w:before="0" w:after="0"/>
        <w:ind w:left="0" w:right="0" w:hanging="0"/>
        <w:jc w:val="both"/>
        <w:rPr>
          <w:caps w:val="false"/>
          <w:smallCaps w:val="false"/>
        </w:rPr>
      </w:pPr>
      <w:bookmarkStart w:id="305" w:name="xdx_23E_zCWj2fhF1Ln1"/>
      <w:bookmarkEnd w:id="30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06" w:name="xdx_239_zjamCmS4Xlmj"/>
      <w:bookmarkEnd w:id="30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07" w:name="xdx_862_z8cr1WCAXyz8"/>
      <w:bookmarkStart w:id="308" w:name="xdx_84F_eus-gaap--IntangibleAssetsFinite"/>
      <w:bookmarkEnd w:id="307"/>
      <w:bookmarkEnd w:id="308"/>
      <w:r>
        <w:rPr>
          <w:rFonts w:ascii="Times New Roman;Times;Serif" w:hAnsi="Times New Roman;Times;Serif"/>
          <w:b w:val="false"/>
          <w:i w:val="false"/>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 life intangible assets at December 31, 2025 include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pStyle w:val="Normal"/>
        <w:bidi w:val="0"/>
        <w:spacing w:before="0" w:after="0"/>
        <w:jc w:val="left"/>
        <w:rPr>
          <w:sz w:val="4"/>
          <w:szCs w:val="4"/>
        </w:rPr>
      </w:pPr>
      <w:r>
        <w:rPr>
          <w:sz w:val="4"/>
          <w:szCs w:val="4"/>
        </w:rPr>
      </w:r>
      <w:bookmarkStart w:id="309" w:name="xdx_882_ecustom--ScheduleOfIntangibleAss"/>
      <w:bookmarkStart w:id="310" w:name="xdx_882_ecustom--ScheduleOfIntangibleAss"/>
      <w:bookmarkEnd w:id="310"/>
    </w:p>
    <w:tbl>
      <w:tblPr>
        <w:tblW w:w="4090" w:type="dxa"/>
        <w:jc w:val="left"/>
        <w:tblInd w:w="0" w:type="dxa"/>
        <w:shd w:fill="FFFFFF" w:val="clear"/>
        <w:tblLayout w:type="fixed"/>
        <w:tblCellMar>
          <w:top w:w="0" w:type="dxa"/>
          <w:left w:w="0" w:type="dxa"/>
          <w:bottom w:w="0" w:type="dxa"/>
          <w:right w:w="0" w:type="dxa"/>
        </w:tblCellMar>
      </w:tblPr>
      <w:tblGrid>
        <w:gridCol w:w="3095"/>
        <w:gridCol w:w="60"/>
        <w:gridCol w:w="935"/>
      </w:tblGrid>
      <w:tr>
        <w:trPr/>
        <w:tc>
          <w:tcPr>
            <w:tcW w:w="3095" w:type="dxa"/>
            <w:tcBorders/>
            <w:shd w:fill="FFFFFF" w:val="clear"/>
            <w:vAlign w:val="center"/>
          </w:tcPr>
          <w:p>
            <w:pPr>
              <w:pStyle w:val="TableContents"/>
              <w:bidi w:val="0"/>
              <w:spacing w:before="0" w:after="283"/>
              <w:jc w:val="left"/>
              <w:rPr/>
            </w:pPr>
            <w:bookmarkStart w:id="311" w:name="xdx_8B2_zgkOOCgss7U1"/>
            <w:bookmarkEnd w:id="311"/>
            <w:r>
              <w:rPr/>
              <w:t>Schedule of estimated useful life</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Useful Life</w:t>
            </w:r>
          </w:p>
        </w:tc>
      </w:tr>
      <w:tr>
        <w:trPr/>
        <w:tc>
          <w:tcPr>
            <w:tcW w:w="3095" w:type="dxa"/>
            <w:tcBorders/>
            <w:shd w:fill="EEEEEE" w:val="clear"/>
            <w:vAlign w:val="center"/>
          </w:tcPr>
          <w:p>
            <w:pPr>
              <w:pStyle w:val="TableContents"/>
              <w:bidi w:val="0"/>
              <w:spacing w:before="0" w:after="283"/>
              <w:jc w:val="left"/>
              <w:rPr>
                <w:sz w:val="20"/>
              </w:rPr>
            </w:pPr>
            <w:r>
              <w:rPr>
                <w:sz w:val="20"/>
              </w:rPr>
              <w:t>Covenant Not to Compete</w:t>
            </w:r>
          </w:p>
        </w:tc>
        <w:tc>
          <w:tcPr>
            <w:tcW w:w="60" w:type="dxa"/>
            <w:tcBorders/>
            <w:shd w:fill="EEEEEE" w:val="clear"/>
            <w:vAlign w:val="center"/>
          </w:tcPr>
          <w:p>
            <w:pPr>
              <w:pStyle w:val="TableContents"/>
              <w:bidi w:val="0"/>
              <w:spacing w:before="0" w:after="283"/>
              <w:jc w:val="left"/>
              <w:rPr/>
            </w:pPr>
            <w:r>
              <w:rPr/>
              <w:t> </w:t>
            </w:r>
          </w:p>
        </w:tc>
        <w:tc>
          <w:tcPr>
            <w:tcW w:w="935" w:type="dxa"/>
            <w:tcBorders/>
            <w:shd w:fill="EEEEEE" w:val="clear"/>
            <w:vAlign w:val="center"/>
          </w:tcPr>
          <w:p>
            <w:pPr>
              <w:pStyle w:val="TableContents"/>
              <w:bidi w:val="0"/>
              <w:spacing w:before="0" w:after="283"/>
              <w:jc w:val="center"/>
              <w:rPr>
                <w:sz w:val="20"/>
              </w:rPr>
            </w:pPr>
            <w:bookmarkStart w:id="312" w:name="xdx_906_eus-gaap--FiniteLivedIntangibleA"/>
            <w:bookmarkEnd w:id="312"/>
            <w:r>
              <w:rPr>
                <w:sz w:val="20"/>
              </w:rPr>
              <w:t>10 years</w:t>
            </w:r>
          </w:p>
        </w:tc>
      </w:tr>
      <w:tr>
        <w:trPr/>
        <w:tc>
          <w:tcPr>
            <w:tcW w:w="3095" w:type="dxa"/>
            <w:tcBorders/>
            <w:shd w:fill="FFFFFF" w:val="clear"/>
            <w:vAlign w:val="center"/>
          </w:tcPr>
          <w:p>
            <w:pPr>
              <w:pStyle w:val="TableContents"/>
              <w:bidi w:val="0"/>
              <w:spacing w:before="0" w:after="283"/>
              <w:jc w:val="left"/>
              <w:rPr>
                <w:sz w:val="20"/>
              </w:rPr>
            </w:pPr>
            <w:r>
              <w:rPr>
                <w:sz w:val="20"/>
              </w:rPr>
              <w:t>Supplier relationship</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sz w:val="20"/>
              </w:rPr>
            </w:pPr>
            <w:bookmarkStart w:id="313" w:name="xdx_90D_eus-gaap--FiniteLivedIntangibleA"/>
            <w:bookmarkEnd w:id="313"/>
            <w:r>
              <w:rPr>
                <w:sz w:val="20"/>
              </w:rPr>
              <w:t>6 years</w:t>
            </w:r>
          </w:p>
        </w:tc>
      </w:tr>
      <w:tr>
        <w:trPr/>
        <w:tc>
          <w:tcPr>
            <w:tcW w:w="3095" w:type="dxa"/>
            <w:tcBorders/>
            <w:shd w:fill="EEEEEE" w:val="clear"/>
            <w:vAlign w:val="center"/>
          </w:tcPr>
          <w:p>
            <w:pPr>
              <w:pStyle w:val="TableContents"/>
              <w:bidi w:val="0"/>
              <w:spacing w:before="0" w:after="283"/>
              <w:jc w:val="left"/>
              <w:rPr>
                <w:sz w:val="20"/>
              </w:rPr>
            </w:pPr>
            <w:r>
              <w:rPr>
                <w:sz w:val="20"/>
              </w:rPr>
              <w:t>Software</w:t>
            </w:r>
          </w:p>
        </w:tc>
        <w:tc>
          <w:tcPr>
            <w:tcW w:w="60" w:type="dxa"/>
            <w:tcBorders/>
            <w:shd w:fill="EEEEEE" w:val="clear"/>
            <w:vAlign w:val="center"/>
          </w:tcPr>
          <w:p>
            <w:pPr>
              <w:pStyle w:val="TableContents"/>
              <w:bidi w:val="0"/>
              <w:spacing w:before="0" w:after="283"/>
              <w:jc w:val="left"/>
              <w:rPr/>
            </w:pPr>
            <w:r>
              <w:rPr/>
              <w:t> </w:t>
            </w:r>
          </w:p>
        </w:tc>
        <w:tc>
          <w:tcPr>
            <w:tcW w:w="935" w:type="dxa"/>
            <w:tcBorders/>
            <w:shd w:fill="EEEEEE" w:val="clear"/>
            <w:vAlign w:val="center"/>
          </w:tcPr>
          <w:p>
            <w:pPr>
              <w:pStyle w:val="TableContents"/>
              <w:bidi w:val="0"/>
              <w:spacing w:before="0" w:after="283"/>
              <w:jc w:val="center"/>
              <w:rPr>
                <w:sz w:val="20"/>
              </w:rPr>
            </w:pPr>
            <w:bookmarkStart w:id="314" w:name="xdx_902_eus-gaap--FiniteLivedIntangibleA"/>
            <w:bookmarkEnd w:id="314"/>
            <w:r>
              <w:rPr>
                <w:sz w:val="20"/>
              </w:rPr>
              <w:t>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The Company did </w:t>
      </w:r>
      <w:bookmarkStart w:id="315" w:name="xdx_901_eus-gaap--ImpairmentOfIntangible"/>
      <w:bookmarkStart w:id="316" w:name="xdx_908_eus-gaap--ImpairmentOfIntangible"/>
      <w:bookmarkEnd w:id="315"/>
      <w:bookmarkEnd w:id="316"/>
      <w:r>
        <w:rPr>
          <w:rFonts w:ascii="Times New Roman;Times;Serif" w:hAnsi="Times New Roman;Times;Serif"/>
          <w:b w:val="false"/>
          <w:i w:val="false"/>
          <w:caps w:val="false"/>
          <w:smallCaps w:val="false"/>
          <w:sz w:val="20"/>
        </w:rPr>
        <w:t>not record any impairment charge for the six months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7" w:name="xdx_860_zeG9U4s3IwX7"/>
      <w:bookmarkStart w:id="318" w:name="xdx_849_eus-gaap--DerivativesEmbeddedDer"/>
      <w:bookmarkEnd w:id="317"/>
      <w:bookmarkEnd w:id="318"/>
      <w:r>
        <w:rPr>
          <w:rFonts w:ascii="Times New Roman;Times;Serif" w:hAnsi="Times New Roman;Times;Serif"/>
          <w:b w:val="false"/>
          <w:i w:val="false"/>
          <w:caps w:val="false"/>
          <w:smallCaps w:val="false"/>
          <w:sz w:val="20"/>
          <w:u w:val="single"/>
        </w:rPr>
        <w:t>Embedded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embedded features of its financial instruments, including its convertible notes payable in accordance with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Certain conversion options and redemption features are required to be bifurcated from their host instrument and accounted for as free-standing derivative financial instruments should certain criteria be met. The Company applies significant judgment to identify and evaluate complex terms and conditions for its financial instruments to determine whether such instruments are derivatives or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and the features of the derivatives. Bifurcated embedded derivatives are recognized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roll-forward of changes for financial instruments measured at fair value on a recurring basis for the six months ended December 31, 2025: </w:t>
      </w:r>
    </w:p>
    <w:p>
      <w:pPr>
        <w:pStyle w:val="Normal"/>
        <w:bidi w:val="0"/>
        <w:spacing w:before="0" w:after="0"/>
        <w:jc w:val="left"/>
        <w:rPr>
          <w:sz w:val="4"/>
          <w:szCs w:val="4"/>
        </w:rPr>
      </w:pPr>
      <w:r>
        <w:rPr>
          <w:sz w:val="4"/>
          <w:szCs w:val="4"/>
        </w:rPr>
      </w:r>
      <w:bookmarkStart w:id="319" w:name="xdx_884_eus-gaap--FairValueLiabilitiesMe"/>
      <w:bookmarkStart w:id="320" w:name="xdx_884_eus-gaap--FairValueLiabilitiesMe"/>
      <w:bookmarkEnd w:id="320"/>
    </w:p>
    <w:tbl>
      <w:tblPr>
        <w:tblW w:w="9185" w:type="dxa"/>
        <w:jc w:val="left"/>
        <w:tblInd w:w="0" w:type="dxa"/>
        <w:tblLayout w:type="fixed"/>
        <w:tblCellMar>
          <w:top w:w="0" w:type="dxa"/>
          <w:left w:w="0" w:type="dxa"/>
          <w:bottom w:w="0" w:type="dxa"/>
          <w:right w:w="0" w:type="dxa"/>
        </w:tblCellMar>
      </w:tblPr>
      <w:tblGrid>
        <w:gridCol w:w="7895"/>
        <w:gridCol w:w="60"/>
        <w:gridCol w:w="140"/>
        <w:gridCol w:w="980"/>
        <w:gridCol w:w="110"/>
      </w:tblGrid>
      <w:tr>
        <w:trPr/>
        <w:tc>
          <w:tcPr>
            <w:tcW w:w="7895" w:type="dxa"/>
            <w:tcBorders/>
            <w:vAlign w:val="center"/>
          </w:tcPr>
          <w:p>
            <w:pPr>
              <w:pStyle w:val="TableContents"/>
              <w:bidi w:val="0"/>
              <w:spacing w:before="0" w:after="283"/>
              <w:jc w:val="left"/>
              <w:rPr/>
            </w:pPr>
            <w:bookmarkStart w:id="321" w:name="xdx_8B7_zCyqKi281WS2"/>
            <w:bookmarkEnd w:id="321"/>
            <w:r>
              <w:rPr/>
              <w:t>Schedule of roll forward of changes for financial instruments measured at fair value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895" w:type="dxa"/>
            <w:tcBorders/>
            <w:vAlign w:val="center"/>
          </w:tcPr>
          <w:p>
            <w:pPr>
              <w:pStyle w:val="TableContents"/>
              <w:bidi w:val="0"/>
              <w:spacing w:before="0" w:after="283"/>
              <w:jc w:val="left"/>
              <w:rPr>
                <w:u w:val="single"/>
              </w:rPr>
            </w:pPr>
            <w:r>
              <w:rPr>
                <w:u w:val="single"/>
              </w:rPr>
              <w:t>Derivative Liability</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110" w:type="dxa"/>
            <w:tcBorders/>
            <w:vAlign w:val="center"/>
          </w:tcPr>
          <w:p>
            <w:pPr>
              <w:pStyle w:val="TableContents"/>
              <w:bidi w:val="0"/>
              <w:spacing w:before="0" w:after="283"/>
              <w:jc w:val="left"/>
              <w:rPr/>
            </w:pPr>
            <w:r>
              <w:rPr/>
              <w:t> </w:t>
            </w:r>
          </w:p>
        </w:tc>
      </w:tr>
      <w:tr>
        <w:trPr/>
        <w:tc>
          <w:tcPr>
            <w:tcW w:w="7895" w:type="dxa"/>
            <w:tcBorders/>
            <w:shd w:fill="EEEEEE" w:val="clear"/>
            <w:vAlign w:val="center"/>
          </w:tcPr>
          <w:p>
            <w:pPr>
              <w:pStyle w:val="TableContents"/>
              <w:bidi w:val="0"/>
              <w:spacing w:before="0" w:after="283"/>
              <w:jc w:val="left"/>
              <w:rPr/>
            </w:pPr>
            <w:r>
              <w:rPr/>
              <w:t>Balance as of June 30, 2025</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322" w:name="xdx_98B_eus-gaap--DerivativeLiabilitiesC"/>
            <w:bookmarkEnd w:id="322"/>
          </w:p>
        </w:tc>
        <w:tc>
          <w:tcPr>
            <w:tcW w:w="98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283"/>
              <w:jc w:val="left"/>
              <w:rPr/>
            </w:pPr>
            <w:r>
              <w:rPr/>
              <w:t>Initial fair value upon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23" w:name="xdx_98F_ecustom--InitialFairValueUponIss"/>
            <w:bookmarkEnd w:id="323"/>
          </w:p>
        </w:tc>
        <w:tc>
          <w:tcPr>
            <w:tcW w:w="980" w:type="dxa"/>
            <w:tcBorders/>
            <w:shd w:fill="FFFFFF" w:val="clear"/>
            <w:vAlign w:val="center"/>
          </w:tcPr>
          <w:p>
            <w:pPr>
              <w:pStyle w:val="TableContents"/>
              <w:bidi w:val="0"/>
              <w:spacing w:before="0" w:after="283"/>
              <w:jc w:val="right"/>
              <w:rPr/>
            </w:pPr>
            <w:r>
              <w:rPr/>
              <w:t>1,612,700</w:t>
            </w:r>
          </w:p>
        </w:tc>
        <w:tc>
          <w:tcPr>
            <w:tcW w:w="110" w:type="dxa"/>
            <w:tcBorders/>
            <w:shd w:fill="FFFFFF" w:val="clear"/>
            <w:vAlign w:val="center"/>
          </w:tcPr>
          <w:p>
            <w:pPr>
              <w:pStyle w:val="TableContents"/>
              <w:bidi w:val="0"/>
              <w:spacing w:before="0" w:after="283"/>
              <w:jc w:val="left"/>
              <w:rPr/>
            </w:pPr>
            <w:r>
              <w:rPr/>
              <w:t> </w:t>
            </w:r>
          </w:p>
        </w:tc>
      </w:tr>
      <w:tr>
        <w:trPr/>
        <w:tc>
          <w:tcPr>
            <w:tcW w:w="7895" w:type="dxa"/>
            <w:tcBorders/>
            <w:shd w:fill="EEEEEE" w:val="clear"/>
            <w:vAlign w:val="center"/>
          </w:tcPr>
          <w:p>
            <w:pPr>
              <w:pStyle w:val="TableContents"/>
              <w:bidi w:val="0"/>
              <w:spacing w:before="0" w:after="283"/>
              <w:jc w:val="left"/>
              <w:rPr/>
            </w:pPr>
            <w:r>
              <w:rPr/>
              <w:t>Extinguishment of derivative liability upon conversion of convertible notes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324" w:name="xdx_98E_ecustom--ExtinguishmentOfDerivat"/>
            <w:bookmarkEnd w:id="324"/>
          </w:p>
        </w:tc>
        <w:tc>
          <w:tcPr>
            <w:tcW w:w="980" w:type="dxa"/>
            <w:tcBorders/>
            <w:shd w:fill="EEEEEE" w:val="clear"/>
            <w:vAlign w:val="center"/>
          </w:tcPr>
          <w:p>
            <w:pPr>
              <w:pStyle w:val="TableContents"/>
              <w:bidi w:val="0"/>
              <w:spacing w:before="0" w:after="283"/>
              <w:jc w:val="right"/>
              <w:rPr/>
            </w:pPr>
            <w:r>
              <w:rPr/>
              <w:t>(23,000</w:t>
            </w:r>
          </w:p>
        </w:tc>
        <w:tc>
          <w:tcPr>
            <w:tcW w:w="110" w:type="dxa"/>
            <w:tcBorders/>
            <w:shd w:fill="EEEEEE" w:val="clear"/>
            <w:vAlign w:val="center"/>
          </w:tcPr>
          <w:p>
            <w:pPr>
              <w:pStyle w:val="TableContents"/>
              <w:bidi w:val="0"/>
              <w:spacing w:before="0" w:after="283"/>
              <w:jc w:val="left"/>
              <w:rPr/>
            </w:pPr>
            <w:r>
              <w:rPr/>
              <w:t>)</w:t>
            </w:r>
          </w:p>
        </w:tc>
      </w:tr>
      <w:tr>
        <w:trPr/>
        <w:tc>
          <w:tcPr>
            <w:tcW w:w="7895" w:type="dxa"/>
            <w:tcBorders/>
            <w:shd w:fill="FFFFFF" w:val="clear"/>
            <w:vAlign w:val="center"/>
          </w:tcPr>
          <w:p>
            <w:pPr>
              <w:pStyle w:val="TableContents"/>
              <w:bidi w:val="0"/>
              <w:spacing w:before="0" w:after="283"/>
              <w:jc w:val="left"/>
              <w:rPr/>
            </w:pPr>
            <w:r>
              <w:rPr/>
              <w:t>Gain on 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25" w:name="xdx_98B_eus-gaap--DerivativeGainLossOnDe"/>
            <w:bookmarkEnd w:id="325"/>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(176,600</w:t>
            </w:r>
          </w:p>
        </w:tc>
        <w:tc>
          <w:tcPr>
            <w:tcW w:w="110" w:type="dxa"/>
            <w:tcBorders/>
            <w:shd w:fill="FFFFFF" w:val="clear"/>
            <w:vAlign w:val="center"/>
          </w:tcPr>
          <w:p>
            <w:pPr>
              <w:pStyle w:val="TableContents"/>
              <w:bidi w:val="0"/>
              <w:spacing w:before="0" w:after="283"/>
              <w:jc w:val="left"/>
              <w:rPr/>
            </w:pPr>
            <w:r>
              <w:rPr/>
              <w:t>)</w:t>
            </w:r>
          </w:p>
        </w:tc>
      </w:tr>
      <w:tr>
        <w:trPr/>
        <w:tc>
          <w:tcPr>
            <w:tcW w:w="7895" w:type="dxa"/>
            <w:tcBorders/>
            <w:shd w:fill="EEEEEE" w:val="clear"/>
            <w:vAlign w:val="center"/>
          </w:tcPr>
          <w:p>
            <w:pPr>
              <w:pStyle w:val="TableContents"/>
              <w:bidi w:val="0"/>
              <w:spacing w:before="0" w:after="283"/>
              <w:jc w:val="left"/>
              <w:rPr/>
            </w:pPr>
            <w:r>
              <w:rPr/>
              <w:t>Balance as of June 30, 2025</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26" w:name="xdx_989_eus-gaap--DerivativeLiabilitiesC"/>
            <w:bookmarkEnd w:id="326"/>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1,413,100</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27" w:name="xdx_235_zVnq7HwC39Xa"/>
      <w:bookmarkEnd w:id="327"/>
      <w:r>
        <w:rPr>
          <w:caps w:val="false"/>
          <w:smallCaps w:val="false"/>
        </w:rPr>
        <w:t> </w:t>
      </w:r>
    </w:p>
    <w:p>
      <w:pPr>
        <w:pStyle w:val="TextBody"/>
        <w:bidi w:val="0"/>
        <w:spacing w:before="0" w:after="0"/>
        <w:ind w:left="0" w:right="0" w:hanging="0"/>
        <w:jc w:val="both"/>
        <w:rPr>
          <w:caps w:val="false"/>
          <w:smallCaps w:val="false"/>
        </w:rPr>
      </w:pPr>
      <w:bookmarkStart w:id="328" w:name="xdx_23A_zL9bBqCPlW01"/>
      <w:bookmarkEnd w:id="32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29" w:name="xdx_232_z6waV6gZAr3d"/>
      <w:bookmarkEnd w:id="3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30" w:name="xdx_868_zh9W4SOnE7tk"/>
      <w:bookmarkStart w:id="331" w:name="xdx_841_eus-gaap--FairValueOfFinancialIn"/>
      <w:bookmarkEnd w:id="330"/>
      <w:bookmarkEnd w:id="331"/>
      <w:r>
        <w:rPr>
          <w:rFonts w:ascii="Times New Roman;Times;Serif" w:hAnsi="Times New Roman;Times;Serif"/>
          <w:b w:val="false"/>
          <w:i w:val="false"/>
          <w:caps w:val="false"/>
          <w:smallCaps w:val="false"/>
          <w:sz w:val="20"/>
          <w:u w:val="single"/>
        </w:rPr>
        <w:t xml:space="preserve">Fair values of financial instruments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and cash equivalents, accounts receivable, accounts payable and all other current assets and liabilities approximate fair values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unadjusted, quoted prices in active markets for identical assets or liabilities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significant to the measurement of the fair value of the assets or liabilities that are supported by little or no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non-financial assets on a non-recurring basis, including goodwill. As a result of those measurements, as of December 31, 2025 and June 30, 2025, the Company had goodwill with a carry book value of $3,034,110, which approximated its fair value: </w:t>
      </w:r>
    </w:p>
    <w:p>
      <w:pPr>
        <w:pStyle w:val="Normal"/>
        <w:bidi w:val="0"/>
        <w:spacing w:before="0" w:after="0"/>
        <w:jc w:val="left"/>
        <w:rPr>
          <w:sz w:val="4"/>
          <w:szCs w:val="4"/>
        </w:rPr>
      </w:pPr>
      <w:r>
        <w:rPr>
          <w:sz w:val="4"/>
          <w:szCs w:val="4"/>
        </w:rPr>
      </w:r>
      <w:bookmarkStart w:id="332" w:name="xdx_88A_eus-gaap--FairValueAssetsMeasure"/>
      <w:bookmarkStart w:id="333" w:name="xdx_88A_eus-gaap--FairValueAssetsMeasure"/>
      <w:bookmarkEnd w:id="333"/>
    </w:p>
    <w:tbl>
      <w:tblPr>
        <w:tblW w:w="8345" w:type="dxa"/>
        <w:jc w:val="left"/>
        <w:tblInd w:w="0" w:type="dxa"/>
        <w:tblLayout w:type="fixed"/>
        <w:tblCellMar>
          <w:top w:w="0" w:type="dxa"/>
          <w:left w:w="0" w:type="dxa"/>
          <w:bottom w:w="0" w:type="dxa"/>
          <w:right w:w="0" w:type="dxa"/>
        </w:tblCellMar>
      </w:tblPr>
      <w:tblGrid>
        <w:gridCol w:w="4130"/>
        <w:gridCol w:w="60"/>
        <w:gridCol w:w="140"/>
        <w:gridCol w:w="980"/>
        <w:gridCol w:w="60"/>
        <w:gridCol w:w="60"/>
        <w:gridCol w:w="370"/>
        <w:gridCol w:w="370"/>
        <w:gridCol w:w="60"/>
        <w:gridCol w:w="60"/>
        <w:gridCol w:w="370"/>
        <w:gridCol w:w="370"/>
        <w:gridCol w:w="60"/>
        <w:gridCol w:w="60"/>
        <w:gridCol w:w="140"/>
        <w:gridCol w:w="980"/>
        <w:gridCol w:w="75"/>
      </w:tblGrid>
      <w:tr>
        <w:trPr/>
        <w:tc>
          <w:tcPr>
            <w:tcW w:w="4130" w:type="dxa"/>
            <w:tcBorders/>
            <w:vAlign w:val="center"/>
          </w:tcPr>
          <w:p>
            <w:pPr>
              <w:pStyle w:val="TableContents"/>
              <w:bidi w:val="0"/>
              <w:spacing w:before="0" w:after="283"/>
              <w:jc w:val="left"/>
              <w:rPr/>
            </w:pPr>
            <w:bookmarkStart w:id="334" w:name="xdx_8BD_z3pB0nC0YZMk"/>
            <w:bookmarkEnd w:id="334"/>
            <w:r>
              <w:rPr/>
              <w:t>Schedule of fair value of financial goodwill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Total Fair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Level 3</w:t>
            </w:r>
          </w:p>
        </w:tc>
        <w:tc>
          <w:tcPr>
            <w:tcW w:w="75" w:type="dxa"/>
            <w:tcBorders/>
            <w:vAlign w:val="center"/>
          </w:tcPr>
          <w:p>
            <w:pPr>
              <w:pStyle w:val="TableContents"/>
              <w:bidi w:val="0"/>
              <w:spacing w:before="0" w:after="283"/>
              <w:jc w:val="left"/>
              <w:rPr/>
            </w:pPr>
            <w:r>
              <w:rPr/>
              <w:t> </w:t>
            </w:r>
          </w:p>
        </w:tc>
      </w:tr>
      <w:tr>
        <w:trPr/>
        <w:tc>
          <w:tcPr>
            <w:tcW w:w="4130" w:type="dxa"/>
            <w:tcBorders/>
            <w:shd w:fill="EEEEEE" w:val="clear"/>
            <w:vAlign w:val="center"/>
          </w:tcPr>
          <w:p>
            <w:pPr>
              <w:pStyle w:val="TableContents"/>
              <w:bidi w:val="0"/>
              <w:spacing w:before="0" w:after="283"/>
              <w:jc w:val="left"/>
              <w:rPr/>
            </w:pPr>
            <w:r>
              <w:rPr/>
              <w:t>Goodwill</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bookmarkStart w:id="335" w:name="xdx_908_eus-gaap--AssetsFairValueDisclos"/>
            <w:bookmarkStart w:id="336" w:name="xdx_908_eus-gaap--AssetsFairValueDisclos"/>
            <w:bookmarkEnd w:id="335"/>
            <w:bookmarkEnd w:id="336"/>
            <w:r>
              <w:rPr/>
              <w:t>3,034,110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7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370" w:type="dxa"/>
            <w:tcBorders>
              <w:bottom w:val="single" w:sz="8" w:space="0" w:color="000000"/>
            </w:tcBorders>
            <w:shd w:fill="EEEEEE" w:val="clear"/>
            <w:tcMar>
              <w:bottom w:w="28" w:type="dxa"/>
            </w:tcMar>
            <w:vAlign w:val="center"/>
          </w:tcPr>
          <w:p>
            <w:pPr>
              <w:pStyle w:val="TableContents"/>
              <w:bidi w:val="0"/>
              <w:spacing w:before="0" w:after="283"/>
              <w:jc w:val="right"/>
              <w:rPr/>
            </w:pPr>
            <w:bookmarkStart w:id="337" w:name="xdx_903_eus-gaap--AssetsFairValueDisclos"/>
            <w:bookmarkStart w:id="338" w:name="xdx_903_eus-gaap--AssetsFairValueDisclos"/>
            <w:bookmarkEnd w:id="337"/>
            <w:bookmarkEnd w:id="338"/>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7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370" w:type="dxa"/>
            <w:tcBorders>
              <w:bottom w:val="single" w:sz="8" w:space="0" w:color="000000"/>
            </w:tcBorders>
            <w:shd w:fill="EEEEEE" w:val="clear"/>
            <w:tcMar>
              <w:bottom w:w="28" w:type="dxa"/>
            </w:tcMar>
            <w:vAlign w:val="center"/>
          </w:tcPr>
          <w:p>
            <w:pPr>
              <w:pStyle w:val="TableContents"/>
              <w:bidi w:val="0"/>
              <w:spacing w:before="0" w:after="283"/>
              <w:jc w:val="right"/>
              <w:rPr/>
            </w:pPr>
            <w:bookmarkStart w:id="339" w:name="xdx_909_eus-gaap--AssetsFairValueDisclos"/>
            <w:bookmarkStart w:id="340" w:name="xdx_906_eus-gaap--AssetsFairValueDisclos"/>
            <w:bookmarkEnd w:id="339"/>
            <w:bookmarkEnd w:id="340"/>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bookmarkStart w:id="341" w:name="xdx_903_eus-gaap--AssetsFairValueDisclos"/>
            <w:bookmarkStart w:id="342" w:name="xdx_90D_eus-gaap--AssetsFairValueDisclos"/>
            <w:bookmarkEnd w:id="341"/>
            <w:bookmarkEnd w:id="342"/>
            <w:r>
              <w:rPr/>
              <w:t>3,034,110</w:t>
            </w:r>
          </w:p>
        </w:tc>
        <w:tc>
          <w:tcPr>
            <w:tcW w:w="75" w:type="dxa"/>
            <w:tcBorders/>
            <w:shd w:fill="EEEEEE"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43" w:name="xdx_90A_eus-gaap--AssetsFairValueDisclos"/>
            <w:bookmarkStart w:id="344" w:name="xdx_90F_eus-gaap--AssetsFairValueDisclos"/>
            <w:bookmarkEnd w:id="343"/>
            <w:bookmarkEnd w:id="344"/>
            <w:r>
              <w:rPr/>
              <w:t>3,034,110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7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45" w:name="xdx_901_eus-gaap--AssetsFairValueDisclos"/>
            <w:bookmarkStart w:id="346" w:name="xdx_905_eus-gaap--AssetsFairValueDisclos"/>
            <w:bookmarkEnd w:id="345"/>
            <w:bookmarkEnd w:id="346"/>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7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47" w:name="xdx_900_eus-gaap--AssetsFairValueDisclos"/>
            <w:bookmarkStart w:id="348" w:name="xdx_90C_eus-gaap--AssetsFairValueDisclos"/>
            <w:bookmarkEnd w:id="347"/>
            <w:bookmarkEnd w:id="348"/>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49" w:name="xdx_900_eus-gaap--AssetsFairValueDisclos"/>
            <w:bookmarkStart w:id="350" w:name="xdx_907_eus-gaap--AssetsFairValueDisclos"/>
            <w:bookmarkEnd w:id="349"/>
            <w:bookmarkEnd w:id="350"/>
            <w:r>
              <w:rPr/>
              <w:t>3,034,110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financial instruments measured on a recurring basis as of December 31, 2025 consisted of the following: </w:t>
      </w:r>
    </w:p>
    <w:p>
      <w:pPr>
        <w:pStyle w:val="Normal"/>
        <w:bidi w:val="0"/>
        <w:spacing w:before="0" w:after="0"/>
        <w:jc w:val="left"/>
        <w:rPr>
          <w:sz w:val="4"/>
          <w:szCs w:val="4"/>
        </w:rPr>
      </w:pPr>
      <w:r>
        <w:rPr>
          <w:sz w:val="4"/>
          <w:szCs w:val="4"/>
        </w:rPr>
      </w:r>
      <w:bookmarkStart w:id="351" w:name="xdx_885_eus-gaap--FairValueLiabilitiesMe"/>
      <w:bookmarkStart w:id="352" w:name="xdx_885_eus-gaap--FairValueLiabilitiesMe"/>
      <w:bookmarkEnd w:id="352"/>
    </w:p>
    <w:tbl>
      <w:tblPr>
        <w:tblW w:w="9802" w:type="dxa"/>
        <w:jc w:val="left"/>
        <w:tblInd w:w="0" w:type="dxa"/>
        <w:tblLayout w:type="fixed"/>
        <w:tblCellMar>
          <w:top w:w="0" w:type="dxa"/>
          <w:left w:w="0" w:type="dxa"/>
          <w:bottom w:w="0" w:type="dxa"/>
          <w:right w:w="0" w:type="dxa"/>
        </w:tblCellMar>
      </w:tblPr>
      <w:tblGrid>
        <w:gridCol w:w="4985"/>
        <w:gridCol w:w="60"/>
        <w:gridCol w:w="185"/>
        <w:gridCol w:w="1255"/>
        <w:gridCol w:w="89"/>
        <w:gridCol w:w="89"/>
        <w:gridCol w:w="298"/>
        <w:gridCol w:w="336"/>
        <w:gridCol w:w="89"/>
        <w:gridCol w:w="89"/>
        <w:gridCol w:w="386"/>
        <w:gridCol w:w="248"/>
        <w:gridCol w:w="89"/>
        <w:gridCol w:w="89"/>
        <w:gridCol w:w="185"/>
        <w:gridCol w:w="1255"/>
        <w:gridCol w:w="75"/>
      </w:tblGrid>
      <w:tr>
        <w:trPr/>
        <w:tc>
          <w:tcPr>
            <w:tcW w:w="4985" w:type="dxa"/>
            <w:tcBorders/>
            <w:vAlign w:val="center"/>
          </w:tcPr>
          <w:p>
            <w:pPr>
              <w:pStyle w:val="TableContents"/>
              <w:bidi w:val="0"/>
              <w:spacing w:before="0" w:after="283"/>
              <w:jc w:val="left"/>
              <w:rPr/>
            </w:pPr>
            <w:bookmarkStart w:id="353" w:name="xdx_8B2_zWGrpiN124B4"/>
            <w:bookmarkEnd w:id="353"/>
            <w:r>
              <w:rPr/>
              <w:t>Schedule of fair value of financial derivative liability</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2" w:type="dxa"/>
            <w:gridSpan w:val="14"/>
            <w:tcBorders>
              <w:bottom w:val="single" w:sz="8" w:space="0" w:color="000000"/>
            </w:tcBorders>
            <w:tcMar>
              <w:bottom w:w="28" w:type="dxa"/>
            </w:tcMar>
            <w:vAlign w:val="center"/>
          </w:tcPr>
          <w:p>
            <w:pPr>
              <w:pStyle w:val="TableContents"/>
              <w:bidi w:val="0"/>
              <w:spacing w:before="0" w:after="283"/>
              <w:jc w:val="center"/>
              <w:rPr>
                <w:sz w:val="20"/>
              </w:rPr>
            </w:pPr>
            <w:r>
              <w:rPr>
                <w:sz w:val="20"/>
              </w:rPr>
              <w:t>Fair Value Measurements as of December 31, 2025</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Total Fair </w:t>
              <w:br/>
              <w:t>Value</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63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Level 1</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63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Level 2</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Level 3</w:t>
            </w:r>
          </w:p>
        </w:tc>
        <w:tc>
          <w:tcPr>
            <w:tcW w:w="75" w:type="dxa"/>
            <w:tcBorders/>
            <w:vAlign w:val="center"/>
          </w:tcPr>
          <w:p>
            <w:pPr>
              <w:pStyle w:val="TableContents"/>
              <w:bidi w:val="0"/>
              <w:spacing w:before="0" w:after="283"/>
              <w:jc w:val="left"/>
              <w:rPr/>
            </w:pPr>
            <w:r>
              <w:rPr/>
              <w:t> </w:t>
            </w:r>
          </w:p>
        </w:tc>
      </w:tr>
      <w:tr>
        <w:trPr/>
        <w:tc>
          <w:tcPr>
            <w:tcW w:w="4985" w:type="dxa"/>
            <w:tcBorders/>
            <w:shd w:fill="EEEEEE" w:val="clear"/>
            <w:vAlign w:val="center"/>
          </w:tcPr>
          <w:p>
            <w:pPr>
              <w:pStyle w:val="TableContents"/>
              <w:bidi w:val="0"/>
              <w:spacing w:before="0" w:after="283"/>
              <w:jc w:val="left"/>
              <w:rPr>
                <w:sz w:val="20"/>
              </w:rPr>
            </w:pPr>
            <w:r>
              <w:rPr>
                <w:sz w:val="20"/>
              </w:rPr>
              <w:t>Derivative liability</w:t>
            </w:r>
          </w:p>
        </w:tc>
        <w:tc>
          <w:tcPr>
            <w:tcW w:w="60" w:type="dxa"/>
            <w:tcBorders/>
            <w:shd w:fill="EEEEEE" w:val="clear"/>
            <w:vAlign w:val="center"/>
          </w:tcPr>
          <w:p>
            <w:pPr>
              <w:pStyle w:val="TableContents"/>
              <w:bidi w:val="0"/>
              <w:spacing w:before="0" w:after="283"/>
              <w:jc w:val="left"/>
              <w:rPr/>
            </w:pPr>
            <w:r>
              <w:rPr/>
              <w:t> </w:t>
            </w:r>
          </w:p>
        </w:tc>
        <w:tc>
          <w:tcPr>
            <w:tcW w:w="18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bookmarkStart w:id="354" w:name="xdx_98C_eus-gaap--DerivativeLiabilitiesC"/>
            <w:bookmarkEnd w:id="354"/>
          </w:p>
        </w:tc>
        <w:tc>
          <w:tcPr>
            <w:tcW w:w="1255"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1,413,100</w:t>
            </w:r>
          </w:p>
        </w:tc>
        <w:tc>
          <w:tcPr>
            <w:tcW w:w="89"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98"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bookmarkStart w:id="355" w:name="xdx_98E_eus-gaap--DerivativeLiabilitiesC"/>
            <w:bookmarkEnd w:id="355"/>
          </w:p>
        </w:tc>
        <w:tc>
          <w:tcPr>
            <w:tcW w:w="336" w:type="dxa"/>
            <w:tcBorders>
              <w:bottom w:val="double" w:sz="6" w:space="0" w:color="000000"/>
            </w:tcBorders>
            <w:shd w:fill="EEEEEE" w:val="clear"/>
            <w:tcMar>
              <w:bottom w:w="28" w:type="dxa"/>
            </w:tcMar>
            <w:vAlign w:val="center"/>
          </w:tcPr>
          <w:p>
            <w:pPr>
              <w:pStyle w:val="TableContents"/>
              <w:bidi w:val="0"/>
              <w:spacing w:before="0" w:after="283"/>
              <w:jc w:val="right"/>
              <w:rPr/>
            </w:pPr>
            <w:r>
              <w:rPr/>
              <w:t>–</w:t>
            </w:r>
          </w:p>
        </w:tc>
        <w:tc>
          <w:tcPr>
            <w:tcW w:w="89"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386"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bookmarkStart w:id="356" w:name="xdx_988_eus-gaap--DerivativeLiabilitiesC"/>
            <w:bookmarkEnd w:id="356"/>
          </w:p>
        </w:tc>
        <w:tc>
          <w:tcPr>
            <w:tcW w:w="248"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w:t>
            </w:r>
          </w:p>
        </w:tc>
        <w:tc>
          <w:tcPr>
            <w:tcW w:w="89"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18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bookmarkStart w:id="357" w:name="xdx_987_eus-gaap--DerivativeLiabilitiesC"/>
            <w:bookmarkEnd w:id="357"/>
          </w:p>
        </w:tc>
        <w:tc>
          <w:tcPr>
            <w:tcW w:w="1255"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1,413,100</w:t>
            </w:r>
          </w:p>
        </w:tc>
        <w:tc>
          <w:tcPr>
            <w:tcW w:w="75" w:type="dxa"/>
            <w:tcBorders/>
            <w:shd w:fill="EEEEEE"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sz w:val="20"/>
              </w:rPr>
            </w:pPr>
            <w:r>
              <w:rPr>
                <w:sz w:val="20"/>
              </w:rPr>
              <w:t>Total recurring fair value measurements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358" w:name="xdx_98A_eus-gaap--LiabilitiesFairValueDi"/>
            <w:bookmarkEnd w:id="358"/>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1,413,100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359" w:name="xdx_980_eus-gaap--LiabilitiesFairValueDi"/>
            <w:bookmarkEnd w:id="359"/>
          </w:p>
        </w:tc>
        <w:tc>
          <w:tcPr>
            <w:tcW w:w="33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360" w:name="xdx_982_eus-gaap--LiabilitiesFairValueDi"/>
            <w:bookmarkEnd w:id="360"/>
          </w:p>
        </w:tc>
        <w:tc>
          <w:tcPr>
            <w:tcW w:w="24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361" w:name="xdx_984_eus-gaap--LiabilitiesFairValueDi"/>
            <w:bookmarkEnd w:id="361"/>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1,413,100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62" w:name="xdx_237_zwbZV0ZUj0gl"/>
      <w:bookmarkStart w:id="363" w:name="xdx_23F_zQt7QFLQ7WWc"/>
      <w:bookmarkEnd w:id="362"/>
      <w:bookmarkEnd w:id="363"/>
      <w:r>
        <w:rPr>
          <w:caps w:val="false"/>
          <w:smallCaps w:val="false"/>
        </w:rPr>
        <w:t> </w:t>
      </w:r>
    </w:p>
    <w:p>
      <w:pPr>
        <w:pStyle w:val="TextBody"/>
        <w:bidi w:val="0"/>
        <w:spacing w:before="0" w:after="0"/>
        <w:ind w:left="0" w:right="0" w:hanging="0"/>
        <w:jc w:val="both"/>
        <w:rPr>
          <w:caps w:val="false"/>
          <w:smallCaps w:val="false"/>
        </w:rPr>
      </w:pPr>
      <w:bookmarkStart w:id="364" w:name="xdx_232_zoN5AYrqqAN6"/>
      <w:bookmarkEnd w:id="36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65" w:name="xdx_231_zaD3gX4Cxjc6"/>
      <w:bookmarkEnd w:id="36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66" w:name="xdx_86F_zFz8WgAUi6Q3"/>
      <w:bookmarkStart w:id="367" w:name="xdx_84A_eus-gaap--RevenueFromContractWit"/>
      <w:bookmarkEnd w:id="366"/>
      <w:bookmarkEnd w:id="367"/>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prior to the delivery of goods to customers are recorded as customer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68" w:name="xdx_86B_zQoqj5tTYDSj"/>
      <w:bookmarkStart w:id="369" w:name="xdx_84B_eus-gaap--RevenueRecognitionSale"/>
      <w:bookmarkEnd w:id="368"/>
      <w:bookmarkEnd w:id="369"/>
      <w:r>
        <w:rPr>
          <w:rFonts w:ascii="Times New Roman;Times;Serif" w:hAnsi="Times New Roman;Times;Serif"/>
          <w:b w:val="false"/>
          <w:i w:val="false"/>
          <w:caps w:val="false"/>
          <w:smallCaps w:val="false"/>
          <w:sz w:val="20"/>
          <w:u w:val="single"/>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mainly consists of costs for purchases of products, net of purchase discounts and rebates, and related inbound freight and delivery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70" w:name="xdx_86D_zI3GMvhceD04"/>
      <w:bookmarkStart w:id="371" w:name="xdx_84D_ecustom--OperatingExpensesPolicy"/>
      <w:bookmarkEnd w:id="370"/>
      <w:bookmarkEnd w:id="371"/>
      <w:r>
        <w:rPr>
          <w:rFonts w:ascii="Times New Roman;Times;Serif" w:hAnsi="Times New Roman;Times;Serif"/>
          <w:b w:val="false"/>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which consist of selling and fulfillment and general and administrative expenses, including inventory reserves, are expensed as incurred. Vendor warranty credits resulting from refund of returns on quality issues are recorded to offset merchant selling fees. During the six months ended December 31, 2025 and 2024, the Company did not have any vendor credits. Outbound freight costs related to shipping costs to customers are considered periodic costs and are reflected in selling and fulfillment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Total advertising and promotional costs included in selling and fulfillment expenses for the three and six months ended December 31, 2025 and 2024 were as following. </w:t>
      </w:r>
    </w:p>
    <w:p>
      <w:pPr>
        <w:pStyle w:val="Normal"/>
        <w:bidi w:val="0"/>
        <w:spacing w:before="0" w:after="0"/>
        <w:jc w:val="left"/>
        <w:rPr>
          <w:sz w:val="4"/>
          <w:szCs w:val="4"/>
        </w:rPr>
      </w:pPr>
      <w:r>
        <w:rPr>
          <w:sz w:val="4"/>
          <w:szCs w:val="4"/>
        </w:rPr>
      </w:r>
      <w:bookmarkStart w:id="372" w:name="xdx_889_ecustom--ScheduleOfAdvertisingCo"/>
      <w:bookmarkStart w:id="373" w:name="xdx_889_ecustom--ScheduleOfAdvertisingCo"/>
      <w:bookmarkEnd w:id="373"/>
    </w:p>
    <w:tbl>
      <w:tblPr>
        <w:tblW w:w="7395" w:type="dxa"/>
        <w:jc w:val="left"/>
        <w:tblInd w:w="0" w:type="dxa"/>
        <w:tblLayout w:type="fixed"/>
        <w:tblCellMar>
          <w:top w:w="0" w:type="dxa"/>
          <w:left w:w="0" w:type="dxa"/>
          <w:bottom w:w="0" w:type="dxa"/>
          <w:right w:w="0" w:type="dxa"/>
        </w:tblCellMar>
      </w:tblPr>
      <w:tblGrid>
        <w:gridCol w:w="2780"/>
        <w:gridCol w:w="60"/>
        <w:gridCol w:w="140"/>
        <w:gridCol w:w="800"/>
        <w:gridCol w:w="60"/>
        <w:gridCol w:w="60"/>
        <w:gridCol w:w="140"/>
        <w:gridCol w:w="800"/>
        <w:gridCol w:w="60"/>
        <w:gridCol w:w="60"/>
        <w:gridCol w:w="140"/>
        <w:gridCol w:w="980"/>
        <w:gridCol w:w="60"/>
        <w:gridCol w:w="60"/>
        <w:gridCol w:w="140"/>
        <w:gridCol w:w="980"/>
        <w:gridCol w:w="75"/>
      </w:tblGrid>
      <w:tr>
        <w:trPr/>
        <w:tc>
          <w:tcPr>
            <w:tcW w:w="2780" w:type="dxa"/>
            <w:tcBorders/>
            <w:vAlign w:val="center"/>
          </w:tcPr>
          <w:p>
            <w:pPr>
              <w:pStyle w:val="TableContents"/>
              <w:bidi w:val="0"/>
              <w:spacing w:before="0" w:after="283"/>
              <w:jc w:val="left"/>
              <w:rPr/>
            </w:pPr>
            <w:bookmarkStart w:id="374" w:name="xdx_8B1_zrPNwFGvwoDg"/>
            <w:bookmarkEnd w:id="374"/>
            <w:r>
              <w:rPr/>
              <w:t>Schedule of advertising costs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780" w:type="dxa"/>
            <w:tcBorders/>
            <w:shd w:fill="EEEEEE" w:val="clear"/>
            <w:vAlign w:val="center"/>
          </w:tcPr>
          <w:p>
            <w:pPr>
              <w:pStyle w:val="TableContents"/>
              <w:bidi w:val="0"/>
              <w:spacing w:before="0" w:after="283"/>
              <w:jc w:val="left"/>
              <w:rPr/>
            </w:pPr>
            <w:r>
              <w:rPr/>
              <w:t>Advertising and promotion</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75" w:name="xdx_988_eus-gaap--AdvertisingExpense_c20"/>
            <w:bookmarkEnd w:id="375"/>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761,962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76" w:name="xdx_98E_eus-gaap--AdvertisingExpense_c20"/>
            <w:bookmarkEnd w:id="376"/>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630,956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77" w:name="xdx_980_eus-gaap--AdvertisingExpense_c20"/>
            <w:bookmarkEnd w:id="377"/>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1,571,952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78" w:name="xdx_987_eus-gaap--AdvertisingExpense_c20"/>
            <w:bookmarkEnd w:id="378"/>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1,282,080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79" w:name="xdx_237_zCHSUYHdZQH3"/>
      <w:bookmarkEnd w:id="379"/>
      <w:r>
        <w:rPr>
          <w:caps w:val="false"/>
          <w:smallCaps w:val="false"/>
        </w:rPr>
        <w:t> </w:t>
      </w:r>
    </w:p>
    <w:p>
      <w:pPr>
        <w:pStyle w:val="TextBody"/>
        <w:bidi w:val="0"/>
        <w:spacing w:before="0" w:after="0"/>
        <w:ind w:left="0" w:right="0" w:hanging="0"/>
        <w:jc w:val="both"/>
        <w:rPr>
          <w:caps w:val="false"/>
          <w:smallCaps w:val="false"/>
        </w:rPr>
      </w:pPr>
      <w:bookmarkStart w:id="380" w:name="xdx_238_zc4ESW87gCZk"/>
      <w:bookmarkEnd w:id="38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81" w:name="xdx_236_z04y1SiuLrm7"/>
      <w:bookmarkEnd w:id="3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82" w:name="xdx_86F_zDtUhm907Oh6"/>
      <w:bookmarkStart w:id="383" w:name="xdx_840_eus-gaap--InventoryPolicyTextBlo"/>
      <w:bookmarkEnd w:id="382"/>
      <w:bookmarkEnd w:id="383"/>
      <w:r>
        <w:rPr>
          <w:rFonts w:ascii="Times New Roman;Times;Serif" w:hAnsi="Times New Roman;Times;Serif"/>
          <w:b w:val="false"/>
          <w:i w:val="false"/>
          <w:caps w:val="false"/>
          <w:smallCaps w:val="false"/>
          <w:sz w:val="20"/>
          <w:u w:val="single"/>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The Company regularly reviews inventory and considers forecasts of future demand, market conditions and product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84" w:name="xdx_862_zuWlrsMqEB2f"/>
      <w:bookmarkStart w:id="385" w:name="xdx_84D_ecustom--DebtIssuanceCostsPolicy"/>
      <w:bookmarkEnd w:id="384"/>
      <w:bookmarkEnd w:id="385"/>
      <w:r>
        <w:rPr>
          <w:rFonts w:ascii="Times New Roman;Times;Serif" w:hAnsi="Times New Roman;Times;Serif"/>
          <w:b w:val="false"/>
          <w:i w:val="false"/>
          <w:caps w:val="false"/>
          <w:smallCaps w:val="false"/>
          <w:sz w:val="20"/>
          <w:u w:val="single"/>
        </w:rPr>
        <w:t>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connection with the issuance of debt are deferred and amortized as interest expense over the term of the related debt using the effective interest method. To the extent that the debt is outstanding, these amounts are reflected in the unaudited condensed consolidated balance sheets as direct deductions from the carrying amount of the outstanding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86" w:name="xdx_863_zGWAsPySEVek"/>
      <w:bookmarkStart w:id="387" w:name="xdx_845_ecustom--EquityOfferingCostsPoli"/>
      <w:bookmarkEnd w:id="386"/>
      <w:bookmarkEnd w:id="387"/>
      <w:r>
        <w:rPr>
          <w:rFonts w:ascii="Times New Roman;Times;Serif" w:hAnsi="Times New Roman;Times;Serif"/>
          <w:b w:val="false"/>
          <w:i w:val="false"/>
          <w:caps w:val="false"/>
          <w:smallCaps w:val="false"/>
          <w:sz w:val="20"/>
          <w:u w:val="single"/>
        </w:rPr>
        <w:t>Equity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offering. Should a planned equity financing be abandoned, terminated or significantly delayed, the deferred offering costs are immediately written off to operating expenses in the consolidated statements of operations and comprehensive income (loss) in the period of determination. As of December 31, 2025 and June 30, 2025, there were no deferred offering costs included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88" w:name="xdx_869_zqhpFFnaYJDe"/>
      <w:bookmarkStart w:id="389" w:name="xdx_840_eus-gaap--SegmentReportingPolicy"/>
      <w:bookmarkEnd w:id="388"/>
      <w:bookmarkEnd w:id="389"/>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w:t>
      </w:r>
      <w:bookmarkStart w:id="390" w:name="xdx_902_eus-gaap--NumberOfReportableSegm"/>
      <w:bookmarkEnd w:id="390"/>
      <w:r>
        <w:rPr>
          <w:rFonts w:ascii="Times New Roman;Times;Serif" w:hAnsi="Times New Roman;Times;Serif"/>
          <w:b w:val="false"/>
          <w:i w:val="false"/>
          <w:caps w:val="false"/>
          <w:smallCaps w:val="false"/>
          <w:sz w:val="20"/>
        </w:rPr>
        <w:t xml:space="preserve">one reportable segment. The Company does not distinguish between markets or segments for the purpose of internal reporting. For the six months ended December 31, 2025 and 2024, sales through Amazon to Canada and other foreign countries were approximately </w:t>
      </w:r>
      <w:bookmarkStart w:id="391" w:name="xdx_907_eus-gaap--ConcentrationRiskPerce"/>
      <w:bookmarkEnd w:id="391"/>
      <w:r>
        <w:rPr>
          <w:rFonts w:ascii="Times New Roman;Times;Serif" w:hAnsi="Times New Roman;Times;Serif"/>
          <w:b w:val="false"/>
          <w:i w:val="false"/>
          <w:caps w:val="false"/>
          <w:smallCaps w:val="false"/>
          <w:sz w:val="20"/>
        </w:rPr>
        <w:t xml:space="preserve">3.3% and </w:t>
      </w:r>
      <w:bookmarkStart w:id="392" w:name="xdx_90E_eus-gaap--ConcentrationRiskPerce"/>
      <w:bookmarkEnd w:id="392"/>
      <w:r>
        <w:rPr>
          <w:rFonts w:ascii="Times New Roman;Times;Serif" w:hAnsi="Times New Roman;Times;Serif"/>
          <w:b w:val="false"/>
          <w:i w:val="false"/>
          <w:caps w:val="false"/>
          <w:smallCaps w:val="false"/>
          <w:sz w:val="20"/>
        </w:rPr>
        <w:t xml:space="preserve">6.9% of the Company’s total sales, respectively. During the six months ended December 31, 2025, sales of hydroponic products, including ventilation and grow light systems, were approximately </w:t>
      </w:r>
      <w:bookmarkStart w:id="393" w:name="xdx_900_eus-gaap--ConcentrationRiskPerce"/>
      <w:bookmarkEnd w:id="393"/>
      <w:r>
        <w:rPr>
          <w:rFonts w:ascii="Times New Roman;Times;Serif" w:hAnsi="Times New Roman;Times;Serif"/>
          <w:b w:val="false"/>
          <w:i w:val="false"/>
          <w:caps w:val="false"/>
          <w:smallCaps w:val="false"/>
          <w:sz w:val="20"/>
        </w:rPr>
        <w:t xml:space="preserve">9.4% of the Company’s total sales and the remaining </w:t>
      </w:r>
      <w:bookmarkStart w:id="394" w:name="xdx_90C_eus-gaap--ConcentrationRiskPerce"/>
      <w:bookmarkEnd w:id="394"/>
      <w:r>
        <w:rPr>
          <w:rFonts w:ascii="Times New Roman;Times;Serif" w:hAnsi="Times New Roman;Times;Serif"/>
          <w:b w:val="false"/>
          <w:i w:val="false"/>
          <w:caps w:val="false"/>
          <w:smallCaps w:val="false"/>
          <w:sz w:val="20"/>
        </w:rPr>
        <w:t xml:space="preserve">90.6% consisted of general gardening, home goods, and other products and accessories. During the three months ended December 31, 2024, sales of hydroponic products, including ventilation and grow light systems, were approximately </w:t>
      </w:r>
      <w:bookmarkStart w:id="395" w:name="xdx_900_eus-gaap--ConcentrationRiskPerce"/>
      <w:bookmarkEnd w:id="395"/>
      <w:r>
        <w:rPr>
          <w:rFonts w:ascii="Times New Roman;Times;Serif" w:hAnsi="Times New Roman;Times;Serif"/>
          <w:b w:val="false"/>
          <w:i w:val="false"/>
          <w:caps w:val="false"/>
          <w:smallCaps w:val="false"/>
          <w:sz w:val="20"/>
        </w:rPr>
        <w:t>16.8% of the Company’s total sales and the remaining 83.2% consisted of general gardening, home goods, and other products and accessories. As of December 31, 2025 and June 30, 2025, the Company had approximately $</w:t>
      </w:r>
      <w:bookmarkStart w:id="396" w:name="xdx_908_eus-gaap--InventoryGross_iI_pn4n"/>
      <w:bookmarkEnd w:id="396"/>
      <w:r>
        <w:rPr>
          <w:rFonts w:ascii="Times New Roman;Times;Serif" w:hAnsi="Times New Roman;Times;Serif"/>
          <w:b w:val="false"/>
          <w:i w:val="false"/>
          <w:caps w:val="false"/>
          <w:smallCaps w:val="false"/>
          <w:sz w:val="20"/>
        </w:rPr>
        <w:t>0.01 million and $</w:t>
      </w:r>
      <w:bookmarkStart w:id="397" w:name="xdx_90F_eus-gaap--InventoryGross_iI_pn5n"/>
      <w:bookmarkEnd w:id="397"/>
      <w:r>
        <w:rPr>
          <w:rFonts w:ascii="Times New Roman;Times;Serif" w:hAnsi="Times New Roman;Times;Serif"/>
          <w:b w:val="false"/>
          <w:i w:val="false"/>
          <w:caps w:val="false"/>
          <w:smallCaps w:val="false"/>
          <w:sz w:val="20"/>
        </w:rPr>
        <w:t>1.0 million of inventory stored in China, respectively. The Company’s majority of long-lived assets are located in California, United States, majority of the deferred tax assets are US related, and a majority of the Company’s revenues are derived from within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98" w:name="xdx_86D_zlBdxKPVaD7j"/>
      <w:bookmarkStart w:id="399" w:name="xdx_847_eus-gaap--LesseeLeasesPolicyText"/>
      <w:bookmarkEnd w:id="398"/>
      <w:bookmarkEnd w:id="399"/>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right-of-use (“ROU”) assets and related lease obligations on our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00" w:name="xdx_23E_zTvcHOUD6vJ5"/>
      <w:bookmarkEnd w:id="400"/>
      <w:r>
        <w:rPr>
          <w:caps w:val="false"/>
          <w:smallCaps w:val="false"/>
        </w:rPr>
        <w:t> </w:t>
      </w:r>
    </w:p>
    <w:p>
      <w:pPr>
        <w:pStyle w:val="TextBody"/>
        <w:bidi w:val="0"/>
        <w:spacing w:before="0" w:after="0"/>
        <w:ind w:left="0" w:right="0" w:hanging="0"/>
        <w:jc w:val="both"/>
        <w:rPr>
          <w:caps w:val="false"/>
          <w:smallCaps w:val="false"/>
        </w:rPr>
      </w:pPr>
      <w:bookmarkStart w:id="401" w:name="xdx_23B_znDgPlv3eoc5"/>
      <w:bookmarkEnd w:id="40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02" w:name="xdx_236_zCOpqUF9qK5i"/>
      <w:bookmarkEnd w:id="4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03" w:name="xdx_869_zjX2kAODVmJ8"/>
      <w:bookmarkStart w:id="404" w:name="xdx_842_eus-gaap--ShareBasedCompensation"/>
      <w:bookmarkEnd w:id="403"/>
      <w:bookmarkEnd w:id="404"/>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costs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costs related to the award should not be recognized (or should be reversed) because the vesting condition in the award has not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forfeitures of such equity-based compensation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05" w:name="xdx_867_z1aAfC3auJu3"/>
      <w:bookmarkStart w:id="406" w:name="xdx_846_eus-gaap--IncomeTaxPolicyTextBlo"/>
      <w:bookmarkEnd w:id="405"/>
      <w:bookmarkEnd w:id="406"/>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A valuation allowance must be established for deferred tax assets when it is more-likely-than-not (a probability level of more than 50%) that they will not be realized. Valuation allowances are recorded,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07" w:name="xdx_862_z5lTwMf16a6f"/>
      <w:bookmarkStart w:id="408" w:name="xdx_84F_eus-gaap--CommitmentsAndContinge"/>
      <w:bookmarkEnd w:id="407"/>
      <w:bookmarkEnd w:id="408"/>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09" w:name="xdx_238_zYIxCW7d6uE2"/>
      <w:bookmarkEnd w:id="409"/>
      <w:r>
        <w:rPr>
          <w:caps w:val="false"/>
          <w:smallCaps w:val="false"/>
        </w:rPr>
        <w:t> </w:t>
      </w:r>
    </w:p>
    <w:p>
      <w:pPr>
        <w:pStyle w:val="TextBody"/>
        <w:bidi w:val="0"/>
        <w:spacing w:before="0" w:after="0"/>
        <w:ind w:left="0" w:right="0" w:hanging="0"/>
        <w:jc w:val="both"/>
        <w:rPr>
          <w:caps w:val="false"/>
          <w:smallCaps w:val="false"/>
        </w:rPr>
      </w:pPr>
      <w:bookmarkStart w:id="410" w:name="xdx_232_zXW9VLj1yHEa"/>
      <w:bookmarkEnd w:id="41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11" w:name="xdx_239_zFelsRwtU3e8"/>
      <w:bookmarkEnd w:id="4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12" w:name="xdx_861_zlZY5sLyGkq9"/>
      <w:bookmarkStart w:id="413" w:name="xdx_847_eus-gaap--EarningsPerSharePolicy"/>
      <w:bookmarkEnd w:id="412"/>
      <w:bookmarkEnd w:id="413"/>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is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14" w:name="xdx_862_zi0ktZsFMOca"/>
      <w:bookmarkStart w:id="415" w:name="xdx_847_eus-gaap--NewAccountingPronounce"/>
      <w:bookmarkEnd w:id="414"/>
      <w:bookmarkEnd w:id="415"/>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The ASU provides a practical expedient and accounting policy election for measuring expected credit losses on certain trade receivables and contract assets arising under ASC 606. The amendments are effective for fiscal years beginning after December 15, 2025, and interim periods within those fiscal years, with early adoption permitted. The Company is currently evaluating the impact of this ASU on its measurement of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2023-08, “Intangibles—Goodwill and Other—Crypto Assets (Subtopic 350-60): Accounting for and Disclosure of Crypto Assets,” which requires certain crypto assets to be measured at fair value in the statement of operations, with gains and losses from changes in the fair value of such crypto assets recognized in net income each reporting period. ASU 2023-08 also requires certain interim and annual disclosures for crypto assets within the scope of the standard. ASU 2023-08 is effective for annual periods beginning after December 15, 2024, including interim periods within those fiscal years. The Company adopted ASU 2023-08 on July 1, 2025. The adoption of ASU 2023-08 did not have a material impact on the Company’s interim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adoption of this standard did not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adoption of this standard did not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16" w:name="xdx_23A_zH3v7lWjuIS8"/>
      <w:bookmarkEnd w:id="416"/>
      <w:r>
        <w:rPr>
          <w:caps w:val="false"/>
          <w:smallCaps w:val="false"/>
        </w:rPr>
        <w:t> </w:t>
      </w:r>
    </w:p>
    <w:p>
      <w:pPr>
        <w:pStyle w:val="TextBody"/>
        <w:bidi w:val="0"/>
        <w:spacing w:before="0" w:after="0"/>
        <w:ind w:left="0" w:right="0" w:hanging="0"/>
        <w:jc w:val="both"/>
        <w:rPr>
          <w:caps w:val="false"/>
          <w:smallCaps w:val="false"/>
        </w:rPr>
      </w:pPr>
      <w:bookmarkStart w:id="417" w:name="xdx_23F_zrhV3GV6gFo5"/>
      <w:bookmarkEnd w:id="41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18" w:name="xdx_23A_z50DnYoUfgsf"/>
      <w:bookmarkEnd w:id="41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adoption of this standard did not have a material impact on its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adoption of this standard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adoption of this standard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the consolidated financial position, statements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19" w:name="xdx_238_z7v8e6Vf4wI4"/>
      <w:bookmarkEnd w:id="419"/>
      <w:r>
        <w:rPr>
          <w:caps w:val="false"/>
          <w:smallCaps w:val="false"/>
        </w:rPr>
        <w:t> </w:t>
      </w:r>
    </w:p>
    <w:p>
      <w:pPr>
        <w:pStyle w:val="TextBody"/>
        <w:bidi w:val="0"/>
        <w:spacing w:before="0" w:after="0"/>
        <w:ind w:left="0" w:right="0" w:hanging="0"/>
        <w:jc w:val="both"/>
        <w:rPr>
          <w:caps w:val="false"/>
          <w:smallCaps w:val="false"/>
        </w:rPr>
      </w:pPr>
      <w:bookmarkStart w:id="420" w:name="xdx_23B_zJfBwJ9XeN82"/>
      <w:bookmarkEnd w:id="42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21" w:name="xdx_23C_zKTuvFjCJY1i"/>
      <w:bookmarkEnd w:id="42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2" w:name="xdx_803_ecustom--JointVenturesFormationT"/>
      <w:bookmarkEnd w:id="422"/>
      <w:r>
        <w:rPr>
          <w:rFonts w:ascii="Times New Roman;Times;Serif" w:hAnsi="Times New Roman;Times;Serif"/>
          <w:b/>
          <w:i w:val="false"/>
          <w:caps w:val="false"/>
          <w:smallCaps w:val="false"/>
          <w:sz w:val="20"/>
        </w:rPr>
        <w:t xml:space="preserve">Note 3 - </w:t>
      </w:r>
      <w:bookmarkStart w:id="423" w:name="xdx_82C_zL7vFnpswh5k"/>
      <w:bookmarkEnd w:id="423"/>
      <w:r>
        <w:rPr>
          <w:rFonts w:ascii="Times New Roman;Times;Serif" w:hAnsi="Times New Roman;Times;Serif"/>
          <w:b/>
          <w:i w:val="false"/>
          <w:caps w:val="false"/>
          <w:smallCaps w:val="false"/>
          <w:sz w:val="20"/>
        </w:rPr>
        <w:t>Joint Ventures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Box Harmony,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In January 2023, TPA and Xiao transferred their 60% equity units to a third party without consideration as the LLC was still in the development stage and did not have significant operations. The transfer of equity did not have any impact on the LLC’s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the Company owns </w:t>
      </w:r>
      <w:bookmarkStart w:id="424" w:name="xdx_901_eus-gaap--EquityMethodInvestment"/>
      <w:bookmarkEnd w:id="424"/>
      <w:r>
        <w:rPr>
          <w:rFonts w:ascii="Times New Roman;Times;Serif" w:hAnsi="Times New Roman;Times;Serif"/>
          <w:b w:val="false"/>
          <w:i w:val="false"/>
          <w:caps w:val="false"/>
          <w:smallCaps w:val="false"/>
          <w:sz w:val="20"/>
        </w:rPr>
        <w:t>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 As of December 31, 2025 and June 30, 2025, the carrying value of the investment in Box Harmony was $</w:t>
      </w:r>
      <w:bookmarkStart w:id="425" w:name="xdx_90B_eus-gaap--EquityMethodInvestment"/>
      <w:bookmarkEnd w:id="425"/>
      <w:r>
        <w:rPr>
          <w:rFonts w:ascii="Times New Roman;Times;Serif" w:hAnsi="Times New Roman;Times;Serif"/>
          <w:b w:val="false"/>
          <w:i w:val="false"/>
          <w:caps w:val="false"/>
          <w:smallCaps w:val="false"/>
          <w:sz w:val="20"/>
        </w:rPr>
        <w:t>13,264 and $</w:t>
      </w:r>
      <w:bookmarkStart w:id="426" w:name="xdx_908_eus-gaap--EquityMethodInvestment"/>
      <w:bookmarkEnd w:id="426"/>
      <w:r>
        <w:rPr>
          <w:rFonts w:ascii="Times New Roman;Times;Serif" w:hAnsi="Times New Roman;Times;Serif"/>
          <w:b w:val="false"/>
          <w:i w:val="false"/>
          <w:caps w:val="false"/>
          <w:smallCaps w:val="false"/>
          <w:sz w:val="20"/>
        </w:rPr>
        <w:t>13,264,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Social Media,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27" w:name="xdx_237_zW97TNmY3CD1"/>
      <w:bookmarkEnd w:id="427"/>
      <w:r>
        <w:rPr>
          <w:caps w:val="false"/>
          <w:smallCaps w:val="false"/>
        </w:rPr>
        <w:t> </w:t>
      </w:r>
    </w:p>
    <w:p>
      <w:pPr>
        <w:pStyle w:val="TextBody"/>
        <w:bidi w:val="0"/>
        <w:spacing w:before="0" w:after="0"/>
        <w:ind w:left="0" w:right="0" w:hanging="0"/>
        <w:jc w:val="left"/>
        <w:rPr>
          <w:caps w:val="false"/>
          <w:smallCaps w:val="false"/>
        </w:rPr>
      </w:pPr>
      <w:bookmarkStart w:id="428" w:name="xdx_231_zMH0PgEE7Swd"/>
      <w:bookmarkEnd w:id="42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members had not completed the capital contributions and no receivables were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Agreements, the Company owns </w:t>
      </w:r>
      <w:bookmarkStart w:id="429" w:name="xdx_901_eus-gaap--EquityMethodInvestment"/>
      <w:bookmarkEnd w:id="429"/>
      <w:r>
        <w:rPr>
          <w:rFonts w:ascii="Times New Roman;Times;Serif" w:hAnsi="Times New Roman;Times;Serif"/>
          <w:b w:val="false"/>
          <w:i w:val="false"/>
          <w:caps w:val="false"/>
          <w:smallCaps w:val="false"/>
          <w:sz w:val="20"/>
        </w:rPr>
        <w:t>60% of the equity interest in GSM and control of GSM’s operations. Based on ASU 2015-02, the Company consolidates GSM into its financial statements due to its majority equity ownership and control over operations. For the six months ended December 31, 2025 and 2024, the impact of GSM’s activities were immaterial to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Package NV,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Custom Cup Factory, Inc., a California corporation (“CCF”), and Yi Yang (“Yang”) entered into the Limited Liability Company Operating Agreement (the “Operating Agreement”) of United Package NV, LLC, a Nevada limited liability corporation (“United Package”).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Package focuses on the domestic production of packaging materials to serve the rapidly growing demands of U.S. businesses seeking reliable, sustainable, and cost-effective supply chain solutions without reliance on offshore manufacturing. Pursuant to the terms of the Operating Agreement, the Company owns 2,280 Class A Voting Units (as defined in the Operating Agreement) of United Package in consideration for the Company’s contribution of equipment and facility, Yang owns 1,140 Class A Voting Units of the Joint Venture in consideration for Yang’s commitment to manage the business of United Package and CCF owns 1,710 Class A Voting Units of United Package in consideration for CCF’s contribution of its marketing expertise, existing sales channel and customer 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the Company owns approximately </w:t>
      </w:r>
      <w:bookmarkStart w:id="430" w:name="xdx_906_eus-gaap--EquityMethodInvestment"/>
      <w:bookmarkEnd w:id="430"/>
      <w:r>
        <w:rPr>
          <w:rFonts w:ascii="Times New Roman;Times;Serif" w:hAnsi="Times New Roman;Times;Serif"/>
          <w:b w:val="false"/>
          <w:i w:val="false"/>
          <w:caps w:val="false"/>
          <w:smallCaps w:val="false"/>
          <w:sz w:val="20"/>
        </w:rPr>
        <w:t>44% of the equity interest in United Package with significant influence but does not own a majority equity interest or otherwise control of United Package. The Company accounts for its ownership interest in United Package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 As of December 31, 2025 and June 30, 2025, the Company had invested total of $</w:t>
      </w:r>
      <w:bookmarkStart w:id="431" w:name="xdx_901_eus-gaap--EquityMethodInvestment"/>
      <w:bookmarkEnd w:id="431"/>
      <w:r>
        <w:rPr>
          <w:rFonts w:ascii="Times New Roman;Times;Serif" w:hAnsi="Times New Roman;Times;Serif"/>
          <w:b w:val="false"/>
          <w:i w:val="false"/>
          <w:caps w:val="false"/>
          <w:smallCaps w:val="false"/>
          <w:sz w:val="20"/>
        </w:rPr>
        <w:t>665,443 and $</w:t>
      </w:r>
      <w:bookmarkStart w:id="432" w:name="xdx_903_eus-gaap--EquityMethodInvestment"/>
      <w:bookmarkEnd w:id="432"/>
      <w:r>
        <w:rPr>
          <w:rFonts w:ascii="Times New Roman;Times;Serif" w:hAnsi="Times New Roman;Times;Serif"/>
          <w:b w:val="false"/>
          <w:i w:val="false"/>
          <w:caps w:val="false"/>
          <w:smallCaps w:val="false"/>
          <w:sz w:val="20"/>
        </w:rPr>
        <w:t>371,917 to United Package,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3" w:name="xdx_804_eus-gaap--VariableInterestEntity"/>
      <w:bookmarkEnd w:id="433"/>
      <w:r>
        <w:rPr>
          <w:rFonts w:ascii="Times New Roman;Times;Serif" w:hAnsi="Times New Roman;Times;Serif"/>
          <w:b/>
          <w:i w:val="false"/>
          <w:caps w:val="false"/>
          <w:smallCaps w:val="false"/>
          <w:sz w:val="20"/>
        </w:rPr>
        <w:t xml:space="preserve">Note 4 – </w:t>
      </w:r>
      <w:bookmarkStart w:id="434" w:name="xdx_828_z9loJgkJn4U9"/>
      <w:bookmarkEnd w:id="434"/>
      <w:r>
        <w:rPr>
          <w:rFonts w:ascii="Times New Roman;Times;Serif" w:hAnsi="Times New Roman;Times;Serif"/>
          <w:b/>
          <w:i w:val="false"/>
          <w:caps w:val="false"/>
          <w:smallCaps w:val="false"/>
          <w:sz w:val="20"/>
        </w:rPr>
        <w:t>Variable Interest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February 15, 2022, upon acquisition of Anivia, the Company assumed the contractual arrangements between the WFOE and DHS through a variable interest operating entity structure. On September 26, 2024, Mr. Zanyu Li, the equity owner of DHS, transferred his shares to Ms. Xiaoyun Liu. Ms. Liu has become the Manager and Legal Representative of DHS and assumed all responsibilities and obligations of Mr. Zanyu Li. The transfer of equity ownership did not change the control the Company had on the VIE, therefore there was no impact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provide financial or other support to the VIE for the periods presented where the Company was not otherwise contractually required to provide such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2025, the Company entered into a VIE Contract Termination Agreement with the VIE, pursuant to which all VIE agreements were terminated. As a result, the Company no longer has a controlling financial interest in the VIE. In accordance with ASC 810-10-40, </w:t>
      </w:r>
      <w:r>
        <w:rPr>
          <w:rFonts w:ascii="Times New Roman;Times;Serif" w:hAnsi="Times New Roman;Times;Serif"/>
          <w:b w:val="false"/>
          <w:i/>
          <w:caps w:val="false"/>
          <w:smallCaps w:val="false"/>
          <w:sz w:val="20"/>
        </w:rPr>
        <w:t>Consolidation — Deconsolidation of a Subsidiary or Derecognition of a Group of Assets</w:t>
      </w:r>
      <w:r>
        <w:rPr>
          <w:rFonts w:ascii="Times New Roman;Times;Serif" w:hAnsi="Times New Roman;Times;Serif"/>
          <w:b w:val="false"/>
          <w:i w:val="false"/>
          <w:caps w:val="false"/>
          <w:smallCaps w:val="false"/>
          <w:sz w:val="20"/>
        </w:rPr>
        <w:t>, the Company deconsolidated the VIE as of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Comparative information for the prior period has not been adjusted, as the deconsolidation does not represent a discontinued operation under ASC 205-20.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there was no pledge or collateralization of the VIE assets that would be used to settle obligations of the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35" w:name="xdx_23C_zoOjkBtHGWwg"/>
      <w:bookmarkEnd w:id="435"/>
      <w:r>
        <w:rPr>
          <w:caps w:val="false"/>
          <w:smallCaps w:val="false"/>
        </w:rPr>
        <w:t> </w:t>
      </w:r>
    </w:p>
    <w:p>
      <w:pPr>
        <w:pStyle w:val="TextBody"/>
        <w:bidi w:val="0"/>
        <w:spacing w:before="0" w:after="0"/>
        <w:ind w:left="0" w:right="0" w:hanging="0"/>
        <w:jc w:val="both"/>
        <w:rPr>
          <w:caps w:val="false"/>
          <w:smallCaps w:val="false"/>
        </w:rPr>
      </w:pPr>
      <w:bookmarkStart w:id="436" w:name="xdx_230_zR2ojW8iTKkf"/>
      <w:bookmarkEnd w:id="43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37" w:name="xdx_234_zWjVG8GbBCQh"/>
      <w:bookmarkEnd w:id="437"/>
      <w:r>
        <w:rPr>
          <w:caps w:val="false"/>
          <w:smallCaps w:val="false"/>
        </w:rPr>
        <w:t> </w:t>
      </w:r>
      <w:r>
        <w:rPr>
          <w:rFonts w:ascii="Times New Roman;Times;Serif" w:hAnsi="Times New Roman;Times;Serif"/>
          <w:b w:val="false"/>
          <w:i w:val="false"/>
          <w:caps w:val="false"/>
          <w:smallCaps w:val="false"/>
          <w:sz w:val="20"/>
        </w:rPr>
        <w:br/>
        <w:t>The following table summarizes the carrying amounts of the VIE’s assets and liabilities derecognized as of August 4, 2025 and the carrying amount of the VIE’s assets and liabilities as of June 30, 2025: </w:t>
      </w:r>
    </w:p>
    <w:p>
      <w:pPr>
        <w:pStyle w:val="Normal"/>
        <w:bidi w:val="0"/>
        <w:spacing w:before="0" w:after="0"/>
        <w:jc w:val="left"/>
        <w:rPr>
          <w:sz w:val="4"/>
          <w:szCs w:val="4"/>
        </w:rPr>
      </w:pPr>
      <w:r>
        <w:rPr>
          <w:sz w:val="4"/>
          <w:szCs w:val="4"/>
        </w:rPr>
      </w:r>
      <w:bookmarkStart w:id="438" w:name="xdx_885_eus-gaap--ScheduleOfVariableInte"/>
      <w:bookmarkStart w:id="439" w:name="xdx_885_eus-gaap--ScheduleOfVariableInte"/>
      <w:bookmarkEnd w:id="439"/>
    </w:p>
    <w:tbl>
      <w:tblPr>
        <w:tblW w:w="7004" w:type="dxa"/>
        <w:jc w:val="left"/>
        <w:tblInd w:w="0" w:type="dxa"/>
        <w:tblLayout w:type="fixed"/>
        <w:tblCellMar>
          <w:top w:w="0" w:type="dxa"/>
          <w:left w:w="0" w:type="dxa"/>
          <w:bottom w:w="0" w:type="dxa"/>
          <w:right w:w="0" w:type="dxa"/>
        </w:tblCellMar>
      </w:tblPr>
      <w:tblGrid>
        <w:gridCol w:w="3695"/>
        <w:gridCol w:w="60"/>
        <w:gridCol w:w="244"/>
        <w:gridCol w:w="1396"/>
        <w:gridCol w:w="60"/>
        <w:gridCol w:w="60"/>
        <w:gridCol w:w="210"/>
        <w:gridCol w:w="1204"/>
        <w:gridCol w:w="75"/>
      </w:tblGrid>
      <w:tr>
        <w:trPr/>
        <w:tc>
          <w:tcPr>
            <w:tcW w:w="3695" w:type="dxa"/>
            <w:tcBorders/>
            <w:shd w:fill="FFFFFF" w:val="clear"/>
            <w:vAlign w:val="center"/>
          </w:tcPr>
          <w:p>
            <w:pPr>
              <w:pStyle w:val="TableContents"/>
              <w:bidi w:val="0"/>
              <w:spacing w:before="0" w:after="283"/>
              <w:jc w:val="left"/>
              <w:rPr/>
            </w:pPr>
            <w:bookmarkStart w:id="440" w:name="xdx_8B5_zRbQVeyoBVea"/>
            <w:bookmarkEnd w:id="440"/>
            <w:r>
              <w:rPr/>
              <w:t>Schedule of VIE’s assets and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bookmarkStart w:id="441" w:name="xdx_497_20250804__srt--ConsolidatedEntit"/>
            <w:bookmarkEnd w:id="441"/>
          </w:p>
        </w:tc>
        <w:tc>
          <w:tcPr>
            <w:tcW w:w="139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bookmarkStart w:id="442" w:name="xdx_49C_20250630__srt--ConsolidatedEntit"/>
            <w:bookmarkEnd w:id="442"/>
          </w:p>
        </w:tc>
        <w:tc>
          <w:tcPr>
            <w:tcW w:w="120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Deconsolidation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bookmarkStart w:id="443" w:name="xdx_40C_eus-gaap--Cash_iI_d0_zBCBtYVUkTt"/>
            <w:bookmarkEnd w:id="443"/>
          </w:p>
        </w:tc>
      </w:tr>
      <w:tr>
        <w:trPr/>
        <w:tc>
          <w:tcPr>
            <w:tcW w:w="3695" w:type="dxa"/>
            <w:tcBorders/>
            <w:shd w:fill="EEEEEE" w:val="clear"/>
            <w:vAlign w:val="center"/>
          </w:tcPr>
          <w:p>
            <w:pPr>
              <w:pStyle w:val="TableContents"/>
              <w:bidi w:val="0"/>
              <w:spacing w:before="0" w:after="283"/>
              <w:jc w:val="left"/>
              <w:rPr/>
            </w:pPr>
            <w:r>
              <w:rPr/>
              <w:t>Cash in bank</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w:t>
            </w:r>
          </w:p>
        </w:tc>
        <w:tc>
          <w:tcPr>
            <w:tcW w:w="1396" w:type="dxa"/>
            <w:tcBorders/>
            <w:shd w:fill="EEEEEE" w:val="clear"/>
            <w:vAlign w:val="center"/>
          </w:tcPr>
          <w:p>
            <w:pPr>
              <w:pStyle w:val="TableContents"/>
              <w:bidi w:val="0"/>
              <w:spacing w:before="0" w:after="283"/>
              <w:jc w:val="right"/>
              <w:rPr/>
            </w:pPr>
            <w:r>
              <w:rPr/>
              <w:t>160,113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311,852</w:t>
            </w:r>
          </w:p>
        </w:tc>
        <w:tc>
          <w:tcPr>
            <w:tcW w:w="75" w:type="dxa"/>
            <w:tcBorders/>
            <w:shd w:fill="EEEEEE" w:val="clear"/>
            <w:vAlign w:val="center"/>
          </w:tcPr>
          <w:p>
            <w:pPr>
              <w:pStyle w:val="TableContents"/>
              <w:bidi w:val="0"/>
              <w:spacing w:before="0" w:after="283"/>
              <w:jc w:val="left"/>
              <w:rPr/>
            </w:pPr>
            <w:r>
              <w:rPr/>
              <w:t> </w:t>
            </w:r>
            <w:bookmarkStart w:id="444" w:name="xdx_404_eus-gaap--PrepaidExpenseAndOther"/>
            <w:bookmarkEnd w:id="444"/>
          </w:p>
        </w:tc>
      </w:tr>
      <w:tr>
        <w:trPr/>
        <w:tc>
          <w:tcPr>
            <w:tcW w:w="3695" w:type="dxa"/>
            <w:tcBorders/>
            <w:shd w:fill="FFFFFF" w:val="clear"/>
            <w:vAlign w:val="center"/>
          </w:tcPr>
          <w:p>
            <w:pPr>
              <w:pStyle w:val="TableContents"/>
              <w:bidi w:val="0"/>
              <w:spacing w:before="0" w:after="283"/>
              <w:jc w:val="left"/>
              <w:rPr/>
            </w:pPr>
            <w:r>
              <w:rPr/>
              <w:t>Prepayments and other receivables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396" w:type="dxa"/>
            <w:tcBorders/>
            <w:shd w:fill="FFFFFF" w:val="clear"/>
            <w:vAlign w:val="center"/>
          </w:tcPr>
          <w:p>
            <w:pPr>
              <w:pStyle w:val="TableContents"/>
              <w:bidi w:val="0"/>
              <w:spacing w:before="0" w:after="283"/>
              <w:jc w:val="right"/>
              <w:rPr/>
            </w:pPr>
            <w:r>
              <w:rPr/>
              <w:t>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279</w:t>
            </w:r>
          </w:p>
        </w:tc>
        <w:tc>
          <w:tcPr>
            <w:tcW w:w="75" w:type="dxa"/>
            <w:tcBorders/>
            <w:shd w:fill="FFFFFF" w:val="clear"/>
            <w:vAlign w:val="center"/>
          </w:tcPr>
          <w:p>
            <w:pPr>
              <w:pStyle w:val="TableContents"/>
              <w:bidi w:val="0"/>
              <w:spacing w:before="0" w:after="283"/>
              <w:jc w:val="left"/>
              <w:rPr/>
            </w:pPr>
            <w:r>
              <w:rPr/>
              <w:t> </w:t>
            </w:r>
            <w:bookmarkStart w:id="445" w:name="xdx_407_eus-gaap--DepositsAssetsCurrent_"/>
            <w:bookmarkEnd w:id="445"/>
          </w:p>
        </w:tc>
      </w:tr>
      <w:tr>
        <w:trPr/>
        <w:tc>
          <w:tcPr>
            <w:tcW w:w="3695" w:type="dxa"/>
            <w:tcBorders/>
            <w:shd w:fill="EEEEEE" w:val="clear"/>
            <w:vAlign w:val="center"/>
          </w:tcPr>
          <w:p>
            <w:pPr>
              <w:pStyle w:val="TableContents"/>
              <w:bidi w:val="0"/>
              <w:spacing w:before="0" w:after="283"/>
              <w:jc w:val="left"/>
              <w:rPr/>
            </w:pPr>
            <w:r>
              <w:rPr/>
              <w:t>Rent deposit</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w:t>
            </w:r>
          </w:p>
        </w:tc>
        <w:tc>
          <w:tcPr>
            <w:tcW w:w="1396"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9,772</w:t>
            </w:r>
          </w:p>
        </w:tc>
        <w:tc>
          <w:tcPr>
            <w:tcW w:w="75" w:type="dxa"/>
            <w:tcBorders/>
            <w:shd w:fill="EEEEEE" w:val="clear"/>
            <w:vAlign w:val="center"/>
          </w:tcPr>
          <w:p>
            <w:pPr>
              <w:pStyle w:val="TableContents"/>
              <w:bidi w:val="0"/>
              <w:spacing w:before="0" w:after="283"/>
              <w:jc w:val="left"/>
              <w:rPr/>
            </w:pPr>
            <w:r>
              <w:rPr/>
              <w:t> </w:t>
            </w:r>
            <w:bookmarkStart w:id="446" w:name="xdx_40C_eus-gaap--PropertyPlantAndEquipm"/>
            <w:bookmarkEnd w:id="446"/>
          </w:p>
        </w:tc>
      </w:tr>
      <w:tr>
        <w:trPr/>
        <w:tc>
          <w:tcPr>
            <w:tcW w:w="3695" w:type="dxa"/>
            <w:tcBorders/>
            <w:shd w:fill="FFFFFF" w:val="clear"/>
            <w:vAlign w:val="center"/>
          </w:tcPr>
          <w:p>
            <w:pPr>
              <w:pStyle w:val="TableContents"/>
              <w:bidi w:val="0"/>
              <w:spacing w:before="0" w:after="283"/>
              <w:jc w:val="left"/>
              <w:rPr/>
            </w:pPr>
            <w:r>
              <w:rPr/>
              <w:t>Office equipment, net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396" w:type="dxa"/>
            <w:tcBorders/>
            <w:shd w:fill="FFFFFF" w:val="clear"/>
            <w:vAlign w:val="center"/>
          </w:tcPr>
          <w:p>
            <w:pPr>
              <w:pStyle w:val="TableContents"/>
              <w:bidi w:val="0"/>
              <w:spacing w:before="0" w:after="283"/>
              <w:jc w:val="right"/>
              <w:rPr/>
            </w:pPr>
            <w:r>
              <w:rPr/>
              <w:t>3,539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3,562</w:t>
            </w:r>
          </w:p>
        </w:tc>
        <w:tc>
          <w:tcPr>
            <w:tcW w:w="75" w:type="dxa"/>
            <w:tcBorders/>
            <w:shd w:fill="FFFFFF" w:val="clear"/>
            <w:vAlign w:val="center"/>
          </w:tcPr>
          <w:p>
            <w:pPr>
              <w:pStyle w:val="TableContents"/>
              <w:bidi w:val="0"/>
              <w:spacing w:before="0" w:after="283"/>
              <w:jc w:val="left"/>
              <w:rPr/>
            </w:pPr>
            <w:r>
              <w:rPr/>
              <w:t> </w:t>
            </w:r>
            <w:bookmarkStart w:id="447" w:name="xdx_406_eus-gaap--AccountsPayableCurrent"/>
            <w:bookmarkEnd w:id="447"/>
          </w:p>
        </w:tc>
      </w:tr>
      <w:tr>
        <w:trPr/>
        <w:tc>
          <w:tcPr>
            <w:tcW w:w="3695" w:type="dxa"/>
            <w:tcBorders/>
            <w:shd w:fill="EEEEEE" w:val="clear"/>
            <w:vAlign w:val="center"/>
          </w:tcPr>
          <w:p>
            <w:pPr>
              <w:pStyle w:val="TableContents"/>
              <w:bidi w:val="0"/>
              <w:spacing w:before="0" w:after="283"/>
              <w:jc w:val="left"/>
              <w:rPr/>
            </w:pPr>
            <w:r>
              <w:rPr/>
              <w:t>Accounts payable</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w:t>
            </w:r>
          </w:p>
        </w:tc>
        <w:tc>
          <w:tcPr>
            <w:tcW w:w="1396" w:type="dxa"/>
            <w:tcBorders/>
            <w:shd w:fill="EEEEEE" w:val="clear"/>
            <w:vAlign w:val="center"/>
          </w:tcPr>
          <w:p>
            <w:pPr>
              <w:pStyle w:val="TableContents"/>
              <w:bidi w:val="0"/>
              <w:spacing w:before="0" w:after="283"/>
              <w:jc w:val="right"/>
              <w:rPr/>
            </w:pPr>
            <w:r>
              <w:rPr/>
              <w:t>100,167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99,544</w:t>
            </w:r>
          </w:p>
        </w:tc>
        <w:tc>
          <w:tcPr>
            <w:tcW w:w="75" w:type="dxa"/>
            <w:tcBorders/>
            <w:shd w:fill="EEEEEE" w:val="clear"/>
            <w:vAlign w:val="center"/>
          </w:tcPr>
          <w:p>
            <w:pPr>
              <w:pStyle w:val="TableContents"/>
              <w:bidi w:val="0"/>
              <w:spacing w:before="0" w:after="283"/>
              <w:jc w:val="left"/>
              <w:rPr/>
            </w:pPr>
            <w:r>
              <w:rPr/>
              <w:t> </w:t>
            </w:r>
            <w:bookmarkStart w:id="448" w:name="xdx_401_eus-gaap--TaxesPayableCurrent_iI"/>
            <w:bookmarkEnd w:id="448"/>
          </w:p>
        </w:tc>
      </w:tr>
      <w:tr>
        <w:trPr/>
        <w:tc>
          <w:tcPr>
            <w:tcW w:w="3695"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3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280,155</w:t>
            </w:r>
          </w:p>
        </w:tc>
        <w:tc>
          <w:tcPr>
            <w:tcW w:w="75" w:type="dxa"/>
            <w:tcBorders/>
            <w:shd w:fill="FFFFFF" w:val="clear"/>
            <w:vAlign w:val="center"/>
          </w:tcPr>
          <w:p>
            <w:pPr>
              <w:pStyle w:val="TableContents"/>
              <w:bidi w:val="0"/>
              <w:spacing w:before="0" w:after="283"/>
              <w:jc w:val="left"/>
              <w:rPr/>
            </w:pPr>
            <w:r>
              <w:rPr/>
              <w:t> </w:t>
            </w:r>
            <w:bookmarkStart w:id="449" w:name="xdx_40C_eus-gaap--AccountsPayableAndOthe"/>
            <w:bookmarkEnd w:id="449"/>
          </w:p>
        </w:tc>
      </w:tr>
      <w:tr>
        <w:trPr/>
        <w:tc>
          <w:tcPr>
            <w:tcW w:w="3695" w:type="dxa"/>
            <w:tcBorders/>
            <w:shd w:fill="EEEEEE" w:val="clear"/>
            <w:vAlign w:val="center"/>
          </w:tcPr>
          <w:p>
            <w:pPr>
              <w:pStyle w:val="TableContents"/>
              <w:bidi w:val="0"/>
              <w:spacing w:before="0" w:after="283"/>
              <w:jc w:val="left"/>
              <w:rPr/>
            </w:pPr>
            <w:r>
              <w:rPr/>
              <w:t>Other payables and accrued liabilities</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w:t>
            </w:r>
          </w:p>
        </w:tc>
        <w:tc>
          <w:tcPr>
            <w:tcW w:w="1396" w:type="dxa"/>
            <w:tcBorders/>
            <w:shd w:fill="EEEEEE" w:val="clear"/>
            <w:vAlign w:val="center"/>
          </w:tcPr>
          <w:p>
            <w:pPr>
              <w:pStyle w:val="TableContents"/>
              <w:bidi w:val="0"/>
              <w:spacing w:before="0" w:after="283"/>
              <w:jc w:val="right"/>
              <w:rPr/>
            </w:pPr>
            <w:r>
              <w:rPr/>
              <w:t>24,142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465,990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deconsolidation, the Company recorded a $</w:t>
      </w:r>
      <w:bookmarkStart w:id="450" w:name="xdx_904_eus-gaap--DeconsolidationGainOrL"/>
      <w:bookmarkEnd w:id="450"/>
      <w:r>
        <w:rPr>
          <w:rFonts w:ascii="Times New Roman;Times;Serif" w:hAnsi="Times New Roman;Times;Serif"/>
          <w:b w:val="false"/>
          <w:i w:val="false"/>
          <w:caps w:val="false"/>
          <w:smallCaps w:val="false"/>
          <w:sz w:val="20"/>
        </w:rPr>
        <w:t>39,624 loss on deconsolidation of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the VIE were as follows for the six months ended December 31, 2025 and 2024: </w:t>
      </w:r>
    </w:p>
    <w:p>
      <w:pPr>
        <w:pStyle w:val="Normal"/>
        <w:bidi w:val="0"/>
        <w:spacing w:before="0" w:after="0"/>
        <w:jc w:val="left"/>
        <w:rPr>
          <w:sz w:val="4"/>
          <w:szCs w:val="4"/>
        </w:rPr>
      </w:pPr>
      <w:r>
        <w:rPr>
          <w:sz w:val="4"/>
          <w:szCs w:val="4"/>
        </w:rPr>
      </w:r>
      <w:bookmarkStart w:id="451" w:name="xdx_88D_ecustom--ScheduleOfOperatingResu"/>
      <w:bookmarkStart w:id="452" w:name="xdx_88D_ecustom--ScheduleOfOperatingResu"/>
      <w:bookmarkEnd w:id="452"/>
    </w:p>
    <w:tbl>
      <w:tblPr>
        <w:tblW w:w="10205" w:type="dxa"/>
        <w:jc w:val="left"/>
        <w:tblInd w:w="0" w:type="dxa"/>
        <w:tblLayout w:type="fixed"/>
        <w:tblCellMar>
          <w:top w:w="0" w:type="dxa"/>
          <w:left w:w="0" w:type="dxa"/>
          <w:bottom w:w="0" w:type="dxa"/>
          <w:right w:w="0" w:type="dxa"/>
        </w:tblCellMar>
      </w:tblPr>
      <w:tblGrid>
        <w:gridCol w:w="6002"/>
        <w:gridCol w:w="60"/>
        <w:gridCol w:w="288"/>
        <w:gridCol w:w="1653"/>
        <w:gridCol w:w="73"/>
        <w:gridCol w:w="73"/>
        <w:gridCol w:w="267"/>
        <w:gridCol w:w="1674"/>
        <w:gridCol w:w="115"/>
      </w:tblGrid>
      <w:tr>
        <w:trPr/>
        <w:tc>
          <w:tcPr>
            <w:tcW w:w="6002" w:type="dxa"/>
            <w:tcBorders/>
            <w:vAlign w:val="center"/>
          </w:tcPr>
          <w:p>
            <w:pPr>
              <w:pStyle w:val="TableContents"/>
              <w:bidi w:val="0"/>
              <w:spacing w:before="0" w:after="283"/>
              <w:jc w:val="left"/>
              <w:rPr/>
            </w:pPr>
            <w:bookmarkStart w:id="453" w:name="xdx_8BC_zzdJefrc3OK6"/>
            <w:bookmarkEnd w:id="453"/>
            <w:r>
              <w:rPr/>
              <w:t>Schedule of operating results of the VIE</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bookmarkStart w:id="454" w:name="xdx_49C_20250701__20251231__srt--Consoli"/>
            <w:bookmarkEnd w:id="454"/>
          </w:p>
        </w:tc>
        <w:tc>
          <w:tcPr>
            <w:tcW w:w="1653" w:type="dxa"/>
            <w:tcBorders/>
            <w:vAlign w:val="center"/>
          </w:tcPr>
          <w:p>
            <w:pPr>
              <w:pStyle w:val="TableContents"/>
              <w:bidi w:val="0"/>
              <w:spacing w:before="0" w:after="283"/>
              <w:jc w:val="center"/>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bookmarkStart w:id="455" w:name="xdx_49B_20240701__20241231__srt--Consoli"/>
            <w:bookmarkEnd w:id="455"/>
          </w:p>
        </w:tc>
        <w:tc>
          <w:tcPr>
            <w:tcW w:w="1674" w:type="dxa"/>
            <w:tcBorders/>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left"/>
              <w:rPr/>
            </w:pPr>
            <w:r>
              <w:rPr/>
              <w:t> </w:t>
            </w:r>
          </w:p>
        </w:tc>
      </w:tr>
      <w:tr>
        <w:trPr/>
        <w:tc>
          <w:tcPr>
            <w:tcW w:w="60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r>
          </w:p>
        </w:tc>
        <w:tc>
          <w:tcPr>
            <w:tcW w:w="115" w:type="dxa"/>
            <w:tcBorders/>
            <w:vAlign w:val="center"/>
          </w:tcPr>
          <w:p>
            <w:pPr>
              <w:pStyle w:val="TableContents"/>
              <w:bidi w:val="0"/>
              <w:spacing w:before="0" w:after="283"/>
              <w:jc w:val="left"/>
              <w:rPr/>
            </w:pPr>
            <w:r>
              <w:rPr/>
              <w:t> </w:t>
            </w:r>
          </w:p>
        </w:tc>
      </w:tr>
      <w:tr>
        <w:trPr/>
        <w:tc>
          <w:tcPr>
            <w:tcW w:w="60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5" w:type="dxa"/>
            <w:tcBorders/>
            <w:vAlign w:val="center"/>
          </w:tcPr>
          <w:p>
            <w:pPr>
              <w:pStyle w:val="TableContents"/>
              <w:bidi w:val="0"/>
              <w:spacing w:before="0" w:after="283"/>
              <w:jc w:val="left"/>
              <w:rPr/>
            </w:pPr>
            <w:r>
              <w:rPr/>
              <w:t> </w:t>
            </w:r>
            <w:bookmarkStart w:id="456" w:name="xdx_404_eus-gaap--Revenues_d0_zihGYNxTY9"/>
            <w:bookmarkEnd w:id="456"/>
          </w:p>
        </w:tc>
      </w:tr>
      <w:tr>
        <w:trPr/>
        <w:tc>
          <w:tcPr>
            <w:tcW w:w="6002" w:type="dxa"/>
            <w:tcBorders/>
            <w:shd w:fill="EEEEEE" w:val="clear"/>
            <w:vAlign w:val="center"/>
          </w:tcPr>
          <w:p>
            <w:pPr>
              <w:pStyle w:val="TableContents"/>
              <w:bidi w:val="0"/>
              <w:spacing w:before="0" w:after="283"/>
              <w:jc w:val="left"/>
              <w:rPr/>
            </w:pPr>
            <w:r>
              <w:rPr/>
              <w:t>Revenue</w:t>
            </w:r>
          </w:p>
        </w:tc>
        <w:tc>
          <w:tcPr>
            <w:tcW w:w="60" w:type="dxa"/>
            <w:tcBorders/>
            <w:shd w:fill="EEEEEE" w:val="clear"/>
            <w:vAlign w:val="center"/>
          </w:tcPr>
          <w:p>
            <w:pPr>
              <w:pStyle w:val="TableContents"/>
              <w:bidi w:val="0"/>
              <w:spacing w:before="0" w:after="283"/>
              <w:jc w:val="left"/>
              <w:rPr/>
            </w:pPr>
            <w:r>
              <w:rPr/>
              <w:t> </w:t>
            </w:r>
          </w:p>
        </w:tc>
        <w:tc>
          <w:tcPr>
            <w:tcW w:w="288" w:type="dxa"/>
            <w:tcBorders/>
            <w:shd w:fill="EEEEEE" w:val="clear"/>
            <w:vAlign w:val="center"/>
          </w:tcPr>
          <w:p>
            <w:pPr>
              <w:pStyle w:val="TableContents"/>
              <w:bidi w:val="0"/>
              <w:spacing w:before="0" w:after="283"/>
              <w:jc w:val="left"/>
              <w:rPr/>
            </w:pPr>
            <w:r>
              <w:rPr/>
              <w:t>$</w:t>
            </w:r>
          </w:p>
        </w:tc>
        <w:tc>
          <w:tcPr>
            <w:tcW w:w="1653" w:type="dxa"/>
            <w:tcBorders/>
            <w:shd w:fill="EEEEEE" w:val="clear"/>
            <w:vAlign w:val="center"/>
          </w:tcPr>
          <w:p>
            <w:pPr>
              <w:pStyle w:val="TableContents"/>
              <w:bidi w:val="0"/>
              <w:spacing w:before="0" w:after="283"/>
              <w:jc w:val="right"/>
              <w:rPr/>
            </w:pPr>
            <w:r>
              <w:rPr/>
              <w:t>–</w:t>
            </w:r>
          </w:p>
        </w:tc>
        <w:tc>
          <w:tcPr>
            <w:tcW w:w="73"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267" w:type="dxa"/>
            <w:tcBorders/>
            <w:shd w:fill="EEEEEE" w:val="clear"/>
            <w:vAlign w:val="center"/>
          </w:tcPr>
          <w:p>
            <w:pPr>
              <w:pStyle w:val="TableContents"/>
              <w:bidi w:val="0"/>
              <w:spacing w:before="0" w:after="283"/>
              <w:jc w:val="left"/>
              <w:rPr/>
            </w:pPr>
            <w:r>
              <w:rPr/>
              <w:t>$</w:t>
            </w:r>
          </w:p>
        </w:tc>
        <w:tc>
          <w:tcPr>
            <w:tcW w:w="1674" w:type="dxa"/>
            <w:tcBorders/>
            <w:shd w:fill="EEEEEE" w:val="clear"/>
            <w:vAlign w:val="center"/>
          </w:tcPr>
          <w:p>
            <w:pPr>
              <w:pStyle w:val="TableContents"/>
              <w:bidi w:val="0"/>
              <w:spacing w:before="0" w:after="283"/>
              <w:jc w:val="right"/>
              <w:rPr/>
            </w:pPr>
            <w:r>
              <w:rPr/>
              <w:t>–</w:t>
            </w:r>
          </w:p>
        </w:tc>
        <w:tc>
          <w:tcPr>
            <w:tcW w:w="115" w:type="dxa"/>
            <w:tcBorders/>
            <w:shd w:fill="EEEEEE" w:val="clear"/>
            <w:vAlign w:val="center"/>
          </w:tcPr>
          <w:p>
            <w:pPr>
              <w:pStyle w:val="TableContents"/>
              <w:bidi w:val="0"/>
              <w:spacing w:before="0" w:after="283"/>
              <w:jc w:val="left"/>
              <w:rPr/>
            </w:pPr>
            <w:r>
              <w:rPr/>
              <w:t> </w:t>
            </w:r>
            <w:bookmarkStart w:id="457" w:name="xdx_40C_eus-gaap--NetIncomeLoss_pp0p0_zH"/>
            <w:bookmarkEnd w:id="457"/>
          </w:p>
        </w:tc>
      </w:tr>
      <w:tr>
        <w:trPr/>
        <w:tc>
          <w:tcPr>
            <w:tcW w:w="6002" w:type="dxa"/>
            <w:tcBorders/>
            <w:shd w:fill="FFFFFF" w:val="clear"/>
            <w:vAlign w:val="center"/>
          </w:tcPr>
          <w:p>
            <w:pPr>
              <w:pStyle w:val="TableContents"/>
              <w:bidi w:val="0"/>
              <w:spacing w:before="0" w:after="283"/>
              <w:jc w:val="left"/>
              <w:rPr/>
            </w:pPr>
            <w:r>
              <w:rPr/>
              <w:t>Net income (loss) after elimination of intercompany transactions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w:t>
            </w:r>
          </w:p>
        </w:tc>
        <w:tc>
          <w:tcPr>
            <w:tcW w:w="1653" w:type="dxa"/>
            <w:tcBorders/>
            <w:shd w:fill="FFFFFF" w:val="clear"/>
            <w:vAlign w:val="center"/>
          </w:tcPr>
          <w:p>
            <w:pPr>
              <w:pStyle w:val="TableContents"/>
              <w:bidi w:val="0"/>
              <w:spacing w:before="0" w:after="283"/>
              <w:jc w:val="right"/>
              <w:rPr/>
            </w:pPr>
            <w:r>
              <w:rPr/>
              <w:t>650,250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w:t>
            </w:r>
          </w:p>
        </w:tc>
        <w:tc>
          <w:tcPr>
            <w:tcW w:w="1674" w:type="dxa"/>
            <w:tcBorders/>
            <w:shd w:fill="FFFFFF" w:val="clear"/>
            <w:vAlign w:val="center"/>
          </w:tcPr>
          <w:p>
            <w:pPr>
              <w:pStyle w:val="TableContents"/>
              <w:bidi w:val="0"/>
              <w:spacing w:before="0" w:after="283"/>
              <w:jc w:val="right"/>
              <w:rPr/>
            </w:pPr>
            <w:r>
              <w:rPr/>
              <w:t>(184,218</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8" w:name="xdx_80A_eus-gaap--LoansNotesTradeAndOthe"/>
      <w:bookmarkEnd w:id="458"/>
      <w:r>
        <w:rPr>
          <w:rFonts w:ascii="Times New Roman;Times;Serif" w:hAnsi="Times New Roman;Times;Serif"/>
          <w:b/>
          <w:i w:val="false"/>
          <w:caps w:val="false"/>
          <w:smallCaps w:val="false"/>
          <w:sz w:val="20"/>
        </w:rPr>
        <w:t>Note 5 –</w:t>
      </w:r>
      <w:bookmarkStart w:id="459" w:name="xdx_828_z8ceURNpvhtk"/>
      <w:bookmarkEnd w:id="459"/>
      <w:r>
        <w:rPr>
          <w:rFonts w:ascii="Times New Roman;Times;Serif" w:hAnsi="Times New Roman;Times;Serif"/>
          <w:b/>
          <w:i w:val="false"/>
          <w:caps w:val="false"/>
          <w:smallCaps w:val="false"/>
          <w:sz w:val="20"/>
        </w:rPr>
        <w:t xml:space="preserve"> Accounts Receivable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for the Company consisted of the following as of the dates indicated below: </w:t>
      </w:r>
    </w:p>
    <w:p>
      <w:pPr>
        <w:pStyle w:val="Normal"/>
        <w:bidi w:val="0"/>
        <w:spacing w:before="0" w:after="0"/>
        <w:jc w:val="left"/>
        <w:rPr>
          <w:sz w:val="4"/>
          <w:szCs w:val="4"/>
        </w:rPr>
      </w:pPr>
      <w:r>
        <w:rPr>
          <w:sz w:val="4"/>
          <w:szCs w:val="4"/>
        </w:rPr>
      </w:r>
      <w:bookmarkStart w:id="460" w:name="xdx_88C_eus-gaap--ScheduleOfAccountsNote"/>
      <w:bookmarkStart w:id="461" w:name="xdx_88C_eus-gaap--ScheduleOfAccountsNote"/>
      <w:bookmarkEnd w:id="461"/>
    </w:p>
    <w:tbl>
      <w:tblPr>
        <w:tblW w:w="6773" w:type="dxa"/>
        <w:jc w:val="left"/>
        <w:tblInd w:w="0" w:type="dxa"/>
        <w:tblLayout w:type="fixed"/>
        <w:tblCellMar>
          <w:top w:w="0" w:type="dxa"/>
          <w:left w:w="0" w:type="dxa"/>
          <w:bottom w:w="0" w:type="dxa"/>
          <w:right w:w="0" w:type="dxa"/>
        </w:tblCellMar>
      </w:tblPr>
      <w:tblGrid>
        <w:gridCol w:w="3080"/>
        <w:gridCol w:w="60"/>
        <w:gridCol w:w="229"/>
        <w:gridCol w:w="1725"/>
        <w:gridCol w:w="95"/>
        <w:gridCol w:w="60"/>
        <w:gridCol w:w="165"/>
        <w:gridCol w:w="1249"/>
        <w:gridCol w:w="110"/>
      </w:tblGrid>
      <w:tr>
        <w:trPr/>
        <w:tc>
          <w:tcPr>
            <w:tcW w:w="3080" w:type="dxa"/>
            <w:tcBorders/>
            <w:shd w:fill="FFFFFF" w:val="clear"/>
            <w:vAlign w:val="center"/>
          </w:tcPr>
          <w:p>
            <w:pPr>
              <w:pStyle w:val="TableContents"/>
              <w:bidi w:val="0"/>
              <w:spacing w:before="0" w:after="283"/>
              <w:jc w:val="left"/>
              <w:rPr/>
            </w:pPr>
            <w:bookmarkStart w:id="462" w:name="xdx_8BD_zlS5VHXmsHsc"/>
            <w:bookmarkEnd w:id="462"/>
            <w:r>
              <w:rPr/>
              <w:t>Schedule of accounts receivable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bookmarkStart w:id="463" w:name="xdx_494_20251231_zoNKMFP08Krb"/>
            <w:bookmarkEnd w:id="463"/>
          </w:p>
        </w:tc>
        <w:tc>
          <w:tcPr>
            <w:tcW w:w="172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464" w:name="xdx_49F_20250630_zQ9W2Ossd7Vl"/>
            <w:bookmarkEnd w:id="464"/>
          </w:p>
        </w:tc>
        <w:tc>
          <w:tcPr>
            <w:tcW w:w="1249"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left"/>
              <w:rPr/>
            </w:pPr>
            <w:r>
              <w:rPr/>
              <w:t> </w:t>
            </w:r>
            <w:bookmarkStart w:id="465" w:name="xdx_406_eus-gaap--AccountsReceivableGros"/>
            <w:bookmarkEnd w:id="465"/>
          </w:p>
        </w:tc>
      </w:tr>
      <w:tr>
        <w:trPr/>
        <w:tc>
          <w:tcPr>
            <w:tcW w:w="3080" w:type="dxa"/>
            <w:tcBorders/>
            <w:shd w:fill="EEEEEE" w:val="clear"/>
            <w:vAlign w:val="center"/>
          </w:tcPr>
          <w:p>
            <w:pPr>
              <w:pStyle w:val="TableContents"/>
              <w:bidi w:val="0"/>
              <w:spacing w:before="0" w:after="283"/>
              <w:jc w:val="left"/>
              <w:rPr/>
            </w:pPr>
            <w:r>
              <w:rPr/>
              <w:t>Accounts receivable</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725" w:type="dxa"/>
            <w:tcBorders/>
            <w:shd w:fill="EEEEEE" w:val="clear"/>
            <w:vAlign w:val="center"/>
          </w:tcPr>
          <w:p>
            <w:pPr>
              <w:pStyle w:val="TableContents"/>
              <w:bidi w:val="0"/>
              <w:spacing w:before="0" w:after="283"/>
              <w:jc w:val="right"/>
              <w:rPr/>
            </w:pPr>
            <w:r>
              <w:rPr/>
              <w:t>7,142,273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p>
        </w:tc>
        <w:tc>
          <w:tcPr>
            <w:tcW w:w="1249" w:type="dxa"/>
            <w:tcBorders/>
            <w:shd w:fill="EEEEEE" w:val="clear"/>
            <w:vAlign w:val="center"/>
          </w:tcPr>
          <w:p>
            <w:pPr>
              <w:pStyle w:val="TableContents"/>
              <w:bidi w:val="0"/>
              <w:spacing w:before="0" w:after="283"/>
              <w:jc w:val="right"/>
              <w:rPr/>
            </w:pPr>
            <w:r>
              <w:rPr/>
              <w:t>8,048,425</w:t>
            </w:r>
          </w:p>
        </w:tc>
        <w:tc>
          <w:tcPr>
            <w:tcW w:w="110" w:type="dxa"/>
            <w:tcBorders/>
            <w:shd w:fill="EEEEEE" w:val="clear"/>
            <w:vAlign w:val="center"/>
          </w:tcPr>
          <w:p>
            <w:pPr>
              <w:pStyle w:val="TableContents"/>
              <w:bidi w:val="0"/>
              <w:spacing w:before="0" w:after="283"/>
              <w:jc w:val="left"/>
              <w:rPr/>
            </w:pPr>
            <w:r>
              <w:rPr/>
              <w:t> </w:t>
            </w:r>
            <w:bookmarkStart w:id="466" w:name="xdx_404_eus-gaap--AllowanceForDoubtfulAc"/>
            <w:bookmarkEnd w:id="466"/>
          </w:p>
        </w:tc>
      </w:tr>
      <w:tr>
        <w:trPr/>
        <w:tc>
          <w:tcPr>
            <w:tcW w:w="30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FFFFFF" w:val="clear"/>
            <w:tcMar>
              <w:bottom w:w="28" w:type="dxa"/>
            </w:tcMar>
            <w:vAlign w:val="center"/>
          </w:tcPr>
          <w:p>
            <w:pPr>
              <w:pStyle w:val="TableContents"/>
              <w:bidi w:val="0"/>
              <w:spacing w:before="0" w:after="283"/>
              <w:jc w:val="right"/>
              <w:rPr/>
            </w:pPr>
            <w:r>
              <w:rPr/>
              <w:t>(1,974,130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(1,924,417</w:t>
            </w:r>
          </w:p>
        </w:tc>
        <w:tc>
          <w:tcPr>
            <w:tcW w:w="110" w:type="dxa"/>
            <w:tcBorders/>
            <w:shd w:fill="FFFFFF" w:val="clear"/>
            <w:vAlign w:val="center"/>
          </w:tcPr>
          <w:p>
            <w:pPr>
              <w:pStyle w:val="TableContents"/>
              <w:bidi w:val="0"/>
              <w:spacing w:before="0" w:after="283"/>
              <w:jc w:val="left"/>
              <w:rPr/>
            </w:pPr>
            <w:r>
              <w:rPr/>
              <w:t>)</w:t>
            </w:r>
            <w:bookmarkStart w:id="467" w:name="xdx_407_eus-gaap--AccountsReceivableNetC"/>
            <w:bookmarkEnd w:id="467"/>
          </w:p>
        </w:tc>
      </w:tr>
      <w:tr>
        <w:trPr/>
        <w:tc>
          <w:tcPr>
            <w:tcW w:w="3080" w:type="dxa"/>
            <w:tcBorders/>
            <w:shd w:fill="EEEEEE" w:val="clear"/>
            <w:vAlign w:val="center"/>
          </w:tcPr>
          <w:p>
            <w:pPr>
              <w:pStyle w:val="TableContents"/>
              <w:bidi w:val="0"/>
              <w:spacing w:before="0" w:after="283"/>
              <w:jc w:val="left"/>
              <w:rPr/>
            </w:pPr>
            <w:r>
              <w:rPr/>
              <w:t>Total accounts receivable</w:t>
            </w:r>
          </w:p>
        </w:tc>
        <w:tc>
          <w:tcPr>
            <w:tcW w:w="60" w:type="dxa"/>
            <w:tcBorders/>
            <w:shd w:fill="EEEEEE" w:val="clear"/>
            <w:vAlign w:val="center"/>
          </w:tcPr>
          <w:p>
            <w:pPr>
              <w:pStyle w:val="TableContents"/>
              <w:bidi w:val="0"/>
              <w:spacing w:before="0" w:after="283"/>
              <w:jc w:val="left"/>
              <w:rPr/>
            </w:pPr>
            <w:r>
              <w:rPr/>
              <w:t> </w:t>
            </w:r>
          </w:p>
        </w:tc>
        <w:tc>
          <w:tcPr>
            <w:tcW w:w="22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725" w:type="dxa"/>
            <w:tcBorders>
              <w:bottom w:val="double" w:sz="6" w:space="0" w:color="000000"/>
            </w:tcBorders>
            <w:shd w:fill="EEEEEE" w:val="clear"/>
            <w:tcMar>
              <w:bottom w:w="28" w:type="dxa"/>
            </w:tcMar>
            <w:vAlign w:val="center"/>
          </w:tcPr>
          <w:p>
            <w:pPr>
              <w:pStyle w:val="TableContents"/>
              <w:bidi w:val="0"/>
              <w:spacing w:before="0" w:after="283"/>
              <w:jc w:val="right"/>
              <w:rPr/>
            </w:pPr>
            <w:r>
              <w:rPr/>
              <w:t>5,168,143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EEEEEE" w:val="clear"/>
            <w:tcMar>
              <w:bottom w:w="28" w:type="dxa"/>
            </w:tcMar>
            <w:vAlign w:val="center"/>
          </w:tcPr>
          <w:p>
            <w:pPr>
              <w:pStyle w:val="TableContents"/>
              <w:bidi w:val="0"/>
              <w:spacing w:before="0" w:after="283"/>
              <w:jc w:val="right"/>
              <w:rPr/>
            </w:pPr>
            <w:r>
              <w:rPr/>
              <w:t>6,124,008</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allowance for credit losses on accounts receivable are summarized below: </w:t>
      </w:r>
    </w:p>
    <w:p>
      <w:pPr>
        <w:pStyle w:val="Normal"/>
        <w:bidi w:val="0"/>
        <w:spacing w:before="0" w:after="0"/>
        <w:jc w:val="left"/>
        <w:rPr>
          <w:sz w:val="4"/>
          <w:szCs w:val="4"/>
        </w:rPr>
      </w:pPr>
      <w:r>
        <w:rPr>
          <w:sz w:val="4"/>
          <w:szCs w:val="4"/>
        </w:rPr>
      </w:r>
      <w:bookmarkStart w:id="468" w:name="xdx_88D_eus-gaap--AllowanceForCreditLoss"/>
      <w:bookmarkStart w:id="469" w:name="xdx_88D_eus-gaap--AllowanceForCreditLoss"/>
      <w:bookmarkEnd w:id="469"/>
    </w:p>
    <w:tbl>
      <w:tblPr>
        <w:tblW w:w="8319" w:type="dxa"/>
        <w:jc w:val="left"/>
        <w:tblInd w:w="0" w:type="dxa"/>
        <w:tblLayout w:type="fixed"/>
        <w:tblCellMar>
          <w:top w:w="0" w:type="dxa"/>
          <w:left w:w="0" w:type="dxa"/>
          <w:bottom w:w="0" w:type="dxa"/>
          <w:right w:w="0" w:type="dxa"/>
        </w:tblCellMar>
      </w:tblPr>
      <w:tblGrid>
        <w:gridCol w:w="6980"/>
        <w:gridCol w:w="60"/>
        <w:gridCol w:w="155"/>
        <w:gridCol w:w="1049"/>
        <w:gridCol w:w="75"/>
      </w:tblGrid>
      <w:tr>
        <w:trPr/>
        <w:tc>
          <w:tcPr>
            <w:tcW w:w="6980" w:type="dxa"/>
            <w:tcBorders/>
            <w:vAlign w:val="center"/>
          </w:tcPr>
          <w:p>
            <w:pPr>
              <w:pStyle w:val="TableContents"/>
              <w:bidi w:val="0"/>
              <w:spacing w:before="0" w:after="283"/>
              <w:jc w:val="left"/>
              <w:rPr/>
            </w:pPr>
            <w:bookmarkStart w:id="470" w:name="xdx_8BD_zPw70Dt0E9eh"/>
            <w:bookmarkEnd w:id="470"/>
            <w:r>
              <w:rPr/>
              <w:t>Schedule of changes in allowance for credit losses on accounts receivable</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Allowance for </w:t>
              <w:br/>
            </w:r>
            <w:r>
              <w:rPr>
                <w:sz w:val="20"/>
                <w:bdr w:val="single" w:sz="8" w:space="1" w:color="000000"/>
              </w:rPr>
              <w:t>Credit Losses</w:t>
            </w:r>
          </w:p>
        </w:tc>
        <w:tc>
          <w:tcPr>
            <w:tcW w:w="75" w:type="dxa"/>
            <w:tcBorders/>
            <w:vAlign w:val="center"/>
          </w:tcPr>
          <w:p>
            <w:pPr>
              <w:pStyle w:val="TableContents"/>
              <w:bidi w:val="0"/>
              <w:spacing w:before="0" w:after="283"/>
              <w:jc w:val="left"/>
              <w:rPr/>
            </w:pPr>
            <w:r>
              <w:rPr/>
              <w:t> </w:t>
            </w:r>
          </w:p>
        </w:tc>
      </w:tr>
      <w:tr>
        <w:trPr/>
        <w:tc>
          <w:tcPr>
            <w:tcW w:w="6980" w:type="dxa"/>
            <w:tcBorders/>
            <w:shd w:fill="EEEEEE" w:val="clear"/>
            <w:vAlign w:val="center"/>
          </w:tcPr>
          <w:p>
            <w:pPr>
              <w:pStyle w:val="TableContents"/>
              <w:bidi w:val="0"/>
              <w:spacing w:before="0" w:after="283"/>
              <w:jc w:val="left"/>
              <w:rPr>
                <w:sz w:val="20"/>
              </w:rPr>
            </w:pPr>
            <w:r>
              <w:rPr>
                <w:sz w:val="20"/>
              </w:rPr>
              <w:t>Balance at June 30, 2025</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sz w:val="20"/>
              </w:rPr>
            </w:pPr>
            <w:r>
              <w:rPr>
                <w:sz w:val="20"/>
              </w:rPr>
              <w:t>$</w:t>
            </w:r>
            <w:bookmarkStart w:id="471" w:name="xdx_98E_eus-gaap--AllowanceForDoubtfulAc"/>
            <w:bookmarkEnd w:id="471"/>
          </w:p>
        </w:tc>
        <w:tc>
          <w:tcPr>
            <w:tcW w:w="1049" w:type="dxa"/>
            <w:tcBorders/>
            <w:shd w:fill="EEEEEE" w:val="clear"/>
            <w:vAlign w:val="center"/>
          </w:tcPr>
          <w:p>
            <w:pPr>
              <w:pStyle w:val="TableContents"/>
              <w:bidi w:val="0"/>
              <w:spacing w:before="0" w:after="283"/>
              <w:jc w:val="right"/>
              <w:rPr>
                <w:sz w:val="20"/>
              </w:rPr>
            </w:pPr>
            <w:r>
              <w:rPr>
                <w:sz w:val="20"/>
              </w:rPr>
              <w:t>1,924,417</w:t>
            </w:r>
          </w:p>
        </w:tc>
        <w:tc>
          <w:tcPr>
            <w:tcW w:w="75" w:type="dxa"/>
            <w:tcBorders/>
            <w:shd w:fill="EEEEEE"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sz w:val="20"/>
              </w:rPr>
            </w:pPr>
            <w:r>
              <w:rPr>
                <w:sz w:val="20"/>
              </w:rPr>
              <w:t>Allowance recorded during the three months ended September 30, 2025</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2" w:name="xdx_98E_eus-gaap--AllowanceForDoubtfulAc"/>
            <w:bookmarkEnd w:id="472"/>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49,713</w:t>
            </w:r>
          </w:p>
        </w:tc>
        <w:tc>
          <w:tcPr>
            <w:tcW w:w="75" w:type="dxa"/>
            <w:tcBorders/>
            <w:shd w:fill="FFFFFF" w:val="clear"/>
            <w:vAlign w:val="center"/>
          </w:tcPr>
          <w:p>
            <w:pPr>
              <w:pStyle w:val="TableContents"/>
              <w:bidi w:val="0"/>
              <w:spacing w:before="0" w:after="283"/>
              <w:jc w:val="left"/>
              <w:rPr/>
            </w:pPr>
            <w:r>
              <w:rPr/>
              <w:t> </w:t>
            </w:r>
          </w:p>
        </w:tc>
      </w:tr>
      <w:tr>
        <w:trPr/>
        <w:tc>
          <w:tcPr>
            <w:tcW w:w="6980" w:type="dxa"/>
            <w:tcBorders/>
            <w:shd w:fill="EEEEEE" w:val="clear"/>
            <w:vAlign w:val="center"/>
          </w:tcPr>
          <w:p>
            <w:pPr>
              <w:pStyle w:val="TableContents"/>
              <w:bidi w:val="0"/>
              <w:spacing w:before="0" w:after="283"/>
              <w:jc w:val="left"/>
              <w:rPr>
                <w:sz w:val="20"/>
              </w:rPr>
            </w:pPr>
            <w:r>
              <w:rPr>
                <w:sz w:val="20"/>
              </w:rPr>
              <w:t>Balance at September 30, 2025</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bookmarkStart w:id="473" w:name="xdx_98A_eus-gaap--AllowanceForDoubtfulAc"/>
            <w:bookmarkEnd w:id="473"/>
          </w:p>
        </w:tc>
        <w:tc>
          <w:tcPr>
            <w:tcW w:w="1049" w:type="dxa"/>
            <w:tcBorders/>
            <w:shd w:fill="EEEEEE" w:val="clear"/>
            <w:vAlign w:val="center"/>
          </w:tcPr>
          <w:p>
            <w:pPr>
              <w:pStyle w:val="TableContents"/>
              <w:bidi w:val="0"/>
              <w:spacing w:before="0" w:after="283"/>
              <w:jc w:val="right"/>
              <w:rPr>
                <w:sz w:val="20"/>
              </w:rPr>
            </w:pPr>
            <w:r>
              <w:rPr>
                <w:sz w:val="20"/>
              </w:rPr>
              <w:t>1,974,130</w:t>
            </w:r>
          </w:p>
        </w:tc>
        <w:tc>
          <w:tcPr>
            <w:tcW w:w="75" w:type="dxa"/>
            <w:tcBorders/>
            <w:shd w:fill="EEEEEE"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sz w:val="20"/>
              </w:rPr>
            </w:pPr>
            <w:r>
              <w:rPr>
                <w:sz w:val="20"/>
              </w:rPr>
              <w:t>Allowance recorded during the three months ended December 31, 2025</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4" w:name="xdx_987_eus-gaap--AllowanceForDoubtfulAc"/>
            <w:bookmarkEnd w:id="474"/>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80" w:type="dxa"/>
            <w:tcBorders/>
            <w:shd w:fill="EEEEEE" w:val="clear"/>
            <w:vAlign w:val="center"/>
          </w:tcPr>
          <w:p>
            <w:pPr>
              <w:pStyle w:val="TableContents"/>
              <w:bidi w:val="0"/>
              <w:spacing w:before="0" w:after="283"/>
              <w:jc w:val="left"/>
              <w:rPr>
                <w:sz w:val="20"/>
              </w:rPr>
            </w:pPr>
            <w:r>
              <w:rPr>
                <w:sz w:val="20"/>
              </w:rPr>
              <w:t>Balance at December 31, 2025</w:t>
            </w:r>
          </w:p>
        </w:tc>
        <w:tc>
          <w:tcPr>
            <w:tcW w:w="60" w:type="dxa"/>
            <w:tcBorders/>
            <w:shd w:fill="EEEEEE" w:val="clear"/>
            <w:vAlign w:val="center"/>
          </w:tcPr>
          <w:p>
            <w:pPr>
              <w:pStyle w:val="TableContents"/>
              <w:bidi w:val="0"/>
              <w:spacing w:before="0" w:after="283"/>
              <w:jc w:val="left"/>
              <w:rPr/>
            </w:pPr>
            <w:r>
              <w:rPr/>
              <w:t> </w:t>
            </w:r>
          </w:p>
        </w:tc>
        <w:tc>
          <w:tcPr>
            <w:tcW w:w="15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bookmarkStart w:id="475" w:name="xdx_980_eus-gaap--AllowanceForDoubtfulAc"/>
            <w:bookmarkEnd w:id="475"/>
          </w:p>
        </w:tc>
        <w:tc>
          <w:tcPr>
            <w:tcW w:w="1049"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1,974,130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76" w:name="xdx_234_zwS2REv8u4Ee"/>
      <w:bookmarkStart w:id="477" w:name="xdx_23F_zucbDDjk5n79"/>
      <w:bookmarkEnd w:id="476"/>
      <w:bookmarkEnd w:id="477"/>
      <w:r>
        <w:rPr>
          <w:caps w:val="false"/>
          <w:smallCaps w:val="false"/>
        </w:rPr>
        <w:t> </w:t>
      </w:r>
    </w:p>
    <w:p>
      <w:pPr>
        <w:pStyle w:val="TextBody"/>
        <w:bidi w:val="0"/>
        <w:spacing w:before="0" w:after="0"/>
        <w:ind w:left="0" w:right="0" w:hanging="0"/>
        <w:jc w:val="both"/>
        <w:rPr>
          <w:caps w:val="false"/>
          <w:smallCaps w:val="false"/>
        </w:rPr>
      </w:pPr>
      <w:bookmarkStart w:id="478" w:name="xdx_233_zXXMXItjeG67"/>
      <w:bookmarkEnd w:id="47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79" w:name="xdx_238_zWtA6rcsYnua"/>
      <w:bookmarkEnd w:id="47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0" w:name="xdx_801_eus-gaap--InventoryDisclosureTex"/>
      <w:bookmarkEnd w:id="480"/>
      <w:r>
        <w:rPr>
          <w:rFonts w:ascii="Times New Roman;Times;Serif" w:hAnsi="Times New Roman;Times;Serif"/>
          <w:b/>
          <w:i w:val="false"/>
          <w:caps w:val="false"/>
          <w:smallCaps w:val="false"/>
          <w:sz w:val="20"/>
        </w:rPr>
        <w:t xml:space="preserve">Note 6 – </w:t>
      </w:r>
      <w:bookmarkStart w:id="481" w:name="xdx_829_zA5czDiv7Q87"/>
      <w:bookmarkEnd w:id="481"/>
      <w:r>
        <w:rPr>
          <w:rFonts w:ascii="Times New Roman;Times;Serif" w:hAnsi="Times New Roman;Times;Serif"/>
          <w:b/>
          <w:i w:val="false"/>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2025, inventories consisting of finished goods ready for sale, net of allowance for obsolescence, amounted to $</w:t>
      </w:r>
      <w:bookmarkStart w:id="482" w:name="xdx_904_eus-gaap--InventoryNet_iI_pp0p0_"/>
      <w:bookmarkEnd w:id="482"/>
      <w:r>
        <w:rPr>
          <w:rFonts w:ascii="Times New Roman;Times;Serif" w:hAnsi="Times New Roman;Times;Serif"/>
          <w:b w:val="false"/>
          <w:i w:val="false"/>
          <w:caps w:val="false"/>
          <w:smallCaps w:val="false"/>
          <w:sz w:val="20"/>
        </w:rPr>
        <w:t>3,611,859 and $</w:t>
      </w:r>
      <w:bookmarkStart w:id="483" w:name="xdx_902_eus-gaap--InventoryNet_pp0p0_c20"/>
      <w:bookmarkEnd w:id="483"/>
      <w:r>
        <w:rPr>
          <w:rFonts w:ascii="Times New Roman;Times;Serif" w:hAnsi="Times New Roman;Times;Serif"/>
          <w:b w:val="false"/>
          <w:i w:val="false"/>
          <w:caps w:val="false"/>
          <w:smallCaps w:val="false"/>
          <w:sz w:val="20"/>
        </w:rPr>
        <w:t>8,131,203,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December 31, 2025, the Company recorded inventory reserve expense of $</w:t>
      </w:r>
      <w:bookmarkStart w:id="484" w:name="xdx_901_eus-gaap--InventoryLIFOReservePe"/>
      <w:bookmarkEnd w:id="484"/>
      <w:r>
        <w:rPr>
          <w:rFonts w:ascii="Times New Roman;Times;Serif" w:hAnsi="Times New Roman;Times;Serif"/>
          <w:b w:val="false"/>
          <w:i w:val="false"/>
          <w:caps w:val="false"/>
          <w:smallCaps w:val="false"/>
          <w:sz w:val="20"/>
        </w:rPr>
        <w:t>0 and $</w:t>
      </w:r>
      <w:bookmarkStart w:id="485" w:name="xdx_905_eus-gaap--InventoryLIFOReservePe"/>
      <w:bookmarkEnd w:id="485"/>
      <w:r>
        <w:rPr>
          <w:rFonts w:ascii="Times New Roman;Times;Serif" w:hAnsi="Times New Roman;Times;Serif"/>
          <w:b w:val="false"/>
          <w:i w:val="false"/>
          <w:caps w:val="false"/>
          <w:smallCaps w:val="false"/>
          <w:sz w:val="20"/>
        </w:rPr>
        <w:t>58,453, respectively. For the three and six months ended December 31, 2024, the Company recorded inventory reserve expense of $</w:t>
      </w:r>
      <w:bookmarkStart w:id="486" w:name="xdx_90A_eus-gaap--InventoryLIFOReservePe"/>
      <w:bookmarkEnd w:id="486"/>
      <w:r>
        <w:rPr>
          <w:rFonts w:ascii="Times New Roman;Times;Serif" w:hAnsi="Times New Roman;Times;Serif"/>
          <w:b w:val="false"/>
          <w:i w:val="false"/>
          <w:caps w:val="false"/>
          <w:smallCaps w:val="false"/>
          <w:sz w:val="20"/>
        </w:rPr>
        <w:t>0 and $</w:t>
      </w:r>
      <w:bookmarkStart w:id="487" w:name="xdx_903_eus-gaap--InventoryLIFOReservePe"/>
      <w:bookmarkEnd w:id="487"/>
      <w:r>
        <w:rPr>
          <w:rFonts w:ascii="Times New Roman;Times;Serif" w:hAnsi="Times New Roman;Times;Serif"/>
          <w:b w:val="false"/>
          <w:i w:val="false"/>
          <w:caps w:val="false"/>
          <w:smallCaps w:val="false"/>
          <w:sz w:val="20"/>
        </w:rPr>
        <w:t>288,474, respectively. As of December 31, 2025 and June 30, 2025, allowance for obsolescence was $</w:t>
      </w:r>
      <w:bookmarkStart w:id="488" w:name="xdx_90D_eus-gaap--InventoryLIFOReserve_i"/>
      <w:bookmarkEnd w:id="488"/>
      <w:r>
        <w:rPr>
          <w:rFonts w:ascii="Times New Roman;Times;Serif" w:hAnsi="Times New Roman;Times;Serif"/>
          <w:b w:val="false"/>
          <w:i w:val="false"/>
          <w:caps w:val="false"/>
          <w:smallCaps w:val="false"/>
          <w:sz w:val="20"/>
        </w:rPr>
        <w:t>370,921 and $</w:t>
      </w:r>
      <w:bookmarkStart w:id="489" w:name="xdx_904_eus-gaap--InventoryLIFOReserve_i"/>
      <w:bookmarkEnd w:id="489"/>
      <w:r>
        <w:rPr>
          <w:rFonts w:ascii="Times New Roman;Times;Serif" w:hAnsi="Times New Roman;Times;Serif"/>
          <w:b w:val="false"/>
          <w:i w:val="false"/>
          <w:caps w:val="false"/>
          <w:smallCaps w:val="false"/>
          <w:sz w:val="20"/>
        </w:rPr>
        <w:t>312,468,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0" w:name="xdx_80E_eus-gaap--OtherCurrentAssetsText"/>
      <w:bookmarkEnd w:id="490"/>
      <w:r>
        <w:rPr>
          <w:rFonts w:ascii="Times New Roman;Times;Serif" w:hAnsi="Times New Roman;Times;Serif"/>
          <w:b/>
          <w:i w:val="false"/>
          <w:caps w:val="false"/>
          <w:smallCaps w:val="false"/>
          <w:sz w:val="20"/>
        </w:rPr>
        <w:t xml:space="preserve">Note 7 – </w:t>
      </w:r>
      <w:bookmarkStart w:id="491" w:name="xdx_82A_zvWqxugFzQ6i"/>
      <w:bookmarkEnd w:id="491"/>
      <w:r>
        <w:rPr>
          <w:rFonts w:ascii="Times New Roman;Times;Serif" w:hAnsi="Times New Roman;Times;Serif"/>
          <w:b/>
          <w:i w:val="false"/>
          <w:caps w:val="false"/>
          <w:smallCaps w:val="false"/>
          <w:sz w:val="20"/>
        </w:rPr>
        <w:t xml:space="preserve">Prepayments and Other Current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2025, prepayments and other current assets consisted of the following: </w:t>
      </w:r>
    </w:p>
    <w:p>
      <w:pPr>
        <w:pStyle w:val="Normal"/>
        <w:bidi w:val="0"/>
        <w:spacing w:before="0" w:after="0"/>
        <w:jc w:val="left"/>
        <w:rPr>
          <w:sz w:val="4"/>
          <w:szCs w:val="4"/>
        </w:rPr>
      </w:pPr>
      <w:r>
        <w:rPr>
          <w:sz w:val="4"/>
          <w:szCs w:val="4"/>
        </w:rPr>
      </w:r>
      <w:bookmarkStart w:id="492" w:name="xdx_881_eus-gaap--DeferredCostsCapitaliz"/>
      <w:bookmarkStart w:id="493" w:name="xdx_881_eus-gaap--DeferredCostsCapitaliz"/>
      <w:bookmarkEnd w:id="493"/>
    </w:p>
    <w:tbl>
      <w:tblPr>
        <w:tblW w:w="8308" w:type="dxa"/>
        <w:jc w:val="left"/>
        <w:tblInd w:w="0" w:type="dxa"/>
        <w:tblLayout w:type="fixed"/>
        <w:tblCellMar>
          <w:top w:w="0" w:type="dxa"/>
          <w:left w:w="0" w:type="dxa"/>
          <w:bottom w:w="0" w:type="dxa"/>
          <w:right w:w="0" w:type="dxa"/>
        </w:tblCellMar>
      </w:tblPr>
      <w:tblGrid>
        <w:gridCol w:w="4685"/>
        <w:gridCol w:w="60"/>
        <w:gridCol w:w="244"/>
        <w:gridCol w:w="1710"/>
        <w:gridCol w:w="60"/>
        <w:gridCol w:w="60"/>
        <w:gridCol w:w="176"/>
        <w:gridCol w:w="1238"/>
        <w:gridCol w:w="75"/>
      </w:tblGrid>
      <w:tr>
        <w:trPr/>
        <w:tc>
          <w:tcPr>
            <w:tcW w:w="4685" w:type="dxa"/>
            <w:tcBorders/>
            <w:shd w:fill="FFFFFF" w:val="clear"/>
            <w:vAlign w:val="center"/>
          </w:tcPr>
          <w:p>
            <w:pPr>
              <w:pStyle w:val="TableContents"/>
              <w:bidi w:val="0"/>
              <w:spacing w:before="0" w:after="283"/>
              <w:jc w:val="left"/>
              <w:rPr/>
            </w:pPr>
            <w:bookmarkStart w:id="494" w:name="xdx_8B1_zu54vbxiy1Ka"/>
            <w:bookmarkEnd w:id="494"/>
            <w:r>
              <w:rPr/>
              <w:t>Schedule of prepayments and other current assets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Advance to suppliers</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w:t>
            </w:r>
            <w:bookmarkStart w:id="495" w:name="xdx_98F_eus-gaap--PrepaidExpenseAndOther"/>
            <w:bookmarkEnd w:id="495"/>
          </w:p>
        </w:tc>
        <w:tc>
          <w:tcPr>
            <w:tcW w:w="1710" w:type="dxa"/>
            <w:tcBorders/>
            <w:shd w:fill="EEEEEE" w:val="clear"/>
            <w:vAlign w:val="center"/>
          </w:tcPr>
          <w:p>
            <w:pPr>
              <w:pStyle w:val="TableContents"/>
              <w:bidi w:val="0"/>
              <w:spacing w:before="0" w:after="283"/>
              <w:jc w:val="right"/>
              <w:rPr/>
            </w:pPr>
            <w:r>
              <w:rPr/>
              <w:t>933,043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bookmarkStart w:id="496" w:name="xdx_984_eus-gaap--PrepaidExpenseAndOther"/>
            <w:bookmarkEnd w:id="496"/>
          </w:p>
        </w:tc>
        <w:tc>
          <w:tcPr>
            <w:tcW w:w="1238" w:type="dxa"/>
            <w:tcBorders/>
            <w:shd w:fill="EEEEEE" w:val="clear"/>
            <w:vAlign w:val="center"/>
          </w:tcPr>
          <w:p>
            <w:pPr>
              <w:pStyle w:val="TableContents"/>
              <w:bidi w:val="0"/>
              <w:spacing w:before="0" w:after="283"/>
              <w:jc w:val="right"/>
              <w:rPr/>
            </w:pPr>
            <w:r>
              <w:rPr/>
              <w:t>1,787,296</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Prepaid income taxes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bookmarkStart w:id="497" w:name="xdx_983_eus-gaap--PrepaidExpenseAndOther"/>
            <w:bookmarkEnd w:id="497"/>
          </w:p>
        </w:tc>
        <w:tc>
          <w:tcPr>
            <w:tcW w:w="17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498" w:name="xdx_98C_eus-gaap--PrepaidExpenseAndOther"/>
            <w:bookmarkEnd w:id="498"/>
          </w:p>
        </w:tc>
        <w:tc>
          <w:tcPr>
            <w:tcW w:w="1238" w:type="dxa"/>
            <w:tcBorders/>
            <w:shd w:fill="FFFFFF" w:val="clear"/>
            <w:vAlign w:val="center"/>
          </w:tcPr>
          <w:p>
            <w:pPr>
              <w:pStyle w:val="TableContents"/>
              <w:bidi w:val="0"/>
              <w:spacing w:before="0" w:after="283"/>
              <w:jc w:val="right"/>
              <w:rPr/>
            </w:pPr>
            <w:r>
              <w:rPr/>
              <w:t>19,072</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Prepaid expenses and other receivables</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bookmarkStart w:id="499" w:name="xdx_988_eus-gaap--PrepaidExpenseAndOther"/>
            <w:bookmarkEnd w:id="499"/>
          </w:p>
        </w:tc>
        <w:tc>
          <w:tcPr>
            <w:tcW w:w="1710" w:type="dxa"/>
            <w:tcBorders/>
            <w:shd w:fill="EEEEEE" w:val="clear"/>
            <w:vAlign w:val="center"/>
          </w:tcPr>
          <w:p>
            <w:pPr>
              <w:pStyle w:val="TableContents"/>
              <w:bidi w:val="0"/>
              <w:spacing w:before="0" w:after="283"/>
              <w:jc w:val="right"/>
              <w:rPr/>
            </w:pPr>
            <w:r>
              <w:rPr/>
              <w:t>758,433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500" w:name="xdx_98A_eus-gaap--PrepaidExpenseAndOther"/>
            <w:bookmarkEnd w:id="500"/>
          </w:p>
        </w:tc>
        <w:tc>
          <w:tcPr>
            <w:tcW w:w="1238" w:type="dxa"/>
            <w:tcBorders/>
            <w:shd w:fill="EEEEEE" w:val="clear"/>
            <w:vAlign w:val="center"/>
          </w:tcPr>
          <w:p>
            <w:pPr>
              <w:pStyle w:val="TableContents"/>
              <w:bidi w:val="0"/>
              <w:spacing w:before="0" w:after="283"/>
              <w:jc w:val="right"/>
              <w:rPr/>
            </w:pPr>
            <w:r>
              <w:rPr/>
              <w:t>1,304,842</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01" w:name="xdx_982_eus-gaap--AccountsAndFinancingRe"/>
            <w:bookmarkEnd w:id="501"/>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02" w:name="xdx_98F_eus-gaap--AccountsAndFinancingRe"/>
            <w:bookmarkEnd w:id="502"/>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3" w:name="xdx_982_eus-gaap--PrepaidExpenseAndOther"/>
            <w:bookmarkEnd w:id="503"/>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pPr>
            <w:r>
              <w:rPr/>
              <w:t>1,691,476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4" w:name="xdx_988_eus-gaap--PrepaidExpenseAndOther"/>
            <w:bookmarkEnd w:id="504"/>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3,111,210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consisted of delivery fees of $</w:t>
      </w:r>
      <w:bookmarkStart w:id="505" w:name="xdx_902_eus-gaap--OtherReceivables_iI_pp"/>
      <w:bookmarkEnd w:id="505"/>
      <w:r>
        <w:rPr>
          <w:rFonts w:ascii="Times New Roman;Times;Serif" w:hAnsi="Times New Roman;Times;Serif"/>
          <w:b w:val="false"/>
          <w:i w:val="false"/>
          <w:caps w:val="false"/>
          <w:smallCaps w:val="false"/>
          <w:sz w:val="20"/>
        </w:rPr>
        <w:t>29,691 and $</w:t>
      </w:r>
      <w:bookmarkStart w:id="506" w:name="xdx_90A_eus-gaap--OtherReceivables_iI_pp"/>
      <w:bookmarkEnd w:id="506"/>
      <w:r>
        <w:rPr>
          <w:rFonts w:ascii="Times New Roman;Times;Serif" w:hAnsi="Times New Roman;Times;Serif"/>
          <w:b w:val="false"/>
          <w:i w:val="false"/>
          <w:caps w:val="false"/>
          <w:smallCaps w:val="false"/>
          <w:sz w:val="20"/>
        </w:rPr>
        <w:t>18,699 from a third party for using the Company’s courier accounts at December 31, 2025 and June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7" w:name="xdx_80C_eus-gaap--CryptoAssetTextBlock_z"/>
      <w:bookmarkEnd w:id="507"/>
      <w:r>
        <w:rPr>
          <w:rFonts w:ascii="Times New Roman;Times;Serif" w:hAnsi="Times New Roman;Times;Serif"/>
          <w:b/>
          <w:i w:val="false"/>
          <w:caps w:val="false"/>
          <w:smallCaps w:val="false"/>
          <w:sz w:val="20"/>
        </w:rPr>
        <w:t xml:space="preserve">Note 8 - </w:t>
      </w:r>
      <w:bookmarkStart w:id="508" w:name="xdx_828_zabSzIivdcy9"/>
      <w:bookmarkEnd w:id="508"/>
      <w:r>
        <w:rPr>
          <w:rFonts w:ascii="Times New Roman;Times;Serif" w:hAnsi="Times New Roman;Times;Serif"/>
          <w:b/>
          <w:i w:val="false"/>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27, 2025, the Company purchased (1) </w:t>
      </w:r>
      <w:bookmarkStart w:id="509" w:name="xdx_90E_eus-gaap--CryptoAssetNumberOfUni"/>
      <w:bookmarkEnd w:id="509"/>
      <w:r>
        <w:rPr>
          <w:rFonts w:ascii="Times New Roman;Times;Serif" w:hAnsi="Times New Roman;Times;Serif"/>
          <w:b w:val="false"/>
          <w:i w:val="false"/>
          <w:caps w:val="false"/>
          <w:smallCaps w:val="false"/>
          <w:sz w:val="20"/>
        </w:rPr>
        <w:t>15.12 Bitcoin (BTC) at an average price of $87,686.33 per BTC, for a total amount of approximately $</w:t>
      </w:r>
      <w:bookmarkStart w:id="510" w:name="xdx_901_eus-gaap--CryptoAssetCost_iI_c20"/>
      <w:bookmarkEnd w:id="510"/>
      <w:r>
        <w:rPr>
          <w:rFonts w:ascii="Times New Roman;Times;Serif" w:hAnsi="Times New Roman;Times;Serif"/>
          <w:b w:val="false"/>
          <w:i w:val="false"/>
          <w:caps w:val="false"/>
          <w:smallCaps w:val="false"/>
          <w:sz w:val="20"/>
        </w:rPr>
        <w:t xml:space="preserve">1,325,400 and (2) </w:t>
      </w:r>
      <w:bookmarkStart w:id="511" w:name="xdx_90B_eus-gaap--CryptoAssetNumberOfUni"/>
      <w:bookmarkEnd w:id="511"/>
      <w:r>
        <w:rPr>
          <w:rFonts w:ascii="Times New Roman;Times;Serif" w:hAnsi="Times New Roman;Times;Serif"/>
          <w:b w:val="false"/>
          <w:i w:val="false"/>
          <w:caps w:val="false"/>
          <w:smallCaps w:val="false"/>
          <w:sz w:val="20"/>
        </w:rPr>
        <w:t>301.10 Ethereum (ETH) at an average price of $2,934.67 per ETH, for a total amount of approximately $</w:t>
      </w:r>
      <w:bookmarkStart w:id="512" w:name="xdx_90A_eus-gaap--CryptoAssetCost_iI_c20"/>
      <w:bookmarkEnd w:id="512"/>
      <w:r>
        <w:rPr>
          <w:rFonts w:ascii="Times New Roman;Times;Serif" w:hAnsi="Times New Roman;Times;Serif"/>
          <w:b w:val="false"/>
          <w:i w:val="false"/>
          <w:caps w:val="false"/>
          <w:smallCaps w:val="false"/>
          <w:sz w:val="20"/>
        </w:rPr>
        <w:t>883,600. Pursuant to a Security and Pledge Agreement (the “Security Agreement”) by and among the Company, each of the direct and indirect Subsidiaries (as defined in the Security Agreement) of the Company (the “Guarantors”), and an entity that is an affiliate of the Convertible Note Investor, the Company granted to the Investor, for the ratable benefit of the Investor, a valid, perfected and enforceable first priority security interest in the cryptocurrency assets of the Company and the Guarantors, including without limitation all Crypto Collateral (as defined in the Security Agreement) and related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roll-forward of digital assets measured at fair value on a recurring basis for the six months ended December 31, 2025: </w:t>
      </w:r>
    </w:p>
    <w:p>
      <w:pPr>
        <w:pStyle w:val="Normal"/>
        <w:bidi w:val="0"/>
        <w:spacing w:before="0" w:after="0"/>
        <w:jc w:val="left"/>
        <w:rPr>
          <w:sz w:val="4"/>
          <w:szCs w:val="4"/>
        </w:rPr>
      </w:pPr>
      <w:r>
        <w:rPr>
          <w:sz w:val="4"/>
          <w:szCs w:val="4"/>
        </w:rPr>
      </w:r>
      <w:bookmarkStart w:id="513" w:name="xdx_895_eus-gaap--CryptoAssetActivityTab"/>
      <w:bookmarkStart w:id="514" w:name="xdx_895_eus-gaap--CryptoAssetActivityTab"/>
      <w:bookmarkEnd w:id="514"/>
    </w:p>
    <w:tbl>
      <w:tblPr>
        <w:tblW w:w="7730" w:type="dxa"/>
        <w:jc w:val="left"/>
        <w:tblInd w:w="0" w:type="dxa"/>
        <w:tblLayout w:type="fixed"/>
        <w:tblCellMar>
          <w:top w:w="0" w:type="dxa"/>
          <w:left w:w="0" w:type="dxa"/>
          <w:bottom w:w="0" w:type="dxa"/>
          <w:right w:w="0" w:type="dxa"/>
        </w:tblCellMar>
      </w:tblPr>
      <w:tblGrid>
        <w:gridCol w:w="6440"/>
        <w:gridCol w:w="60"/>
        <w:gridCol w:w="140"/>
        <w:gridCol w:w="980"/>
        <w:gridCol w:w="110"/>
      </w:tblGrid>
      <w:tr>
        <w:trPr/>
        <w:tc>
          <w:tcPr>
            <w:tcW w:w="6440" w:type="dxa"/>
            <w:tcBorders/>
            <w:vAlign w:val="center"/>
          </w:tcPr>
          <w:p>
            <w:pPr>
              <w:pStyle w:val="TableContents"/>
              <w:bidi w:val="0"/>
              <w:spacing w:before="0" w:after="283"/>
              <w:jc w:val="left"/>
              <w:rPr/>
            </w:pPr>
            <w:bookmarkStart w:id="515" w:name="xdx_8BB_zPz4hjmKrnp9"/>
            <w:bookmarkEnd w:id="515"/>
            <w:r>
              <w:rPr/>
              <w:t>Schedule of digital assets measured at fair value on a recurring basis</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110" w:type="dxa"/>
            <w:tcBorders/>
            <w:vAlign w:val="center"/>
          </w:tcPr>
          <w:p>
            <w:pPr>
              <w:pStyle w:val="TableContents"/>
              <w:bidi w:val="0"/>
              <w:spacing w:before="0" w:after="283"/>
              <w:jc w:val="left"/>
              <w:rPr/>
            </w:pPr>
            <w:r>
              <w:rPr/>
              <w:t> </w:t>
            </w:r>
          </w:p>
        </w:tc>
      </w:tr>
      <w:tr>
        <w:trPr/>
        <w:tc>
          <w:tcPr>
            <w:tcW w:w="6440" w:type="dxa"/>
            <w:tcBorders/>
            <w:shd w:fill="EEEEEE" w:val="clear"/>
            <w:vAlign w:val="center"/>
          </w:tcPr>
          <w:p>
            <w:pPr>
              <w:pStyle w:val="TableContents"/>
              <w:bidi w:val="0"/>
              <w:spacing w:before="0" w:after="283"/>
              <w:jc w:val="left"/>
              <w:rPr/>
            </w:pPr>
            <w:r>
              <w:rPr/>
              <w:t>Balance as of June 30, 2025</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516" w:name="xdx_98E_eus-gaap--CryptoAssetFairValue_i"/>
            <w:bookmarkEnd w:id="516"/>
          </w:p>
        </w:tc>
        <w:tc>
          <w:tcPr>
            <w:tcW w:w="98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Purchase of BTC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7" w:name="xdx_987_eus-gaap--CryptoAssetPurchase_c2"/>
            <w:bookmarkEnd w:id="517"/>
          </w:p>
        </w:tc>
        <w:tc>
          <w:tcPr>
            <w:tcW w:w="980" w:type="dxa"/>
            <w:tcBorders/>
            <w:shd w:fill="FFFFFF" w:val="clear"/>
            <w:vAlign w:val="center"/>
          </w:tcPr>
          <w:p>
            <w:pPr>
              <w:pStyle w:val="TableContents"/>
              <w:bidi w:val="0"/>
              <w:spacing w:before="0" w:after="283"/>
              <w:jc w:val="right"/>
              <w:rPr/>
            </w:pPr>
            <w:r>
              <w:rPr/>
              <w:t>1,325,400</w:t>
            </w:r>
          </w:p>
        </w:tc>
        <w:tc>
          <w:tcPr>
            <w:tcW w:w="110" w:type="dxa"/>
            <w:tcBorders/>
            <w:shd w:fill="FFFFFF" w:val="clear"/>
            <w:vAlign w:val="center"/>
          </w:tcPr>
          <w:p>
            <w:pPr>
              <w:pStyle w:val="TableContents"/>
              <w:bidi w:val="0"/>
              <w:spacing w:before="0" w:after="283"/>
              <w:jc w:val="left"/>
              <w:rPr/>
            </w:pPr>
            <w:r>
              <w:rPr/>
              <w:t> </w:t>
            </w:r>
          </w:p>
        </w:tc>
      </w:tr>
      <w:tr>
        <w:trPr/>
        <w:tc>
          <w:tcPr>
            <w:tcW w:w="6440" w:type="dxa"/>
            <w:tcBorders/>
            <w:shd w:fill="EEEEEE" w:val="clear"/>
            <w:vAlign w:val="center"/>
          </w:tcPr>
          <w:p>
            <w:pPr>
              <w:pStyle w:val="TableContents"/>
              <w:bidi w:val="0"/>
              <w:spacing w:before="0" w:after="283"/>
              <w:jc w:val="left"/>
              <w:rPr/>
            </w:pPr>
            <w:r>
              <w:rPr/>
              <w:t>Purchase of ETH</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18" w:name="xdx_986_eus-gaap--CryptoAssetPurchase_c2"/>
            <w:bookmarkEnd w:id="518"/>
          </w:p>
        </w:tc>
        <w:tc>
          <w:tcPr>
            <w:tcW w:w="980" w:type="dxa"/>
            <w:tcBorders/>
            <w:shd w:fill="EEEEEE" w:val="clear"/>
            <w:vAlign w:val="center"/>
          </w:tcPr>
          <w:p>
            <w:pPr>
              <w:pStyle w:val="TableContents"/>
              <w:bidi w:val="0"/>
              <w:spacing w:before="0" w:after="283"/>
              <w:jc w:val="right"/>
              <w:rPr/>
            </w:pPr>
            <w:r>
              <w:rPr/>
              <w:t>883,600</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Sales of BTC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9" w:name="xdx_983_eus-gaap--CryptoAssetSale_d0_c20"/>
            <w:bookmarkEnd w:id="519"/>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440" w:type="dxa"/>
            <w:tcBorders/>
            <w:shd w:fill="EEEEEE" w:val="clear"/>
            <w:vAlign w:val="center"/>
          </w:tcPr>
          <w:p>
            <w:pPr>
              <w:pStyle w:val="TableContents"/>
              <w:bidi w:val="0"/>
              <w:spacing w:before="0" w:after="283"/>
              <w:jc w:val="left"/>
              <w:rPr/>
            </w:pPr>
            <w:r>
              <w:rPr/>
              <w:t>Sales of ETH</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20" w:name="xdx_989_eus-gaap--CryptoAssetSale_d0_c20"/>
            <w:bookmarkEnd w:id="520"/>
          </w:p>
        </w:tc>
        <w:tc>
          <w:tcPr>
            <w:tcW w:w="98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Change in fair value of BTC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21" w:name="xdx_980_eus-gaap--CryptoAssetPeriodIncre"/>
            <w:bookmarkEnd w:id="521"/>
          </w:p>
        </w:tc>
        <w:tc>
          <w:tcPr>
            <w:tcW w:w="980" w:type="dxa"/>
            <w:tcBorders/>
            <w:shd w:fill="FFFFFF" w:val="clear"/>
            <w:vAlign w:val="center"/>
          </w:tcPr>
          <w:p>
            <w:pPr>
              <w:pStyle w:val="TableContents"/>
              <w:bidi w:val="0"/>
              <w:spacing w:before="0" w:after="283"/>
              <w:jc w:val="right"/>
              <w:rPr/>
            </w:pPr>
            <w:r>
              <w:rPr/>
              <w:t>(4,017</w:t>
            </w:r>
          </w:p>
        </w:tc>
        <w:tc>
          <w:tcPr>
            <w:tcW w:w="110" w:type="dxa"/>
            <w:tcBorders/>
            <w:shd w:fill="FFFFFF" w:val="clear"/>
            <w:vAlign w:val="center"/>
          </w:tcPr>
          <w:p>
            <w:pPr>
              <w:pStyle w:val="TableContents"/>
              <w:bidi w:val="0"/>
              <w:spacing w:before="0" w:after="283"/>
              <w:jc w:val="left"/>
              <w:rPr/>
            </w:pPr>
            <w:r>
              <w:rPr/>
              <w:t>)</w:t>
            </w:r>
          </w:p>
        </w:tc>
      </w:tr>
      <w:tr>
        <w:trPr/>
        <w:tc>
          <w:tcPr>
            <w:tcW w:w="6440" w:type="dxa"/>
            <w:tcBorders/>
            <w:shd w:fill="EEEEEE" w:val="clear"/>
            <w:vAlign w:val="center"/>
          </w:tcPr>
          <w:p>
            <w:pPr>
              <w:pStyle w:val="TableContents"/>
              <w:bidi w:val="0"/>
              <w:spacing w:before="0" w:after="283"/>
              <w:jc w:val="left"/>
              <w:rPr/>
            </w:pPr>
            <w:r>
              <w:rPr/>
              <w:t>Change in fair value of ETH</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22" w:name="xdx_983_eus-gaap--CryptoAssetPeriodIncre"/>
            <w:bookmarkEnd w:id="522"/>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9,776</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23" w:name="xdx_986_eus-gaap--CryptoAssetFairValue_i"/>
            <w:bookmarkEnd w:id="52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2,214,759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4" w:name="xdx_8A0_zJt7WdvAi3Ma"/>
      <w:bookmarkEnd w:id="524"/>
      <w:r>
        <w:rPr>
          <w:caps w:val="false"/>
          <w:smallCaps w:val="false"/>
        </w:rPr>
        <w:t> </w:t>
      </w:r>
    </w:p>
    <w:p>
      <w:pPr>
        <w:pStyle w:val="TextBody"/>
        <w:bidi w:val="0"/>
        <w:spacing w:before="0" w:after="0"/>
        <w:ind w:left="0" w:right="0" w:hanging="0"/>
        <w:jc w:val="both"/>
        <w:rPr>
          <w:caps w:val="false"/>
          <w:smallCaps w:val="false"/>
        </w:rPr>
      </w:pPr>
      <w:bookmarkStart w:id="525" w:name="xdx_235_z4nc1bCAlKTl"/>
      <w:bookmarkEnd w:id="525"/>
      <w:r>
        <w:rPr>
          <w:caps w:val="false"/>
          <w:smallCaps w:val="false"/>
        </w:rPr>
        <w:t> </w:t>
      </w:r>
    </w:p>
    <w:p>
      <w:pPr>
        <w:pStyle w:val="TextBody"/>
        <w:bidi w:val="0"/>
        <w:spacing w:before="0" w:after="0"/>
        <w:ind w:left="0" w:right="0" w:hanging="0"/>
        <w:jc w:val="both"/>
        <w:rPr>
          <w:caps w:val="false"/>
          <w:smallCaps w:val="false"/>
        </w:rPr>
      </w:pPr>
      <w:bookmarkStart w:id="526" w:name="xdx_23C_zCWsHdXhRRIc"/>
      <w:bookmarkEnd w:id="52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27" w:name="xdx_230_z16yRUBKc6j7"/>
      <w:bookmarkEnd w:id="5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December 31, 2025, the Company recognized a net unrealized gain of $</w:t>
      </w:r>
      <w:bookmarkStart w:id="528" w:name="xdx_908_ecustom--CryptoAssetUnrealizedGa"/>
      <w:bookmarkStart w:id="529" w:name="xdx_905_ecustom--CryptoAssetUnrealizedGa"/>
      <w:bookmarkEnd w:id="528"/>
      <w:bookmarkEnd w:id="529"/>
      <w:r>
        <w:rPr>
          <w:rFonts w:ascii="Times New Roman;Times;Serif" w:hAnsi="Times New Roman;Times;Serif"/>
          <w:b w:val="false"/>
          <w:i w:val="false"/>
          <w:caps w:val="false"/>
          <w:smallCaps w:val="false"/>
          <w:sz w:val="20"/>
        </w:rPr>
        <w:t>5,759 on its digital asset holdings, consisting of an unrealized loss of $</w:t>
      </w:r>
      <w:bookmarkStart w:id="530" w:name="xdx_901_ecustom--CryptoAssetUnrealizedLo"/>
      <w:bookmarkEnd w:id="530"/>
      <w:r>
        <w:rPr>
          <w:rFonts w:ascii="Times New Roman;Times;Serif" w:hAnsi="Times New Roman;Times;Serif"/>
          <w:b w:val="false"/>
          <w:i w:val="false"/>
          <w:caps w:val="false"/>
          <w:smallCaps w:val="false"/>
          <w:sz w:val="20"/>
        </w:rPr>
        <w:t>4,017 related to BTC and an unrealized gain of $</w:t>
      </w:r>
      <w:bookmarkStart w:id="531" w:name="xdx_903_ecustom--CryptoAssetsUnrealizedG"/>
      <w:bookmarkEnd w:id="531"/>
      <w:r>
        <w:rPr>
          <w:rFonts w:ascii="Times New Roman;Times;Serif" w:hAnsi="Times New Roman;Times;Serif"/>
          <w:b w:val="false"/>
          <w:i w:val="false"/>
          <w:caps w:val="false"/>
          <w:smallCaps w:val="false"/>
          <w:sz w:val="20"/>
        </w:rPr>
        <w:t>9,776 related to ETH.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consisted of the following at December 31, 2025: </w:t>
      </w:r>
    </w:p>
    <w:p>
      <w:pPr>
        <w:pStyle w:val="Normal"/>
        <w:bidi w:val="0"/>
        <w:spacing w:before="0" w:after="0"/>
        <w:jc w:val="left"/>
        <w:rPr>
          <w:sz w:val="4"/>
          <w:szCs w:val="4"/>
        </w:rPr>
      </w:pPr>
      <w:r>
        <w:rPr>
          <w:sz w:val="4"/>
          <w:szCs w:val="4"/>
        </w:rPr>
      </w:r>
      <w:bookmarkStart w:id="532" w:name="xdx_89A_eus-gaap--CryptoAssetHoldingTabl"/>
      <w:bookmarkStart w:id="533" w:name="xdx_89A_eus-gaap--CryptoAssetHoldingTabl"/>
      <w:bookmarkEnd w:id="533"/>
    </w:p>
    <w:tbl>
      <w:tblPr>
        <w:tblW w:w="5760" w:type="dxa"/>
        <w:jc w:val="left"/>
        <w:tblInd w:w="0" w:type="dxa"/>
        <w:tblLayout w:type="fixed"/>
        <w:tblCellMar>
          <w:top w:w="0" w:type="dxa"/>
          <w:left w:w="0" w:type="dxa"/>
          <w:bottom w:w="0" w:type="dxa"/>
          <w:right w:w="0" w:type="dxa"/>
        </w:tblCellMar>
      </w:tblPr>
      <w:tblGrid>
        <w:gridCol w:w="2405"/>
        <w:gridCol w:w="60"/>
        <w:gridCol w:w="60"/>
        <w:gridCol w:w="680"/>
        <w:gridCol w:w="60"/>
        <w:gridCol w:w="60"/>
        <w:gridCol w:w="140"/>
        <w:gridCol w:w="980"/>
        <w:gridCol w:w="60"/>
        <w:gridCol w:w="60"/>
        <w:gridCol w:w="140"/>
        <w:gridCol w:w="980"/>
        <w:gridCol w:w="75"/>
      </w:tblGrid>
      <w:tr>
        <w:trPr/>
        <w:tc>
          <w:tcPr>
            <w:tcW w:w="2405" w:type="dxa"/>
            <w:tcBorders/>
            <w:vAlign w:val="center"/>
          </w:tcPr>
          <w:p>
            <w:pPr>
              <w:pStyle w:val="TableContents"/>
              <w:bidi w:val="0"/>
              <w:spacing w:before="0" w:after="283"/>
              <w:jc w:val="left"/>
              <w:rPr/>
            </w:pPr>
            <w:bookmarkStart w:id="534" w:name="xdx_8BA_zxdbMGS9XEz6"/>
            <w:bookmarkEnd w:id="534"/>
            <w:r>
              <w:rPr/>
              <w:t>Schedule of digital assets</w:t>
            </w:r>
          </w:p>
        </w:tc>
        <w:tc>
          <w:tcPr>
            <w:tcW w:w="60" w:type="dxa"/>
            <w:tcBorders/>
            <w:vAlign w:val="center"/>
          </w:tcPr>
          <w:p>
            <w:pPr>
              <w:pStyle w:val="TableContents"/>
              <w:bidi w:val="0"/>
              <w:spacing w:before="0" w:after="283"/>
              <w:jc w:val="left"/>
              <w:rPr/>
            </w:pPr>
            <w:r>
              <w:rPr/>
              <w:t> </w:t>
            </w:r>
          </w:p>
        </w:tc>
        <w:tc>
          <w:tcPr>
            <w:tcW w:w="3220" w:type="dxa"/>
            <w:gridSpan w:val="10"/>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0" w:type="dxa"/>
            <w:gridSpan w:val="10"/>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75" w:type="dxa"/>
            <w:tcBorders/>
            <w:vAlign w:val="center"/>
          </w:tcPr>
          <w:p>
            <w:pPr>
              <w:pStyle w:val="TableContents"/>
              <w:bidi w:val="0"/>
              <w:spacing w:before="0" w:after="283"/>
              <w:jc w:val="left"/>
              <w:rPr/>
            </w:pPr>
            <w:r>
              <w:rPr/>
              <w:t> </w:t>
            </w:r>
          </w:p>
        </w:tc>
      </w:tr>
      <w:tr>
        <w:trPr/>
        <w:tc>
          <w:tcPr>
            <w:tcW w:w="2405" w:type="dxa"/>
            <w:tcBorders>
              <w:bottom w:val="single" w:sz="8" w:space="0" w:color="000000"/>
            </w:tcBorders>
            <w:tcMar>
              <w:bottom w:w="28" w:type="dxa"/>
            </w:tcMar>
            <w:vAlign w:val="center"/>
          </w:tcPr>
          <w:p>
            <w:pPr>
              <w:pStyle w:val="TableContents"/>
              <w:bidi w:val="0"/>
              <w:spacing w:before="0" w:after="283"/>
              <w:jc w:val="left"/>
              <w:rPr/>
            </w:pPr>
            <w:r>
              <w:rPr/>
              <w:t>Digital assets held:</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75" w:type="dxa"/>
            <w:tcBorders/>
            <w:vAlign w:val="center"/>
          </w:tcPr>
          <w:p>
            <w:pPr>
              <w:pStyle w:val="TableContents"/>
              <w:bidi w:val="0"/>
              <w:spacing w:before="0" w:after="283"/>
              <w:jc w:val="left"/>
              <w:rPr/>
            </w:pPr>
            <w:r>
              <w:rPr/>
              <w:t> </w:t>
            </w:r>
          </w:p>
        </w:tc>
      </w:tr>
      <w:tr>
        <w:trPr/>
        <w:tc>
          <w:tcPr>
            <w:tcW w:w="2405" w:type="dxa"/>
            <w:tcBorders/>
            <w:shd w:fill="EEEEEE" w:val="clear"/>
            <w:vAlign w:val="center"/>
          </w:tcPr>
          <w:p>
            <w:pPr>
              <w:pStyle w:val="TableContents"/>
              <w:bidi w:val="0"/>
              <w:spacing w:before="0" w:after="283"/>
              <w:jc w:val="left"/>
              <w:rPr/>
            </w:pPr>
            <w:r>
              <w:rPr/>
              <w:t>BTC</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bookmarkStart w:id="535" w:name="xdx_901_eus-gaap--CryptoAssetNumberOfUni"/>
            <w:bookmarkEnd w:id="535"/>
            <w:r>
              <w:rPr/>
              <w:t>15.12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536" w:name="xdx_985_eus-gaap--CryptoAssetCost_iI_c20"/>
            <w:bookmarkEnd w:id="536"/>
          </w:p>
        </w:tc>
        <w:tc>
          <w:tcPr>
            <w:tcW w:w="980" w:type="dxa"/>
            <w:tcBorders/>
            <w:shd w:fill="EEEEEE" w:val="clear"/>
            <w:vAlign w:val="center"/>
          </w:tcPr>
          <w:p>
            <w:pPr>
              <w:pStyle w:val="TableContents"/>
              <w:bidi w:val="0"/>
              <w:spacing w:before="0" w:after="283"/>
              <w:jc w:val="right"/>
              <w:rPr/>
            </w:pPr>
            <w:r>
              <w:rPr/>
              <w:t>1,325,400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537" w:name="xdx_98E_eus-gaap--CryptoAssetFairValue_i"/>
            <w:bookmarkEnd w:id="537"/>
          </w:p>
        </w:tc>
        <w:tc>
          <w:tcPr>
            <w:tcW w:w="980" w:type="dxa"/>
            <w:tcBorders/>
            <w:shd w:fill="EEEEEE" w:val="clear"/>
            <w:vAlign w:val="center"/>
          </w:tcPr>
          <w:p>
            <w:pPr>
              <w:pStyle w:val="TableContents"/>
              <w:bidi w:val="0"/>
              <w:spacing w:before="0" w:after="283"/>
              <w:jc w:val="right"/>
              <w:rPr/>
            </w:pPr>
            <w:r>
              <w:rPr/>
              <w:t>1,321,383</w:t>
            </w:r>
          </w:p>
        </w:tc>
        <w:tc>
          <w:tcPr>
            <w:tcW w:w="75" w:type="dxa"/>
            <w:tcBorders/>
            <w:shd w:fill="EEEEEE"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ETH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538" w:name="xdx_90D_eus-gaap--CryptoAssetNumberOfUni"/>
            <w:bookmarkEnd w:id="538"/>
            <w:r>
              <w:rPr/>
              <w:t>301.10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9" w:name="xdx_983_eus-gaap--CryptoAssetCost_iI_c20"/>
            <w:bookmarkEnd w:id="53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883,600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0" w:name="xdx_986_eus-gaap--CryptoAssetFairValue_i"/>
            <w:bookmarkEnd w:id="540"/>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893,376</w:t>
            </w:r>
          </w:p>
        </w:tc>
        <w:tc>
          <w:tcPr>
            <w:tcW w:w="75" w:type="dxa"/>
            <w:tcBorders/>
            <w:shd w:fill="FFFFFF" w:val="clear"/>
            <w:vAlign w:val="center"/>
          </w:tcPr>
          <w:p>
            <w:pPr>
              <w:pStyle w:val="TableContents"/>
              <w:bidi w:val="0"/>
              <w:spacing w:before="0" w:after="283"/>
              <w:jc w:val="left"/>
              <w:rPr/>
            </w:pPr>
            <w:r>
              <w:rPr/>
              <w:t> </w:t>
            </w:r>
          </w:p>
        </w:tc>
      </w:tr>
      <w:tr>
        <w:trPr/>
        <w:tc>
          <w:tcPr>
            <w:tcW w:w="240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41" w:name="xdx_988_eus-gaap--CryptoAssetCost_iI_c20"/>
            <w:bookmarkEnd w:id="541"/>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2,209,000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42" w:name="xdx_988_eus-gaap--CryptoAssetFairValue_i"/>
            <w:bookmarkEnd w:id="542"/>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2,214,759</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3" w:name="xdx_8A4_zzbeqivT7IJ3"/>
      <w:bookmarkEnd w:id="54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4" w:name="xdx_80A_eus-gaap--IntangibleAssetsDisclo"/>
      <w:bookmarkEnd w:id="544"/>
      <w:r>
        <w:rPr>
          <w:rFonts w:ascii="Times New Roman;Times;Serif" w:hAnsi="Times New Roman;Times;Serif"/>
          <w:b/>
          <w:i w:val="false"/>
          <w:caps w:val="false"/>
          <w:smallCaps w:val="false"/>
          <w:sz w:val="20"/>
        </w:rPr>
        <w:t xml:space="preserve">Note 9 – </w:t>
      </w:r>
      <w:bookmarkStart w:id="545" w:name="xdx_820_zxZDSUroxNpd"/>
      <w:bookmarkEnd w:id="545"/>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2025, intangible assets, net, consisted of the following: </w:t>
      </w:r>
    </w:p>
    <w:p>
      <w:pPr>
        <w:pStyle w:val="Normal"/>
        <w:bidi w:val="0"/>
        <w:spacing w:before="0" w:after="0"/>
        <w:jc w:val="left"/>
        <w:rPr>
          <w:sz w:val="4"/>
          <w:szCs w:val="4"/>
        </w:rPr>
      </w:pPr>
      <w:r>
        <w:rPr>
          <w:sz w:val="4"/>
          <w:szCs w:val="4"/>
        </w:rPr>
      </w:r>
      <w:bookmarkStart w:id="546" w:name="xdx_89A_eus-gaap--ScheduleOfFiniteLivedI"/>
      <w:bookmarkStart w:id="547" w:name="xdx_89A_eus-gaap--ScheduleOfFiniteLivedI"/>
      <w:bookmarkEnd w:id="547"/>
    </w:p>
    <w:tbl>
      <w:tblPr>
        <w:tblW w:w="6848" w:type="dxa"/>
        <w:jc w:val="left"/>
        <w:tblInd w:w="0" w:type="dxa"/>
        <w:tblLayout w:type="fixed"/>
        <w:tblCellMar>
          <w:top w:w="0" w:type="dxa"/>
          <w:left w:w="0" w:type="dxa"/>
          <w:bottom w:w="0" w:type="dxa"/>
          <w:right w:w="0" w:type="dxa"/>
        </w:tblCellMar>
      </w:tblPr>
      <w:tblGrid>
        <w:gridCol w:w="3155"/>
        <w:gridCol w:w="60"/>
        <w:gridCol w:w="229"/>
        <w:gridCol w:w="1725"/>
        <w:gridCol w:w="95"/>
        <w:gridCol w:w="60"/>
        <w:gridCol w:w="165"/>
        <w:gridCol w:w="1249"/>
        <w:gridCol w:w="110"/>
      </w:tblGrid>
      <w:tr>
        <w:trPr/>
        <w:tc>
          <w:tcPr>
            <w:tcW w:w="3155" w:type="dxa"/>
            <w:tcBorders/>
            <w:vAlign w:val="center"/>
          </w:tcPr>
          <w:p>
            <w:pPr>
              <w:pStyle w:val="TableContents"/>
              <w:bidi w:val="0"/>
              <w:spacing w:before="0" w:after="283"/>
              <w:jc w:val="left"/>
              <w:rPr/>
            </w:pPr>
            <w:bookmarkStart w:id="548" w:name="xdx_8B1_zzKWiaBXGSR4"/>
            <w:bookmarkEnd w:id="548"/>
            <w:r>
              <w:rPr/>
              <w:t>Schedule of intangible assets, net</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left"/>
              <w:rPr/>
            </w:pPr>
            <w:r>
              <w:rPr/>
              <w:t> </w:t>
            </w:r>
          </w:p>
        </w:tc>
      </w:tr>
      <w:tr>
        <w:trPr/>
        <w:tc>
          <w:tcPr>
            <w:tcW w:w="3155" w:type="dxa"/>
            <w:tcBorders/>
            <w:shd w:fill="EEEEEE" w:val="clear"/>
            <w:vAlign w:val="center"/>
          </w:tcPr>
          <w:p>
            <w:pPr>
              <w:pStyle w:val="TableContents"/>
              <w:bidi w:val="0"/>
              <w:spacing w:before="0" w:after="283"/>
              <w:jc w:val="left"/>
              <w:rPr/>
            </w:pPr>
            <w:r>
              <w:rPr/>
              <w:t>Covenant not to compete</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bookmarkStart w:id="549" w:name="xdx_98C_eus-gaap--FiniteLivedIntangibleA"/>
            <w:bookmarkEnd w:id="549"/>
          </w:p>
        </w:tc>
        <w:tc>
          <w:tcPr>
            <w:tcW w:w="1725" w:type="dxa"/>
            <w:tcBorders/>
            <w:shd w:fill="EEEEEE" w:val="clear"/>
            <w:vAlign w:val="center"/>
          </w:tcPr>
          <w:p>
            <w:pPr>
              <w:pStyle w:val="TableContents"/>
              <w:bidi w:val="0"/>
              <w:spacing w:before="0" w:after="283"/>
              <w:jc w:val="right"/>
              <w:rPr/>
            </w:pPr>
            <w:r>
              <w:rPr/>
              <w:t>3,459,120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bookmarkStart w:id="550" w:name="xdx_984_eus-gaap--FiniteLivedIntangibleA"/>
            <w:bookmarkEnd w:id="550"/>
          </w:p>
        </w:tc>
        <w:tc>
          <w:tcPr>
            <w:tcW w:w="1249" w:type="dxa"/>
            <w:tcBorders/>
            <w:shd w:fill="EEEEEE" w:val="clear"/>
            <w:vAlign w:val="center"/>
          </w:tcPr>
          <w:p>
            <w:pPr>
              <w:pStyle w:val="TableContents"/>
              <w:bidi w:val="0"/>
              <w:spacing w:before="0" w:after="283"/>
              <w:jc w:val="right"/>
              <w:rPr/>
            </w:pPr>
            <w:r>
              <w:rPr/>
              <w:t>3,459,120</w:t>
            </w:r>
          </w:p>
        </w:tc>
        <w:tc>
          <w:tcPr>
            <w:tcW w:w="110" w:type="dxa"/>
            <w:tcBorders/>
            <w:shd w:fill="EEEEEE"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Supplier relationships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bookmarkStart w:id="551" w:name="xdx_988_eus-gaap--FiniteLivedIntangibleA"/>
            <w:bookmarkEnd w:id="551"/>
          </w:p>
        </w:tc>
        <w:tc>
          <w:tcPr>
            <w:tcW w:w="1725" w:type="dxa"/>
            <w:tcBorders/>
            <w:shd w:fill="FFFFFF" w:val="clear"/>
            <w:vAlign w:val="center"/>
          </w:tcPr>
          <w:p>
            <w:pPr>
              <w:pStyle w:val="TableContents"/>
              <w:bidi w:val="0"/>
              <w:spacing w:before="0" w:after="283"/>
              <w:jc w:val="right"/>
              <w:rPr/>
            </w:pPr>
            <w:r>
              <w:rPr/>
              <w:t>1,179,246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552" w:name="xdx_98A_eus-gaap--FiniteLivedIntangibleA"/>
            <w:bookmarkEnd w:id="552"/>
          </w:p>
        </w:tc>
        <w:tc>
          <w:tcPr>
            <w:tcW w:w="1249" w:type="dxa"/>
            <w:tcBorders/>
            <w:shd w:fill="FFFFFF" w:val="clear"/>
            <w:vAlign w:val="center"/>
          </w:tcPr>
          <w:p>
            <w:pPr>
              <w:pStyle w:val="TableContents"/>
              <w:bidi w:val="0"/>
              <w:spacing w:before="0" w:after="283"/>
              <w:jc w:val="right"/>
              <w:rPr/>
            </w:pPr>
            <w:r>
              <w:rPr/>
              <w:t>1,179,246</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EEEEEE" w:val="clear"/>
            <w:vAlign w:val="center"/>
          </w:tcPr>
          <w:p>
            <w:pPr>
              <w:pStyle w:val="TableContents"/>
              <w:bidi w:val="0"/>
              <w:spacing w:before="0" w:after="283"/>
              <w:jc w:val="left"/>
              <w:rPr/>
            </w:pPr>
            <w:r>
              <w:rPr/>
              <w:t>Software</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bookmarkStart w:id="553" w:name="xdx_986_eus-gaap--FiniteLivedIntangibleA"/>
            <w:bookmarkEnd w:id="553"/>
          </w:p>
        </w:tc>
        <w:tc>
          <w:tcPr>
            <w:tcW w:w="1725" w:type="dxa"/>
            <w:tcBorders/>
            <w:shd w:fill="EEEEEE" w:val="clear"/>
            <w:vAlign w:val="center"/>
          </w:tcPr>
          <w:p>
            <w:pPr>
              <w:pStyle w:val="TableContents"/>
              <w:bidi w:val="0"/>
              <w:spacing w:before="0" w:after="283"/>
              <w:jc w:val="right"/>
              <w:rPr/>
            </w:pPr>
            <w:r>
              <w:rPr/>
              <w:t>534,591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554" w:name="xdx_980_eus-gaap--FiniteLivedIntangibleA"/>
            <w:bookmarkEnd w:id="554"/>
          </w:p>
        </w:tc>
        <w:tc>
          <w:tcPr>
            <w:tcW w:w="1249" w:type="dxa"/>
            <w:tcBorders/>
            <w:shd w:fill="EEEEEE" w:val="clear"/>
            <w:vAlign w:val="center"/>
          </w:tcPr>
          <w:p>
            <w:pPr>
              <w:pStyle w:val="TableContents"/>
              <w:bidi w:val="0"/>
              <w:spacing w:before="0" w:after="283"/>
              <w:jc w:val="right"/>
              <w:rPr/>
            </w:pPr>
            <w:r>
              <w:rPr/>
              <w:t>534,590</w:t>
            </w:r>
          </w:p>
        </w:tc>
        <w:tc>
          <w:tcPr>
            <w:tcW w:w="110" w:type="dxa"/>
            <w:tcBorders/>
            <w:shd w:fill="EEEEEE"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5" w:name="xdx_987_eus-gaap--FiniteLivedIntangibleA"/>
            <w:bookmarkEnd w:id="555"/>
          </w:p>
        </w:tc>
        <w:tc>
          <w:tcPr>
            <w:tcW w:w="1725" w:type="dxa"/>
            <w:tcBorders>
              <w:bottom w:val="single" w:sz="8" w:space="0" w:color="000000"/>
            </w:tcBorders>
            <w:shd w:fill="FFFFFF" w:val="clear"/>
            <w:tcMar>
              <w:bottom w:w="28" w:type="dxa"/>
            </w:tcMar>
            <w:vAlign w:val="center"/>
          </w:tcPr>
          <w:p>
            <w:pPr>
              <w:pStyle w:val="TableContents"/>
              <w:bidi w:val="0"/>
              <w:spacing w:before="0" w:after="283"/>
              <w:jc w:val="right"/>
              <w:rPr/>
            </w:pPr>
            <w:r>
              <w:rPr/>
              <w:t>(2,516,314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6" w:name="xdx_98C_eus-gaap--FiniteLivedIntangibleA"/>
            <w:bookmarkEnd w:id="556"/>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(2,191,628</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22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57" w:name="xdx_982_eus-gaap--FiniteLivedIntangibleA"/>
            <w:bookmarkEnd w:id="557"/>
          </w:p>
        </w:tc>
        <w:tc>
          <w:tcPr>
            <w:tcW w:w="1725" w:type="dxa"/>
            <w:tcBorders>
              <w:bottom w:val="double" w:sz="6" w:space="0" w:color="000000"/>
            </w:tcBorders>
            <w:shd w:fill="EEEEEE" w:val="clear"/>
            <w:tcMar>
              <w:bottom w:w="28" w:type="dxa"/>
            </w:tcMar>
            <w:vAlign w:val="center"/>
          </w:tcPr>
          <w:p>
            <w:pPr>
              <w:pStyle w:val="TableContents"/>
              <w:bidi w:val="0"/>
              <w:spacing w:before="0" w:after="283"/>
              <w:jc w:val="right"/>
              <w:rPr/>
            </w:pPr>
            <w:r>
              <w:rPr/>
              <w:t>2,656,643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58" w:name="xdx_98E_eus-gaap--FiniteLivedIntangibleA"/>
            <w:bookmarkEnd w:id="558"/>
          </w:p>
        </w:tc>
        <w:tc>
          <w:tcPr>
            <w:tcW w:w="1249" w:type="dxa"/>
            <w:tcBorders>
              <w:bottom w:val="double" w:sz="6" w:space="0" w:color="000000"/>
            </w:tcBorders>
            <w:shd w:fill="EEEEEE" w:val="clear"/>
            <w:tcMar>
              <w:bottom w:w="28" w:type="dxa"/>
            </w:tcMar>
            <w:vAlign w:val="center"/>
          </w:tcPr>
          <w:p>
            <w:pPr>
              <w:pStyle w:val="TableContents"/>
              <w:bidi w:val="0"/>
              <w:spacing w:before="0" w:after="283"/>
              <w:jc w:val="right"/>
              <w:rPr/>
            </w:pPr>
            <w:r>
              <w:rPr/>
              <w:t>2,981,328</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9" w:name="xdx_8A0_zE16uU7WgdC5"/>
      <w:bookmarkEnd w:id="5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intangible assets were acquired on February 15, 2022 through acquisition of Anivia. The weighted average remaining life for finite-lived intangible assets at December 31, 2025 was approximately </w:t>
      </w:r>
      <w:bookmarkStart w:id="560" w:name="xdx_908_eus-gaap--FiniteLivedIntangibleA"/>
      <w:bookmarkEnd w:id="560"/>
      <w:r>
        <w:rPr>
          <w:rFonts w:ascii="Times New Roman;Times;Serif" w:hAnsi="Times New Roman;Times;Serif"/>
          <w:b w:val="false"/>
          <w:i w:val="false"/>
          <w:caps w:val="false"/>
          <w:smallCaps w:val="false"/>
          <w:sz w:val="20"/>
        </w:rPr>
        <w:t>4.7 years. The amortization expense for the three and six months ended December 31, 2025 was $</w:t>
      </w:r>
      <w:bookmarkStart w:id="561" w:name="xdx_907_eus-gaap--AmortizationOfIntangib"/>
      <w:bookmarkEnd w:id="561"/>
      <w:r>
        <w:rPr>
          <w:rFonts w:ascii="Times New Roman;Times;Serif" w:hAnsi="Times New Roman;Times;Serif"/>
          <w:b w:val="false"/>
          <w:i w:val="false"/>
          <w:caps w:val="false"/>
          <w:smallCaps w:val="false"/>
          <w:sz w:val="20"/>
        </w:rPr>
        <w:t>162,343 and $</w:t>
      </w:r>
      <w:bookmarkStart w:id="562" w:name="xdx_902_eus-gaap--AmortizationOfIntangib"/>
      <w:bookmarkEnd w:id="562"/>
      <w:r>
        <w:rPr>
          <w:rFonts w:ascii="Times New Roman;Times;Serif" w:hAnsi="Times New Roman;Times;Serif"/>
          <w:b w:val="false"/>
          <w:i w:val="false"/>
          <w:caps w:val="false"/>
          <w:smallCaps w:val="false"/>
          <w:sz w:val="20"/>
        </w:rPr>
        <w:t>324,686, respectively. The amortization expense for the three and six months ended December 31, 2024 was $</w:t>
      </w:r>
      <w:bookmarkStart w:id="563" w:name="xdx_907_eus-gaap--AmortizationOfIntangib"/>
      <w:bookmarkEnd w:id="563"/>
      <w:r>
        <w:rPr>
          <w:rFonts w:ascii="Times New Roman;Times;Serif" w:hAnsi="Times New Roman;Times;Serif"/>
          <w:b w:val="false"/>
          <w:i w:val="false"/>
          <w:caps w:val="false"/>
          <w:smallCaps w:val="false"/>
          <w:sz w:val="20"/>
        </w:rPr>
        <w:t>162,343 and $</w:t>
      </w:r>
      <w:bookmarkStart w:id="564" w:name="xdx_905_eus-gaap--AmortizationOfIntangib"/>
      <w:bookmarkEnd w:id="564"/>
      <w:r>
        <w:rPr>
          <w:rFonts w:ascii="Times New Roman;Times;Serif" w:hAnsi="Times New Roman;Times;Serif"/>
          <w:b w:val="false"/>
          <w:i w:val="false"/>
          <w:caps w:val="false"/>
          <w:smallCaps w:val="false"/>
          <w:sz w:val="20"/>
        </w:rPr>
        <w:t>324,686, respectively. At December 31, 2025, finite-lived intangible assets are expected to be amortized over their estimated useful lives, which ranges from a period of five to 10 years, and the estimated remaining amortization expense for each of the five succeeding years thereafter is as follows: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65" w:name="xdx_894_eus-gaap--ScheduleofFiniteLivedI"/>
      <w:bookmarkStart w:id="566" w:name="xdx_894_eus-gaap--ScheduleofFiniteLivedI"/>
      <w:bookmarkEnd w:id="566"/>
    </w:p>
    <w:tbl>
      <w:tblPr>
        <w:tblW w:w="4665" w:type="dxa"/>
        <w:jc w:val="left"/>
        <w:tblInd w:w="0" w:type="dxa"/>
        <w:tblLayout w:type="fixed"/>
        <w:tblCellMar>
          <w:top w:w="0" w:type="dxa"/>
          <w:left w:w="0" w:type="dxa"/>
          <w:bottom w:w="0" w:type="dxa"/>
          <w:right w:w="0" w:type="dxa"/>
        </w:tblCellMar>
      </w:tblPr>
      <w:tblGrid>
        <w:gridCol w:w="3410"/>
        <w:gridCol w:w="60"/>
        <w:gridCol w:w="140"/>
        <w:gridCol w:w="980"/>
        <w:gridCol w:w="75"/>
      </w:tblGrid>
      <w:tr>
        <w:trPr/>
        <w:tc>
          <w:tcPr>
            <w:tcW w:w="3410" w:type="dxa"/>
            <w:tcBorders/>
            <w:vAlign w:val="center"/>
          </w:tcPr>
          <w:p>
            <w:pPr>
              <w:pStyle w:val="TableContents"/>
              <w:bidi w:val="0"/>
              <w:spacing w:before="0" w:after="283"/>
              <w:jc w:val="left"/>
              <w:rPr>
                <w:b/>
              </w:rPr>
            </w:pPr>
            <w:bookmarkStart w:id="567" w:name="xdx_8BE_zqT9WM1AlgXh"/>
            <w:bookmarkEnd w:id="567"/>
            <w:r>
              <w:rPr>
                <w:b/>
              </w:rPr>
              <w:t>Schedule of amortization expense</w:t>
            </w:r>
          </w:p>
        </w:tc>
        <w:tc>
          <w:tcPr>
            <w:tcW w:w="60" w:type="dxa"/>
            <w:tcBorders/>
            <w:vAlign w:val="center"/>
          </w:tcPr>
          <w:p>
            <w:pPr>
              <w:pStyle w:val="TableContents"/>
              <w:bidi w:val="0"/>
              <w:spacing w:before="0" w:after="283"/>
              <w:jc w:val="left"/>
              <w:rPr/>
            </w:pPr>
            <w:r>
              <w:rPr/>
              <w:t> </w:t>
            </w:r>
            <w:bookmarkStart w:id="568" w:name="xdx_49E_20251231_zDHnnGXDaZ89"/>
            <w:bookmarkEnd w:id="568"/>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410" w:type="dxa"/>
            <w:tcBorders>
              <w:bottom w:val="single" w:sz="8" w:space="0" w:color="000000"/>
            </w:tcBorders>
            <w:tcMar>
              <w:bottom w:w="28" w:type="dxa"/>
            </w:tcMar>
            <w:vAlign w:val="center"/>
          </w:tcPr>
          <w:p>
            <w:pPr>
              <w:pStyle w:val="TableContents"/>
              <w:bidi w:val="0"/>
              <w:spacing w:before="0" w:after="283"/>
              <w:jc w:val="left"/>
              <w:rPr>
                <w:b/>
              </w:rPr>
            </w:pPr>
            <w:r>
              <w:rPr>
                <w:b/>
              </w:rPr>
              <w:t>Year Ending June 30,</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569" w:name="xdx_407_eus-gaap--FiniteLivedIntangibleA"/>
            <w:bookmarkEnd w:id="569"/>
          </w:p>
        </w:tc>
      </w:tr>
      <w:tr>
        <w:trPr/>
        <w:tc>
          <w:tcPr>
            <w:tcW w:w="3410" w:type="dxa"/>
            <w:tcBorders/>
            <w:shd w:fill="EEEEEE" w:val="clear"/>
            <w:vAlign w:val="center"/>
          </w:tcPr>
          <w:p>
            <w:pPr>
              <w:pStyle w:val="TableContents"/>
              <w:bidi w:val="0"/>
              <w:spacing w:before="0" w:after="283"/>
              <w:jc w:val="left"/>
              <w:rPr/>
            </w:pPr>
            <w:r>
              <w:rPr/>
              <w:t>2026</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324,686</w:t>
            </w:r>
          </w:p>
        </w:tc>
        <w:tc>
          <w:tcPr>
            <w:tcW w:w="75" w:type="dxa"/>
            <w:tcBorders/>
            <w:shd w:fill="EEEEEE" w:val="clear"/>
            <w:vAlign w:val="center"/>
          </w:tcPr>
          <w:p>
            <w:pPr>
              <w:pStyle w:val="TableContents"/>
              <w:bidi w:val="0"/>
              <w:spacing w:before="0" w:after="283"/>
              <w:jc w:val="left"/>
              <w:rPr/>
            </w:pPr>
            <w:r>
              <w:rPr/>
              <w:t> </w:t>
            </w:r>
            <w:bookmarkStart w:id="570" w:name="xdx_406_eus-gaap--FiniteLivedIntangibleA"/>
            <w:bookmarkEnd w:id="570"/>
          </w:p>
        </w:tc>
      </w:tr>
      <w:tr>
        <w:trPr/>
        <w:tc>
          <w:tcPr>
            <w:tcW w:w="34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609,277</w:t>
            </w:r>
          </w:p>
        </w:tc>
        <w:tc>
          <w:tcPr>
            <w:tcW w:w="75" w:type="dxa"/>
            <w:tcBorders/>
            <w:shd w:fill="FFFFFF" w:val="clear"/>
            <w:vAlign w:val="center"/>
          </w:tcPr>
          <w:p>
            <w:pPr>
              <w:pStyle w:val="TableContents"/>
              <w:bidi w:val="0"/>
              <w:spacing w:before="0" w:after="283"/>
              <w:jc w:val="left"/>
              <w:rPr/>
            </w:pPr>
            <w:r>
              <w:rPr/>
              <w:t> </w:t>
            </w:r>
            <w:bookmarkStart w:id="571" w:name="xdx_409_eus-gaap--FiniteLivedIntangibleA"/>
            <w:bookmarkEnd w:id="571"/>
          </w:p>
        </w:tc>
      </w:tr>
      <w:tr>
        <w:trPr/>
        <w:tc>
          <w:tcPr>
            <w:tcW w:w="3410" w:type="dxa"/>
            <w:tcBorders/>
            <w:shd w:fill="EEEEEE" w:val="clear"/>
            <w:vAlign w:val="center"/>
          </w:tcPr>
          <w:p>
            <w:pPr>
              <w:pStyle w:val="TableContents"/>
              <w:bidi w:val="0"/>
              <w:spacing w:before="0" w:after="283"/>
              <w:jc w:val="left"/>
              <w:rPr/>
            </w:pPr>
            <w:r>
              <w:rPr/>
              <w:t>2028</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468,750</w:t>
            </w:r>
          </w:p>
        </w:tc>
        <w:tc>
          <w:tcPr>
            <w:tcW w:w="75" w:type="dxa"/>
            <w:tcBorders/>
            <w:shd w:fill="EEEEEE" w:val="clear"/>
            <w:vAlign w:val="center"/>
          </w:tcPr>
          <w:p>
            <w:pPr>
              <w:pStyle w:val="TableContents"/>
              <w:bidi w:val="0"/>
              <w:spacing w:before="0" w:after="283"/>
              <w:jc w:val="left"/>
              <w:rPr/>
            </w:pPr>
            <w:r>
              <w:rPr/>
              <w:t> </w:t>
            </w:r>
            <w:bookmarkStart w:id="572" w:name="xdx_402_eus-gaap--FiniteLivedIntangibleA"/>
            <w:bookmarkEnd w:id="572"/>
          </w:p>
        </w:tc>
      </w:tr>
      <w:tr>
        <w:trPr/>
        <w:tc>
          <w:tcPr>
            <w:tcW w:w="341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345,912</w:t>
            </w:r>
          </w:p>
        </w:tc>
        <w:tc>
          <w:tcPr>
            <w:tcW w:w="75" w:type="dxa"/>
            <w:tcBorders/>
            <w:shd w:fill="FFFFFF" w:val="clear"/>
            <w:vAlign w:val="center"/>
          </w:tcPr>
          <w:p>
            <w:pPr>
              <w:pStyle w:val="TableContents"/>
              <w:bidi w:val="0"/>
              <w:spacing w:before="0" w:after="283"/>
              <w:jc w:val="left"/>
              <w:rPr/>
            </w:pPr>
            <w:r>
              <w:rPr/>
              <w:t> </w:t>
            </w:r>
            <w:bookmarkStart w:id="573" w:name="xdx_400_eus-gaap--FiniteLivedIntangibleA"/>
            <w:bookmarkEnd w:id="573"/>
          </w:p>
        </w:tc>
      </w:tr>
      <w:tr>
        <w:trPr/>
        <w:tc>
          <w:tcPr>
            <w:tcW w:w="3410" w:type="dxa"/>
            <w:tcBorders/>
            <w:shd w:fill="EEEEEE" w:val="clear"/>
            <w:vAlign w:val="center"/>
          </w:tcPr>
          <w:p>
            <w:pPr>
              <w:pStyle w:val="TableContents"/>
              <w:bidi w:val="0"/>
              <w:spacing w:before="0" w:after="283"/>
              <w:jc w:val="left"/>
              <w:rPr/>
            </w:pPr>
            <w:r>
              <w:rPr/>
              <w:t>2030</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345,912</w:t>
            </w:r>
          </w:p>
        </w:tc>
        <w:tc>
          <w:tcPr>
            <w:tcW w:w="75" w:type="dxa"/>
            <w:tcBorders/>
            <w:shd w:fill="EEEEEE" w:val="clear"/>
            <w:vAlign w:val="center"/>
          </w:tcPr>
          <w:p>
            <w:pPr>
              <w:pStyle w:val="TableContents"/>
              <w:bidi w:val="0"/>
              <w:spacing w:before="0" w:after="283"/>
              <w:jc w:val="left"/>
              <w:rPr/>
            </w:pPr>
            <w:r>
              <w:rPr/>
              <w:t> </w:t>
            </w:r>
            <w:bookmarkStart w:id="574" w:name="xdx_40A_eus-gaap--FiniteLivedIntangibleA"/>
            <w:bookmarkEnd w:id="574"/>
          </w:p>
        </w:tc>
      </w:tr>
      <w:tr>
        <w:trPr/>
        <w:tc>
          <w:tcPr>
            <w:tcW w:w="341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562,106</w:t>
            </w:r>
          </w:p>
        </w:tc>
        <w:tc>
          <w:tcPr>
            <w:tcW w:w="75" w:type="dxa"/>
            <w:tcBorders/>
            <w:shd w:fill="FFFFFF" w:val="clear"/>
            <w:vAlign w:val="center"/>
          </w:tcPr>
          <w:p>
            <w:pPr>
              <w:pStyle w:val="TableContents"/>
              <w:bidi w:val="0"/>
              <w:spacing w:before="0" w:after="283"/>
              <w:jc w:val="left"/>
              <w:rPr/>
            </w:pPr>
            <w:r>
              <w:rPr/>
              <w:t> </w:t>
            </w:r>
            <w:bookmarkStart w:id="575" w:name="xdx_409_eus-gaap--FiniteLivedIntangibleA"/>
            <w:bookmarkEnd w:id="575"/>
          </w:p>
        </w:tc>
      </w:tr>
      <w:tr>
        <w:trPr/>
        <w:tc>
          <w:tcPr>
            <w:tcW w:w="3410" w:type="dxa"/>
            <w:tcBorders/>
            <w:shd w:fill="EEEEEE" w:val="clear"/>
            <w:vAlign w:val="center"/>
          </w:tcPr>
          <w:p>
            <w:pPr>
              <w:pStyle w:val="TableContents"/>
              <w:bidi w:val="0"/>
              <w:spacing w:before="0" w:after="283"/>
              <w:jc w:val="left"/>
              <w:rPr/>
            </w:pPr>
            <w:r>
              <w:rPr/>
              <w:t>Intangible assets, net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2,656,643</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6" w:name="xdx_8A4_zYkND1Ng4dZa"/>
      <w:bookmarkEnd w:id="576"/>
      <w:r>
        <w:rPr>
          <w:caps w:val="false"/>
          <w:smallCaps w:val="false"/>
        </w:rPr>
        <w:t> </w:t>
      </w:r>
    </w:p>
    <w:p>
      <w:pPr>
        <w:pStyle w:val="TextBody"/>
        <w:bidi w:val="0"/>
        <w:spacing w:before="0" w:after="0"/>
        <w:ind w:left="0" w:right="0" w:hanging="0"/>
        <w:jc w:val="both"/>
        <w:rPr>
          <w:caps w:val="false"/>
          <w:smallCaps w:val="false"/>
        </w:rPr>
      </w:pPr>
      <w:bookmarkStart w:id="577" w:name="xdx_233_zZlj1EDxZrP9"/>
      <w:bookmarkEnd w:id="577"/>
      <w:r>
        <w:rPr>
          <w:caps w:val="false"/>
          <w:smallCaps w:val="false"/>
        </w:rPr>
        <w:t> </w:t>
      </w:r>
    </w:p>
    <w:p>
      <w:pPr>
        <w:pStyle w:val="TextBody"/>
        <w:bidi w:val="0"/>
        <w:spacing w:before="0" w:after="0"/>
        <w:ind w:left="0" w:right="0" w:hanging="0"/>
        <w:jc w:val="both"/>
        <w:rPr>
          <w:caps w:val="false"/>
          <w:smallCaps w:val="false"/>
        </w:rPr>
      </w:pPr>
      <w:bookmarkStart w:id="578" w:name="xdx_23A_zqmfHa0TGNlh"/>
      <w:bookmarkEnd w:id="57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79" w:name="xdx_235_zEqhTCGe3S5b"/>
      <w:bookmarkEnd w:id="57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0" w:name="xdx_80E_eus-gaap--AccountsPayableAndAccr"/>
      <w:bookmarkEnd w:id="580"/>
      <w:r>
        <w:rPr>
          <w:rFonts w:ascii="Times New Roman;Times;Serif" w:hAnsi="Times New Roman;Times;Serif"/>
          <w:b/>
          <w:i w:val="false"/>
          <w:caps w:val="false"/>
          <w:smallCaps w:val="false"/>
          <w:sz w:val="20"/>
        </w:rPr>
        <w:t xml:space="preserve">Note 10 – </w:t>
      </w:r>
      <w:bookmarkStart w:id="581" w:name="xdx_823_zLAcFX0nSmS8"/>
      <w:bookmarkEnd w:id="581"/>
      <w:r>
        <w:rPr>
          <w:rFonts w:ascii="Times New Roman;Times;Serif" w:hAnsi="Times New Roman;Times;Serif"/>
          <w:b/>
          <w:i w:val="false"/>
          <w:caps w:val="false"/>
          <w:smallCaps w:val="false"/>
          <w:sz w:val="20"/>
        </w:rPr>
        <w:t>Other Payables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2025, other payables and accrued liabilities consisted of the following: </w:t>
      </w:r>
    </w:p>
    <w:p>
      <w:pPr>
        <w:pStyle w:val="Normal"/>
        <w:bidi w:val="0"/>
        <w:spacing w:before="0" w:after="0"/>
        <w:jc w:val="left"/>
        <w:rPr>
          <w:sz w:val="4"/>
          <w:szCs w:val="4"/>
        </w:rPr>
      </w:pPr>
      <w:r>
        <w:rPr>
          <w:sz w:val="4"/>
          <w:szCs w:val="4"/>
        </w:rPr>
      </w:r>
      <w:bookmarkStart w:id="582" w:name="xdx_892_eus-gaap--ScheduleOfAccountsPaya"/>
      <w:bookmarkStart w:id="583" w:name="xdx_892_eus-gaap--ScheduleOfAccountsPaya"/>
      <w:bookmarkEnd w:id="583"/>
    </w:p>
    <w:tbl>
      <w:tblPr>
        <w:tblW w:w="8308" w:type="dxa"/>
        <w:jc w:val="left"/>
        <w:tblInd w:w="0" w:type="dxa"/>
        <w:tblLayout w:type="fixed"/>
        <w:tblCellMar>
          <w:top w:w="0" w:type="dxa"/>
          <w:left w:w="0" w:type="dxa"/>
          <w:bottom w:w="0" w:type="dxa"/>
          <w:right w:w="0" w:type="dxa"/>
        </w:tblCellMar>
      </w:tblPr>
      <w:tblGrid>
        <w:gridCol w:w="4685"/>
        <w:gridCol w:w="60"/>
        <w:gridCol w:w="290"/>
        <w:gridCol w:w="1664"/>
        <w:gridCol w:w="60"/>
        <w:gridCol w:w="60"/>
        <w:gridCol w:w="176"/>
        <w:gridCol w:w="1238"/>
        <w:gridCol w:w="75"/>
      </w:tblGrid>
      <w:tr>
        <w:trPr/>
        <w:tc>
          <w:tcPr>
            <w:tcW w:w="4685" w:type="dxa"/>
            <w:tcBorders/>
            <w:vAlign w:val="center"/>
          </w:tcPr>
          <w:p>
            <w:pPr>
              <w:pStyle w:val="TableContents"/>
              <w:bidi w:val="0"/>
              <w:spacing w:before="0" w:after="283"/>
              <w:jc w:val="left"/>
              <w:rPr/>
            </w:pPr>
            <w:bookmarkStart w:id="584" w:name="xdx_8B3_zm9e0DPRfHD2"/>
            <w:bookmarkEnd w:id="584"/>
            <w:r>
              <w:rPr/>
              <w:t>Schedule of other payables and accrued liabilities</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Accrued payables for inventory in transit</w:t>
            </w:r>
          </w:p>
        </w:tc>
        <w:tc>
          <w:tcPr>
            <w:tcW w:w="60"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w:t>
            </w:r>
            <w:bookmarkStart w:id="585" w:name="xdx_98D_eus-gaap--OtherAccountsPayableAn"/>
            <w:bookmarkEnd w:id="585"/>
          </w:p>
        </w:tc>
        <w:tc>
          <w:tcPr>
            <w:tcW w:w="1664"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bookmarkStart w:id="586" w:name="xdx_983_eus-gaap--OtherAccountsPayableAn"/>
            <w:bookmarkEnd w:id="586"/>
          </w:p>
        </w:tc>
        <w:tc>
          <w:tcPr>
            <w:tcW w:w="1238" w:type="dxa"/>
            <w:tcBorders/>
            <w:shd w:fill="EEEEEE" w:val="clear"/>
            <w:vAlign w:val="center"/>
          </w:tcPr>
          <w:p>
            <w:pPr>
              <w:pStyle w:val="TableContents"/>
              <w:bidi w:val="0"/>
              <w:spacing w:before="0" w:after="283"/>
              <w:jc w:val="right"/>
              <w:rPr/>
            </w:pPr>
            <w:r>
              <w:rPr/>
              <w:t>262,570</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bookmarkStart w:id="587" w:name="xdx_98A_eus-gaap--OtherAccountsPayableAn"/>
            <w:bookmarkEnd w:id="587"/>
          </w:p>
        </w:tc>
        <w:tc>
          <w:tcPr>
            <w:tcW w:w="1664" w:type="dxa"/>
            <w:tcBorders/>
            <w:shd w:fill="FFFFFF" w:val="clear"/>
            <w:vAlign w:val="center"/>
          </w:tcPr>
          <w:p>
            <w:pPr>
              <w:pStyle w:val="TableContents"/>
              <w:bidi w:val="0"/>
              <w:spacing w:before="0" w:after="283"/>
              <w:jc w:val="right"/>
              <w:rPr/>
            </w:pPr>
            <w:r>
              <w:rPr/>
              <w:t>233,894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588" w:name="xdx_98D_eus-gaap--OtherAccountsPayableAn"/>
            <w:bookmarkEnd w:id="588"/>
          </w:p>
        </w:tc>
        <w:tc>
          <w:tcPr>
            <w:tcW w:w="1238" w:type="dxa"/>
            <w:tcBorders/>
            <w:shd w:fill="FFFFFF" w:val="clear"/>
            <w:vAlign w:val="center"/>
          </w:tcPr>
          <w:p>
            <w:pPr>
              <w:pStyle w:val="TableContents"/>
              <w:bidi w:val="0"/>
              <w:spacing w:before="0" w:after="283"/>
              <w:jc w:val="right"/>
              <w:rPr/>
            </w:pPr>
            <w:r>
              <w:rPr/>
              <w:t>149,276</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Customer deposits</w:t>
            </w:r>
          </w:p>
        </w:tc>
        <w:tc>
          <w:tcPr>
            <w:tcW w:w="60"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 </w:t>
            </w:r>
            <w:bookmarkStart w:id="589" w:name="xdx_986_eus-gaap--OtherAccountsPayableAn"/>
            <w:bookmarkEnd w:id="589"/>
          </w:p>
        </w:tc>
        <w:tc>
          <w:tcPr>
            <w:tcW w:w="1664" w:type="dxa"/>
            <w:tcBorders/>
            <w:shd w:fill="EEEEEE" w:val="clear"/>
            <w:vAlign w:val="center"/>
          </w:tcPr>
          <w:p>
            <w:pPr>
              <w:pStyle w:val="TableContents"/>
              <w:bidi w:val="0"/>
              <w:spacing w:before="0" w:after="283"/>
              <w:jc w:val="right"/>
              <w:rPr/>
            </w:pPr>
            <w:r>
              <w:rPr/>
              <w:t>197,511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590" w:name="xdx_986_eus-gaap--OtherAccountsPayableAn"/>
            <w:bookmarkEnd w:id="590"/>
          </w:p>
        </w:tc>
        <w:tc>
          <w:tcPr>
            <w:tcW w:w="1238" w:type="dxa"/>
            <w:tcBorders/>
            <w:shd w:fill="EEEEEE" w:val="clear"/>
            <w:vAlign w:val="center"/>
          </w:tcPr>
          <w:p>
            <w:pPr>
              <w:pStyle w:val="TableContents"/>
              <w:bidi w:val="0"/>
              <w:spacing w:before="0" w:after="283"/>
              <w:jc w:val="right"/>
              <w:rPr/>
            </w:pPr>
            <w:r>
              <w:rPr/>
              <w:t>291,995</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Accrued Amazon fees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bookmarkStart w:id="591" w:name="xdx_98A_eus-gaap--OtherAccountsPayableAn"/>
            <w:bookmarkEnd w:id="591"/>
          </w:p>
        </w:tc>
        <w:tc>
          <w:tcPr>
            <w:tcW w:w="1664" w:type="dxa"/>
            <w:tcBorders/>
            <w:shd w:fill="FFFFFF" w:val="clear"/>
            <w:vAlign w:val="center"/>
          </w:tcPr>
          <w:p>
            <w:pPr>
              <w:pStyle w:val="TableContents"/>
              <w:bidi w:val="0"/>
              <w:spacing w:before="0" w:after="283"/>
              <w:jc w:val="right"/>
              <w:rPr/>
            </w:pPr>
            <w:r>
              <w:rPr/>
              <w:t>77,191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592" w:name="xdx_982_eus-gaap--OtherAccountsPayableAn"/>
            <w:bookmarkEnd w:id="592"/>
          </w:p>
        </w:tc>
        <w:tc>
          <w:tcPr>
            <w:tcW w:w="1238" w:type="dxa"/>
            <w:tcBorders/>
            <w:shd w:fill="FFFFFF" w:val="clear"/>
            <w:vAlign w:val="center"/>
          </w:tcPr>
          <w:p>
            <w:pPr>
              <w:pStyle w:val="TableContents"/>
              <w:bidi w:val="0"/>
              <w:spacing w:before="0" w:after="283"/>
              <w:jc w:val="right"/>
              <w:rPr/>
            </w:pPr>
            <w:r>
              <w:rPr/>
              <w:t>76,534</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Sales taxes payable</w:t>
            </w:r>
          </w:p>
        </w:tc>
        <w:tc>
          <w:tcPr>
            <w:tcW w:w="60"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 </w:t>
            </w:r>
            <w:bookmarkStart w:id="593" w:name="xdx_986_eus-gaap--OtherAccountsPayableAn"/>
            <w:bookmarkEnd w:id="593"/>
          </w:p>
        </w:tc>
        <w:tc>
          <w:tcPr>
            <w:tcW w:w="1664" w:type="dxa"/>
            <w:tcBorders/>
            <w:shd w:fill="EEEEEE" w:val="clear"/>
            <w:vAlign w:val="center"/>
          </w:tcPr>
          <w:p>
            <w:pPr>
              <w:pStyle w:val="TableContents"/>
              <w:bidi w:val="0"/>
              <w:spacing w:before="0" w:after="283"/>
              <w:jc w:val="right"/>
              <w:rPr/>
            </w:pPr>
            <w:r>
              <w:rPr/>
              <w:t>442,157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594" w:name="xdx_98C_eus-gaap--OtherAccountsPayableAn"/>
            <w:bookmarkEnd w:id="594"/>
          </w:p>
        </w:tc>
        <w:tc>
          <w:tcPr>
            <w:tcW w:w="1238" w:type="dxa"/>
            <w:tcBorders/>
            <w:shd w:fill="EEEEEE" w:val="clear"/>
            <w:vAlign w:val="center"/>
          </w:tcPr>
          <w:p>
            <w:pPr>
              <w:pStyle w:val="TableContents"/>
              <w:bidi w:val="0"/>
              <w:spacing w:before="0" w:after="283"/>
              <w:jc w:val="right"/>
              <w:rPr/>
            </w:pPr>
            <w:r>
              <w:rPr/>
              <w:t>552,346</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Accrued payroll and related expenses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bookmarkStart w:id="595" w:name="xdx_988_eus-gaap--OtherAccountsPayableAn"/>
            <w:bookmarkEnd w:id="595"/>
          </w:p>
        </w:tc>
        <w:tc>
          <w:tcPr>
            <w:tcW w:w="1664" w:type="dxa"/>
            <w:tcBorders/>
            <w:shd w:fill="FFFFFF" w:val="clear"/>
            <w:vAlign w:val="center"/>
          </w:tcPr>
          <w:p>
            <w:pPr>
              <w:pStyle w:val="TableContents"/>
              <w:bidi w:val="0"/>
              <w:spacing w:before="0" w:after="283"/>
              <w:jc w:val="right"/>
              <w:rPr/>
            </w:pPr>
            <w:r>
              <w:rPr/>
              <w:t>30,915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596" w:name="xdx_984_eus-gaap--OtherAccountsPayableAn"/>
            <w:bookmarkEnd w:id="596"/>
          </w:p>
        </w:tc>
        <w:tc>
          <w:tcPr>
            <w:tcW w:w="1238" w:type="dxa"/>
            <w:tcBorders/>
            <w:shd w:fill="FFFFFF" w:val="clear"/>
            <w:vAlign w:val="center"/>
          </w:tcPr>
          <w:p>
            <w:pPr>
              <w:pStyle w:val="TableContents"/>
              <w:bidi w:val="0"/>
              <w:spacing w:before="0" w:after="283"/>
              <w:jc w:val="right"/>
              <w:rPr/>
            </w:pPr>
            <w:r>
              <w:rPr/>
              <w:t>560,387</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Other accrued liabilities and payables</w:t>
            </w:r>
          </w:p>
        </w:tc>
        <w:tc>
          <w:tcPr>
            <w:tcW w:w="60" w:type="dxa"/>
            <w:tcBorders/>
            <w:shd w:fill="EEEEEE" w:val="clear"/>
            <w:vAlign w:val="center"/>
          </w:tcPr>
          <w:p>
            <w:pPr>
              <w:pStyle w:val="TableContents"/>
              <w:bidi w:val="0"/>
              <w:spacing w:before="0" w:after="283"/>
              <w:jc w:val="left"/>
              <w:rPr/>
            </w:pPr>
            <w:r>
              <w:rPr/>
              <w:t> </w:t>
            </w:r>
          </w:p>
        </w:tc>
        <w:tc>
          <w:tcPr>
            <w:tcW w:w="29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97" w:name="xdx_98C_eus-gaap--OtherAccountsPayableAn"/>
            <w:bookmarkEnd w:id="597"/>
          </w:p>
        </w:tc>
        <w:tc>
          <w:tcPr>
            <w:tcW w:w="1664" w:type="dxa"/>
            <w:tcBorders>
              <w:bottom w:val="single" w:sz="8" w:space="0" w:color="000000"/>
            </w:tcBorders>
            <w:shd w:fill="EEEEEE" w:val="clear"/>
            <w:tcMar>
              <w:bottom w:w="28" w:type="dxa"/>
            </w:tcMar>
            <w:vAlign w:val="center"/>
          </w:tcPr>
          <w:p>
            <w:pPr>
              <w:pStyle w:val="TableContents"/>
              <w:bidi w:val="0"/>
              <w:spacing w:before="0" w:after="283"/>
              <w:jc w:val="right"/>
              <w:rPr/>
            </w:pPr>
            <w:r>
              <w:rPr/>
              <w:t>164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98" w:name="xdx_984_eus-gaap--OtherAccountsPayableAn"/>
            <w:bookmarkEnd w:id="598"/>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813</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29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99" w:name="xdx_98E_eus-gaap--OtherAccountsPayableAn"/>
            <w:bookmarkEnd w:id="599"/>
          </w:p>
        </w:tc>
        <w:tc>
          <w:tcPr>
            <w:tcW w:w="1664" w:type="dxa"/>
            <w:tcBorders>
              <w:bottom w:val="double" w:sz="6" w:space="0" w:color="000000"/>
            </w:tcBorders>
            <w:shd w:fill="EEEEEE" w:val="clear"/>
            <w:tcMar>
              <w:bottom w:w="28" w:type="dxa"/>
            </w:tcMar>
            <w:vAlign w:val="center"/>
          </w:tcPr>
          <w:p>
            <w:pPr>
              <w:pStyle w:val="TableContents"/>
              <w:bidi w:val="0"/>
              <w:spacing w:before="0" w:after="283"/>
              <w:jc w:val="right"/>
              <w:rPr/>
            </w:pPr>
            <w:r>
              <w:rPr/>
              <w:t>981,832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00" w:name="xdx_98A_eus-gaap--OtherAccountsPayableAn"/>
            <w:bookmarkEnd w:id="600"/>
          </w:p>
        </w:tc>
        <w:tc>
          <w:tcPr>
            <w:tcW w:w="1238" w:type="dxa"/>
            <w:tcBorders>
              <w:bottom w:val="double" w:sz="6" w:space="0" w:color="000000"/>
            </w:tcBorders>
            <w:shd w:fill="EEEEEE" w:val="clear"/>
            <w:tcMar>
              <w:bottom w:w="28" w:type="dxa"/>
            </w:tcMar>
            <w:vAlign w:val="center"/>
          </w:tcPr>
          <w:p>
            <w:pPr>
              <w:pStyle w:val="TableContents"/>
              <w:bidi w:val="0"/>
              <w:spacing w:before="0" w:after="283"/>
              <w:jc w:val="right"/>
              <w:rPr/>
            </w:pPr>
            <w:r>
              <w:rPr/>
              <w:t>1,893,921</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1" w:name="xdx_8A8_zLZURgdYuAk6"/>
      <w:bookmarkEnd w:id="60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2" w:name="xdx_801_eus-gaap--DebtDisclosureTextBloc"/>
      <w:bookmarkEnd w:id="602"/>
      <w:r>
        <w:rPr>
          <w:rFonts w:ascii="Times New Roman;Times;Serif" w:hAnsi="Times New Roman;Times;Serif"/>
          <w:b/>
          <w:i w:val="false"/>
          <w:caps w:val="false"/>
          <w:smallCaps w:val="false"/>
          <w:sz w:val="20"/>
        </w:rPr>
        <w:t xml:space="preserve">Note 11 – </w:t>
      </w:r>
      <w:bookmarkStart w:id="603" w:name="xdx_827_z71iXVyBOWe6"/>
      <w:bookmarkEnd w:id="603"/>
      <w:r>
        <w:rPr>
          <w:rFonts w:ascii="Times New Roman;Times;Serif" w:hAnsi="Times New Roman;Times;Serif"/>
          <w:b/>
          <w:i w:val="false"/>
          <w:caps w:val="false"/>
          <w:smallCaps w:val="false"/>
          <w:sz w:val="20"/>
        </w:rPr>
        <w:t>Loans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Securities Purchase Agreement (the “SPA”) with an accredited investor (the “Investor”), providing for a convertible note facility in the aggregate original principal amount of up to $</w:t>
      </w:r>
      <w:bookmarkStart w:id="604" w:name="xdx_90D_eus-gaap--LineOfCreditFacilityMa"/>
      <w:bookmarkEnd w:id="604"/>
      <w:r>
        <w:rPr>
          <w:rFonts w:ascii="Times New Roman;Times;Serif" w:hAnsi="Times New Roman;Times;Serif"/>
          <w:b w:val="false"/>
          <w:i w:val="false"/>
          <w:caps w:val="false"/>
          <w:smallCaps w:val="false"/>
          <w:sz w:val="20"/>
        </w:rPr>
        <w:t>30,000,000 (the “Convertible Note Facility”). At the initial closing on December 23, 2025, the Investor purchased (i) a Series A Senior Secured Convertible Promissory Note in the original principal amount of $</w:t>
      </w:r>
      <w:bookmarkStart w:id="605" w:name="xdx_905_eus-gaap--ConvertibleNotesPayabl"/>
      <w:bookmarkEnd w:id="605"/>
      <w:r>
        <w:rPr>
          <w:rFonts w:ascii="Times New Roman;Times;Serif" w:hAnsi="Times New Roman;Times;Serif"/>
          <w:b w:val="false"/>
          <w:i w:val="false"/>
          <w:caps w:val="false"/>
          <w:smallCaps w:val="false"/>
          <w:sz w:val="20"/>
        </w:rPr>
        <w:t>5,184,024 (the “Series A Note”), issued in a private placement under Rule 506(b) of Regulation D, and (ii) a Series B Senior Secured Convertible Promissory Note in the original principal amount of $</w:t>
      </w:r>
      <w:bookmarkStart w:id="606" w:name="xdx_909_eus-gaap--ConvertibleNotesPayabl"/>
      <w:bookmarkEnd w:id="606"/>
      <w:r>
        <w:rPr>
          <w:rFonts w:ascii="Times New Roman;Times;Serif" w:hAnsi="Times New Roman;Times;Serif"/>
          <w:b w:val="false"/>
          <w:i w:val="false"/>
          <w:caps w:val="false"/>
          <w:smallCaps w:val="false"/>
          <w:sz w:val="20"/>
        </w:rPr>
        <w:t>1,815,976 (the “Series B Note,” together with the Series A Note, the “Convertible Notes”), issued in a registered direct offering pursuant to the Company’s effective shelf 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original principal amount of the Convertible Notes issued at the initial closing was $</w:t>
      </w:r>
      <w:bookmarkStart w:id="607" w:name="xdx_903_eus-gaap--DebtInstrumentFaceAmou"/>
      <w:bookmarkEnd w:id="607"/>
      <w:r>
        <w:rPr>
          <w:rFonts w:ascii="Times New Roman;Times;Serif" w:hAnsi="Times New Roman;Times;Serif"/>
          <w:b w:val="false"/>
          <w:i w:val="false"/>
          <w:caps w:val="false"/>
          <w:smallCaps w:val="false"/>
          <w:sz w:val="20"/>
        </w:rPr>
        <w:t>7,000,000. Pursuant to the SPA, the parties will close on an additional Series A Convertible Note of approximately $</w:t>
      </w:r>
      <w:bookmarkStart w:id="608" w:name="xdx_90C_ecustom--ConvertibleDebtAddition"/>
      <w:bookmarkEnd w:id="608"/>
      <w:r>
        <w:rPr>
          <w:rFonts w:ascii="Times New Roman;Times;Serif" w:hAnsi="Times New Roman;Times;Serif"/>
          <w:b w:val="false"/>
          <w:i w:val="false"/>
          <w:caps w:val="false"/>
          <w:smallCaps w:val="false"/>
          <w:sz w:val="20"/>
        </w:rPr>
        <w:t>2,000,000 (the “Additional Series A Notes”), to be issued upon the effectiveness of a resale registration statement, bringing the total funded amount to $</w:t>
      </w:r>
      <w:bookmarkStart w:id="609" w:name="xdx_907_ecustom--TotalDebtInstrumentFace"/>
      <w:bookmarkEnd w:id="609"/>
      <w:r>
        <w:rPr>
          <w:rFonts w:ascii="Times New Roman;Times;Serif" w:hAnsi="Times New Roman;Times;Serif"/>
          <w:b w:val="false"/>
          <w:i w:val="false"/>
          <w:caps w:val="false"/>
          <w:smallCaps w:val="false"/>
          <w:sz w:val="20"/>
        </w:rPr>
        <w:t>9,000,000.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at a 6% original issue discount (“OID”), resulting in gross cash proceeds to the Company of $</w:t>
      </w:r>
      <w:bookmarkStart w:id="610" w:name="xdx_906_ecustom--GrossProceedsFromConver"/>
      <w:bookmarkEnd w:id="610"/>
      <w:r>
        <w:rPr>
          <w:rFonts w:ascii="Times New Roman;Times;Serif" w:hAnsi="Times New Roman;Times;Serif"/>
          <w:b w:val="false"/>
          <w:i w:val="false"/>
          <w:caps w:val="false"/>
          <w:smallCaps w:val="false"/>
          <w:sz w:val="20"/>
        </w:rPr>
        <w:t>6,580,000. After deducting placement agent fees of $</w:t>
      </w:r>
      <w:bookmarkStart w:id="611" w:name="xdx_907_eus-gaap--PaymentsOfDebtIssuance"/>
      <w:bookmarkEnd w:id="611"/>
      <w:r>
        <w:rPr>
          <w:rFonts w:ascii="Times New Roman;Times;Serif" w:hAnsi="Times New Roman;Times;Serif"/>
          <w:b w:val="false"/>
          <w:i w:val="false"/>
          <w:caps w:val="false"/>
          <w:smallCaps w:val="false"/>
          <w:sz w:val="20"/>
        </w:rPr>
        <w:t>394,800 and legal and other transaction expenses of $</w:t>
      </w:r>
      <w:bookmarkStart w:id="612" w:name="xdx_907_eus-gaap--PaymentsOfDebtIssuance"/>
      <w:bookmarkEnd w:id="612"/>
      <w:r>
        <w:rPr>
          <w:rFonts w:ascii="Times New Roman;Times;Serif" w:hAnsi="Times New Roman;Times;Serif"/>
          <w:b w:val="false"/>
          <w:i w:val="false"/>
          <w:caps w:val="false"/>
          <w:smallCaps w:val="false"/>
          <w:sz w:val="20"/>
        </w:rPr>
        <w:t>150,000, the Company received net proceeds of $</w:t>
      </w:r>
      <w:bookmarkStart w:id="613" w:name="xdx_902_eus-gaap--ProceedsFromConvertibl"/>
      <w:bookmarkEnd w:id="613"/>
      <w:r>
        <w:rPr>
          <w:rFonts w:ascii="Times New Roman;Times;Serif" w:hAnsi="Times New Roman;Times;Serif"/>
          <w:b w:val="false"/>
          <w:i w:val="false"/>
          <w:caps w:val="false"/>
          <w:smallCaps w:val="false"/>
          <w:sz w:val="20"/>
        </w:rPr>
        <w:t>6,035,200.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bear interest at a rate of </w:t>
      </w:r>
      <w:bookmarkStart w:id="614" w:name="xdx_90F_eus-gaap--DebtInstrumentInterest"/>
      <w:bookmarkEnd w:id="614"/>
      <w:r>
        <w:rPr>
          <w:rFonts w:ascii="Times New Roman;Times;Serif" w:hAnsi="Times New Roman;Times;Serif"/>
          <w:b w:val="false"/>
          <w:i w:val="false"/>
          <w:caps w:val="false"/>
          <w:smallCaps w:val="false"/>
          <w:sz w:val="20"/>
        </w:rPr>
        <w:t xml:space="preserve">10% per annum (increasing to 17% per annum upon the occurrence and during the continuance of an Event of Default), with interest payable monthly on the first Trading Day of each calendar month commencing January 1, 2026, in shares valued at the Alternate Conversion Price or, at the Company’s election, in cash. The Convertible Notes mature on </w:t>
      </w:r>
      <w:bookmarkStart w:id="615" w:name="xdx_902_eus-gaap--DebtInstrumentMaturity"/>
      <w:bookmarkEnd w:id="615"/>
      <w:r>
        <w:rPr>
          <w:rFonts w:ascii="Times New Roman;Times;Serif" w:hAnsi="Times New Roman;Times;Serif"/>
          <w:b w:val="false"/>
          <w:i w:val="false"/>
          <w:caps w:val="false"/>
          <w:smallCaps w:val="false"/>
          <w:sz w:val="20"/>
        </w:rPr>
        <w:t>December 23,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16" w:name="xdx_23A_zyqoscBz86Z6"/>
      <w:bookmarkEnd w:id="616"/>
      <w:r>
        <w:rPr>
          <w:caps w:val="false"/>
          <w:smallCaps w:val="false"/>
        </w:rPr>
        <w:t> </w:t>
      </w:r>
    </w:p>
    <w:p>
      <w:pPr>
        <w:pStyle w:val="TextBody"/>
        <w:bidi w:val="0"/>
        <w:spacing w:before="0" w:after="0"/>
        <w:ind w:left="0" w:right="0" w:hanging="0"/>
        <w:jc w:val="both"/>
        <w:rPr>
          <w:caps w:val="false"/>
          <w:smallCaps w:val="false"/>
        </w:rPr>
      </w:pPr>
      <w:bookmarkStart w:id="617" w:name="xdx_234_zuZyT24Hxr8l"/>
      <w:bookmarkEnd w:id="61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618" w:name="xdx_23F_zihSRoCNZpD7"/>
      <w:bookmarkEnd w:id="61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convertible into shares of Common Stock at a fixed Conversion Price of $17.70 per share, subject to adjustment. The holder may elect to convert at an Alternate Conversion Price equal to the lower of (i) the Conversion Price or (ii) the greater of the Floor Price or 95% of the lowest daily VWAP during the seven consecutive Trading Days preceding conversion. During an Event of Default, the Alternate Conversion Price becomes the lower of (i) the Conversion Price or (ii) the greater of the Floor Price or 90% of the lowest daily VWAP during the ten consecutive Trading Days preceding conversion. The Floor Price is $2.27 per share, subject to downward adjustment every six months to the lower of the then-current Floor Price or 20% of the trading price. On March 23, 2026, the Conversion Price automatically resets to $14.16 if then above such level. The holder is subject to a 4.99% Beneficial Ownership Cap on outstanding Common Stock, which may be increased to 9.99% upon 61 days’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contain the following redemption features: (i) upon an Event of Default, the holder may require redemption at 115% of the outstanding Conversion Amount; (ii) upon a Change of Control, the holder may require redemption at 110% of the Conversion Amount; (iii) upon a subsequent equity financing, the holder may require redemption of up to 20% of net proceeds at 110%; (iv) upon certain asset sales (only if Crypto Collateral Value falls below 150% of outstanding principal), the holder may require redemption of up to 20% of net proceeds at 110%; and (v) the Company may optionally redeem at 110% of the Conversion Amount (or 115% during an Event of Default period). The Convertible Notes also contain a modified full-ratchet anti-dilution provision whereby if the Company issues shares below the then-effective Conversion Price (other than Excluded Securities), the Conversion Price is automatically reduced to 115% of the new issuance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senior secured obligations of the Company, collateralized by all cryptocurrency digital assets of the Company and certain of its subsidiaries pursuant to a Security and Pledge Agreement. The Convertible Notes are guaranteed by all subsidiaries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Notes, the Company entered into (i) a Security and Pledge Agreement, dated December 22, 2025, granting the Investor a first priority security interest in the cryptocurrency digital assets of the Company and its subsidiaries; (ii) a Guaranty, dated December 23, 2025, pursuant to which all subsidiaries of the Company jointly and severally guarantee the Company’s obligations under the Convertible Notes; and (iii) a Registration Rights Agreement, dated December 23, 2025, requiring the Company to file a registration statement within 30 days of issuance to register the resale of Series A Conversion Shares and cause such registration statement to be declared effective within 60 days, with liquidated damages of 1.5% of the holder’s original principal amount payable upon failure to meet these deadlines.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Accounting and Fair Value Measurement for Embedded Derivative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embedded features within the convertible note in accordance with ASC Topic 480 and ASC Topic 815. The Company determined that the following embedded features constitute a compound derivative liability requiring bifurcation from the debt host: (i) the Conversion Option, which includes multiple pricing mechanisms (fixed conversion at $17.70, Alternate Conversion Price based on 95% of lowest 7-day VWAP, Event of Default Conversion Price based on 90% of lowest 10-day VWAP, the Floor Price, the March 2026 reset, and anti-dilution adjustments); (ii) Interest Payment in Shares at the Alternate Conversion Price; and (iii) cash-settled put options arising from various redemption features (Event of Default at 115% premium, Change of Control at 110% premium, Subsequent Placement at 110% premium, and Asset Sale at 110%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features are not clearly and closely related to the debt host, meet the definition of a derivative, and do not qualify for the derivative accounting exemptions. Accordingly, the embedded features were bifurcated as a single compound derivative liability measured at fair value, with subsequent changes in fair value recognized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fair value of the compound embedded derivative liability was determined using a Monte Carlo Simulation valuation model, considering various potential outcomes and scenarios. The model used the following assumptions: (i) dividend yield of 0%; (ii) expected volatility of 141.41%; (iii) risk-free interest rate of 3.48%; (iv) term of 2.0 years; (v) fair value of the common shares of $10.46 per share; and (vi) various probability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19" w:name="xdx_236_zXYRuZNP4ew4"/>
      <w:bookmarkEnd w:id="619"/>
      <w:r>
        <w:rPr>
          <w:caps w:val="false"/>
          <w:smallCaps w:val="false"/>
        </w:rPr>
        <w:t> </w:t>
      </w:r>
    </w:p>
    <w:p>
      <w:pPr>
        <w:pStyle w:val="TextBody"/>
        <w:bidi w:val="0"/>
        <w:spacing w:before="0" w:after="0"/>
        <w:ind w:left="0" w:right="0" w:hanging="0"/>
        <w:jc w:val="both"/>
        <w:rPr>
          <w:caps w:val="false"/>
          <w:smallCaps w:val="false"/>
        </w:rPr>
      </w:pPr>
      <w:bookmarkStart w:id="620" w:name="xdx_232_zxWs0afhHh25"/>
      <w:bookmarkEnd w:id="620"/>
      <w:r>
        <w:rPr>
          <w:caps w:val="false"/>
          <w:smallCaps w:val="false"/>
        </w:rPr>
        <w:t> </w:t>
      </w:r>
    </w:p>
    <w:p>
      <w:pPr>
        <w:pStyle w:val="TextBody"/>
        <w:bidi w:val="0"/>
        <w:spacing w:before="0" w:after="0"/>
        <w:ind w:left="0" w:right="0" w:hanging="0"/>
        <w:jc w:val="both"/>
        <w:rPr>
          <w:caps w:val="false"/>
          <w:smallCaps w:val="false"/>
        </w:rPr>
      </w:pPr>
      <w:bookmarkStart w:id="621" w:name="xdx_23A_zI1e7C4T8u1g"/>
      <w:bookmarkEnd w:id="62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622" w:name="xdx_236_z6QDjBxiuU77"/>
      <w:bookmarkEnd w:id="62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Company remeasured the derivative liability using updated assumptions: (i) dividend yield of 0%; (ii) expected volatility of 140.88%; (iii) risk-free interest rate of 3.47%; (iv) remaining term of 1.98 years; (v) fair value of the common shares of $7.48 per share; and (vi) various probability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changes in fair value are recognized in the statement of operations for each reporting period. The issuance costs for the Convertible Notes, along with the fair value of the bifurcated embedded derivative liability, were collectively treated as a debt discount. Upon initial recognition, the total debt discount was $</w:t>
      </w:r>
      <w:bookmarkStart w:id="623" w:name="xdx_909_eus-gaap--DebtInstrumentUnamorti"/>
      <w:bookmarkEnd w:id="623"/>
      <w:r>
        <w:rPr>
          <w:rFonts w:ascii="Times New Roman;Times;Serif" w:hAnsi="Times New Roman;Times;Serif"/>
          <w:b w:val="false"/>
          <w:i w:val="false"/>
          <w:caps w:val="false"/>
          <w:smallCaps w:val="false"/>
          <w:sz w:val="20"/>
        </w:rPr>
        <w:t>2,577,500, consisting of the fair value of the bifurcated derivative liability of $</w:t>
      </w:r>
      <w:bookmarkStart w:id="624" w:name="xdx_90A_eus-gaap--DebtInstrumentUnamorti"/>
      <w:bookmarkEnd w:id="624"/>
      <w:r>
        <w:rPr>
          <w:rFonts w:ascii="Times New Roman;Times;Serif" w:hAnsi="Times New Roman;Times;Serif"/>
          <w:b w:val="false"/>
          <w:i w:val="false"/>
          <w:caps w:val="false"/>
          <w:smallCaps w:val="false"/>
          <w:sz w:val="20"/>
        </w:rPr>
        <w:t>1,612,700, the original issue discount of $</w:t>
      </w:r>
      <w:bookmarkStart w:id="625" w:name="xdx_90B_eus-gaap--DebtInstrumentUnamorti"/>
      <w:bookmarkEnd w:id="625"/>
      <w:r>
        <w:rPr>
          <w:rFonts w:ascii="Times New Roman;Times;Serif" w:hAnsi="Times New Roman;Times;Serif"/>
          <w:b w:val="false"/>
          <w:i w:val="false"/>
          <w:caps w:val="false"/>
          <w:smallCaps w:val="false"/>
          <w:sz w:val="20"/>
        </w:rPr>
        <w:t>420,000, and debt issuance costs of $</w:t>
      </w:r>
      <w:bookmarkStart w:id="626" w:name="xdx_907_eus-gaap--DebtInstrumentUnamorti"/>
      <w:bookmarkEnd w:id="626"/>
      <w:r>
        <w:rPr>
          <w:rFonts w:ascii="Times New Roman;Times;Serif" w:hAnsi="Times New Roman;Times;Serif"/>
          <w:b w:val="false"/>
          <w:i w:val="false"/>
          <w:caps w:val="false"/>
          <w:smallCaps w:val="false"/>
          <w:sz w:val="20"/>
        </w:rPr>
        <w:t>544,800. The debt discount is being amortized to interest expense over the two-year term using the effective interest method at an effective rate of approximately 23.2%.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December 31, 2025, the holder converted an aggregate of $</w:t>
      </w:r>
      <w:bookmarkStart w:id="627" w:name="xdx_906_eus-gaap--DebtConversionOriginal"/>
      <w:bookmarkEnd w:id="627"/>
      <w:r>
        <w:rPr>
          <w:rFonts w:ascii="Times New Roman;Times;Serif" w:hAnsi="Times New Roman;Times;Serif"/>
          <w:b w:val="false"/>
          <w:i w:val="false"/>
          <w:caps w:val="false"/>
          <w:smallCaps w:val="false"/>
          <w:sz w:val="20"/>
        </w:rPr>
        <w:t xml:space="preserve">100,000 in principal of the Series B Note into </w:t>
      </w:r>
      <w:bookmarkStart w:id="628" w:name="xdx_90F_eus-gaap--DebtConversionConverte"/>
      <w:bookmarkEnd w:id="628"/>
      <w:r>
        <w:rPr>
          <w:rFonts w:ascii="Times New Roman;Times;Serif" w:hAnsi="Times New Roman;Times;Serif"/>
          <w:b w:val="false"/>
          <w:i w:val="false"/>
          <w:caps w:val="false"/>
          <w:smallCaps w:val="false"/>
          <w:sz w:val="20"/>
        </w:rPr>
        <w:t>10,948 shares of Common Stock. The conversions were effected at the Alternate Conversion Price on the respective conversion dates. The Company accounted for each conversion as a partial extinguishment of the debt host and related embedded derivative liability, resulting in a loss on extinguishment of $</w:t>
      </w:r>
      <w:bookmarkStart w:id="629" w:name="xdx_907_eus-gaap--GainsLossesOnExtinguis"/>
      <w:bookmarkEnd w:id="629"/>
      <w:r>
        <w:rPr>
          <w:rFonts w:ascii="Times New Roman;Times;Serif" w:hAnsi="Times New Roman;Times;Serif"/>
          <w:b w:val="false"/>
          <w:i w:val="false"/>
          <w:caps w:val="false"/>
          <w:smallCaps w:val="false"/>
          <w:sz w:val="20"/>
        </w:rPr>
        <w:t>24,100, representing the excess of the fair value of shares issued over the carrying amounts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remaining outstanding principal balance of the Convertible Notes was $</w:t>
      </w:r>
      <w:bookmarkStart w:id="630" w:name="xdx_902_eus-gaap--DebtInstrumentCarrying"/>
      <w:bookmarkEnd w:id="630"/>
      <w:r>
        <w:rPr>
          <w:rFonts w:ascii="Times New Roman;Times;Serif" w:hAnsi="Times New Roman;Times;Serif"/>
          <w:b w:val="false"/>
          <w:i w:val="false"/>
          <w:caps w:val="false"/>
          <w:smallCaps w:val="false"/>
          <w:sz w:val="20"/>
        </w:rPr>
        <w:t>6,900,000, consisting of $</w:t>
      </w:r>
      <w:bookmarkStart w:id="631" w:name="xdx_901_eus-gaap--DebtInstrumentCarrying"/>
      <w:bookmarkEnd w:id="631"/>
      <w:r>
        <w:rPr>
          <w:rFonts w:ascii="Times New Roman;Times;Serif" w:hAnsi="Times New Roman;Times;Serif"/>
          <w:b w:val="false"/>
          <w:i w:val="false"/>
          <w:caps w:val="false"/>
          <w:smallCaps w:val="false"/>
          <w:sz w:val="20"/>
        </w:rPr>
        <w:t>5,184,024 under the Series A Note and $</w:t>
      </w:r>
      <w:bookmarkStart w:id="632" w:name="xdx_904_eus-gaap--DebtInstrumentCarrying"/>
      <w:bookmarkEnd w:id="632"/>
      <w:r>
        <w:rPr>
          <w:rFonts w:ascii="Times New Roman;Times;Serif" w:hAnsi="Times New Roman;Times;Serif"/>
          <w:b w:val="false"/>
          <w:i w:val="false"/>
          <w:caps w:val="false"/>
          <w:smallCaps w:val="false"/>
          <w:sz w:val="20"/>
        </w:rPr>
        <w:t>1,715,976 under the Series B Note. The remaining unamortized debt discount balance was $</w:t>
      </w:r>
      <w:bookmarkStart w:id="633" w:name="xdx_908_eus-gaap--DebtInstrumentUnamorti"/>
      <w:bookmarkEnd w:id="633"/>
      <w:r>
        <w:rPr>
          <w:rFonts w:ascii="Times New Roman;Times;Serif" w:hAnsi="Times New Roman;Times;Serif"/>
          <w:b w:val="false"/>
          <w:i w:val="false"/>
          <w:caps w:val="false"/>
          <w:smallCaps w:val="false"/>
          <w:sz w:val="20"/>
        </w:rPr>
        <w:t>2,518,469, for a net carrying amount of $</w:t>
      </w:r>
      <w:bookmarkStart w:id="634" w:name="xdx_905_eus-gaap--ConvertibleNotesPayabl"/>
      <w:bookmarkEnd w:id="634"/>
      <w:r>
        <w:rPr>
          <w:rFonts w:ascii="Times New Roman;Times;Serif" w:hAnsi="Times New Roman;Times;Serif"/>
          <w:b w:val="false"/>
          <w:i w:val="false"/>
          <w:caps w:val="false"/>
          <w:smallCaps w:val="false"/>
          <w:sz w:val="20"/>
        </w:rPr>
        <w:t>4,381,531. Interest expense, including amortization of debt discount, recognized on the Convertible Notes during the three and six months ended December 31, 2025, was $</w:t>
      </w:r>
      <w:bookmarkStart w:id="635" w:name="xdx_90A_eus-gaap--InterestExpenseDebt_c2"/>
      <w:bookmarkStart w:id="636" w:name="xdx_903_eus-gaap--InterestExpenseDebt_c2"/>
      <w:bookmarkEnd w:id="635"/>
      <w:bookmarkEnd w:id="636"/>
      <w:r>
        <w:rPr>
          <w:rFonts w:ascii="Times New Roman;Times;Serif" w:hAnsi="Times New Roman;Times;Serif"/>
          <w:b w:val="false"/>
          <w:i w:val="false"/>
          <w:caps w:val="false"/>
          <w:smallCaps w:val="false"/>
          <w:sz w:val="20"/>
        </w:rPr>
        <w:t>37,787.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Asset-based revolving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the Company entered into a Credit Agreement with JPMorgan Chase Bank, N.A. (“JPMorgan”), as administrative agent, issuing bank and swingline lender, for an asset-based revolving loan (“ABL”) of up to $25 million with key terms listed as follows:</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95"/>
        <w:gridCol w:w="290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00" w:type="dxa"/>
            <w:tcBorders/>
            <w:vAlign w:val="center"/>
          </w:tcPr>
          <w:p>
            <w:pPr>
              <w:pStyle w:val="TableContents"/>
              <w:bidi w:val="0"/>
              <w:spacing w:before="0" w:after="283"/>
              <w:jc w:val="left"/>
              <w:rPr>
                <w:sz w:val="20"/>
              </w:rPr>
            </w:pPr>
            <w:r>
              <w:rPr>
                <w:sz w:val="20"/>
              </w:rPr>
              <w:t>Borrowing base equal to the sum of</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sz w:val="20"/>
              </w:rPr>
            </w:pPr>
            <w:r>
              <w:rPr>
                <w:sz w:val="20"/>
              </w:rPr>
              <w:t>Up to 90% of eligible credit card receivables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sz w:val="20"/>
              </w:rPr>
            </w:pPr>
            <w:r>
              <w:rPr>
                <w:sz w:val="20"/>
              </w:rPr>
              <w:t>Up to 85% of eligible trade accounts receivable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sz w:val="20"/>
              </w:rPr>
            </w:pPr>
            <w:r>
              <w:rPr>
                <w:sz w:val="20"/>
              </w:rPr>
              <w:t>Up to the lesser of (i) 65% of cost of eligible inventory or (ii) 85% of net orderly liquidation value of eligible inventory</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95"/>
        <w:gridCol w:w="73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sz w:val="20"/>
              </w:rPr>
            </w:pPr>
            <w:r>
              <w:rPr>
                <w:sz w:val="20"/>
              </w:rPr>
              <w:t>Interest rates of between LIBOR plus 2% and LIBOR plus 2.25% depending on utilization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sz w:val="20"/>
              </w:rPr>
            </w:pPr>
            <w:r>
              <w:rPr>
                <w:sz w:val="20"/>
              </w:rPr>
              <w:t>Undrawn fee of between 0.25% and 0.375% depending on utilization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sz w:val="20"/>
              </w:rPr>
            </w:pPr>
            <w:r>
              <w:rPr>
                <w:sz w:val="20"/>
              </w:rPr>
              <w:t xml:space="preserve">Maturity Date of </w:t>
            </w:r>
            <w:bookmarkStart w:id="637" w:name="xdx_907_eus-gaap--LineOfCreditFacilityEx"/>
            <w:bookmarkEnd w:id="637"/>
            <w:r>
              <w:rPr>
                <w:sz w:val="20"/>
              </w:rPr>
              <w:t>November 12,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38" w:name="xdx_239_zweVchyHwQ33"/>
      <w:bookmarkEnd w:id="638"/>
      <w:r>
        <w:rPr>
          <w:caps w:val="false"/>
          <w:smallCaps w:val="false"/>
        </w:rPr>
        <w:t> </w:t>
      </w:r>
    </w:p>
    <w:p>
      <w:pPr>
        <w:pStyle w:val="TextBody"/>
        <w:bidi w:val="0"/>
        <w:spacing w:before="0" w:after="0"/>
        <w:ind w:left="0" w:right="0" w:hanging="0"/>
        <w:jc w:val="left"/>
        <w:rPr>
          <w:caps w:val="false"/>
          <w:smallCaps w:val="false"/>
        </w:rPr>
      </w:pPr>
      <w:bookmarkStart w:id="639" w:name="xdx_233_zMmTFFh2AC33"/>
      <w:bookmarkEnd w:id="63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40" w:name="xdx_234_zCkNNgswOPB6"/>
      <w:bookmarkEnd w:id="64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ABL included an accordion feature that allows the Company to borrow up to an additional $</w:t>
      </w:r>
      <w:bookmarkStart w:id="641" w:name="xdx_908_eus-gaap--LineOfCreditFacilityMa"/>
      <w:bookmarkEnd w:id="641"/>
      <w:r>
        <w:rPr>
          <w:rFonts w:ascii="Times New Roman;Times;Serif" w:hAnsi="Times New Roman;Times;Serif"/>
          <w:b w:val="false"/>
          <w:i w:val="false"/>
          <w:caps w:val="false"/>
          <w:smallCaps w:val="false"/>
          <w:sz w:val="20"/>
        </w:rPr>
        <w:t>25.0 million. To secure complete payment and performance of the secured obligations, the Company granted a security interest in all of its right, title and interest in, to and under all of the Company’s assets as collateral to the ABL. Upon closing of the ABL, the Company paid $</w:t>
      </w:r>
      <w:bookmarkStart w:id="642" w:name="xdx_90C_eus-gaap--PaymentsOfFinancingCos"/>
      <w:bookmarkEnd w:id="642"/>
      <w:r>
        <w:rPr>
          <w:rFonts w:ascii="Times New Roman;Times;Serif" w:hAnsi="Times New Roman;Times;Serif"/>
          <w:b w:val="false"/>
          <w:i w:val="false"/>
          <w:caps w:val="false"/>
          <w:smallCaps w:val="false"/>
          <w:sz w:val="20"/>
        </w:rPr>
        <w:t>796,035 in financing fees including 2% of $25.0 million or $500,000 paid to its financial advisor. The financing fees are recorded as debt discount and are to be amortized over the three-year term of the ABL as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the interest expense recorded for the three and six months ended December 31, 2025 and 2024: </w:t>
      </w:r>
    </w:p>
    <w:p>
      <w:pPr>
        <w:pStyle w:val="Normal"/>
        <w:bidi w:val="0"/>
        <w:spacing w:before="0" w:after="0"/>
        <w:jc w:val="left"/>
        <w:rPr>
          <w:sz w:val="4"/>
          <w:szCs w:val="4"/>
        </w:rPr>
      </w:pPr>
      <w:r>
        <w:rPr>
          <w:sz w:val="4"/>
          <w:szCs w:val="4"/>
        </w:rPr>
      </w:r>
      <w:bookmarkStart w:id="643" w:name="xdx_899_eus-gaap--InterestIncomeAndInter"/>
      <w:bookmarkStart w:id="644" w:name="xdx_899_eus-gaap--InterestIncomeAndInter"/>
      <w:bookmarkEnd w:id="644"/>
    </w:p>
    <w:tbl>
      <w:tblPr>
        <w:tblW w:w="10132" w:type="dxa"/>
        <w:jc w:val="left"/>
        <w:tblInd w:w="0" w:type="dxa"/>
        <w:tblLayout w:type="fixed"/>
        <w:tblCellMar>
          <w:top w:w="0" w:type="dxa"/>
          <w:left w:w="0" w:type="dxa"/>
          <w:bottom w:w="0" w:type="dxa"/>
          <w:right w:w="0" w:type="dxa"/>
        </w:tblCellMar>
      </w:tblPr>
      <w:tblGrid>
        <w:gridCol w:w="2855"/>
        <w:gridCol w:w="60"/>
        <w:gridCol w:w="272"/>
        <w:gridCol w:w="1325"/>
        <w:gridCol w:w="116"/>
        <w:gridCol w:w="116"/>
        <w:gridCol w:w="272"/>
        <w:gridCol w:w="1559"/>
        <w:gridCol w:w="60"/>
        <w:gridCol w:w="60"/>
        <w:gridCol w:w="235"/>
        <w:gridCol w:w="1346"/>
        <w:gridCol w:w="100"/>
        <w:gridCol w:w="100"/>
        <w:gridCol w:w="235"/>
        <w:gridCol w:w="1346"/>
        <w:gridCol w:w="75"/>
      </w:tblGrid>
      <w:tr>
        <w:trPr/>
        <w:tc>
          <w:tcPr>
            <w:tcW w:w="2855" w:type="dxa"/>
            <w:tcBorders/>
            <w:vAlign w:val="center"/>
          </w:tcPr>
          <w:p>
            <w:pPr>
              <w:pStyle w:val="TableContents"/>
              <w:bidi w:val="0"/>
              <w:spacing w:before="0" w:after="283"/>
              <w:jc w:val="left"/>
              <w:rPr/>
            </w:pPr>
            <w:bookmarkStart w:id="645" w:name="xdx_8B4_zM0CnLRwxOTe"/>
            <w:bookmarkEnd w:id="645"/>
            <w:r>
              <w:rPr/>
              <w:t>Schedule of interest expense  </w:t>
            </w:r>
          </w:p>
        </w:tc>
        <w:tc>
          <w:tcPr>
            <w:tcW w:w="60" w:type="dxa"/>
            <w:tcBorders/>
            <w:vAlign w:val="center"/>
          </w:tcPr>
          <w:p>
            <w:pPr>
              <w:pStyle w:val="TableContents"/>
              <w:bidi w:val="0"/>
              <w:spacing w:before="0" w:after="283"/>
              <w:jc w:val="left"/>
              <w:rPr/>
            </w:pPr>
            <w:r>
              <w:rPr/>
              <w:t> </w:t>
            </w:r>
          </w:p>
        </w:tc>
        <w:tc>
          <w:tcPr>
            <w:tcW w:w="366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2" w:type="dxa"/>
            <w:gridSpan w:val="6"/>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December 31,</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8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855" w:type="dxa"/>
            <w:tcBorders/>
            <w:shd w:fill="EEEEEE" w:val="clear"/>
            <w:vAlign w:val="center"/>
          </w:tcPr>
          <w:p>
            <w:pPr>
              <w:pStyle w:val="TableContents"/>
              <w:bidi w:val="0"/>
              <w:spacing w:before="0" w:after="283"/>
              <w:jc w:val="left"/>
              <w:rPr/>
            </w:pPr>
            <w:r>
              <w:rPr/>
              <w:t>Accrued interest</w:t>
            </w:r>
          </w:p>
        </w:tc>
        <w:tc>
          <w:tcPr>
            <w:tcW w:w="60" w:type="dxa"/>
            <w:tcBorders/>
            <w:shd w:fill="EEEEEE" w:val="clear"/>
            <w:vAlign w:val="center"/>
          </w:tcPr>
          <w:p>
            <w:pPr>
              <w:pStyle w:val="TableContents"/>
              <w:bidi w:val="0"/>
              <w:spacing w:before="0" w:after="283"/>
              <w:jc w:val="left"/>
              <w:rPr/>
            </w:pPr>
            <w:r>
              <w:rPr/>
              <w:t> </w:t>
            </w:r>
          </w:p>
        </w:tc>
        <w:tc>
          <w:tcPr>
            <w:tcW w:w="272" w:type="dxa"/>
            <w:tcBorders/>
            <w:shd w:fill="EEEEEE" w:val="clear"/>
            <w:vAlign w:val="center"/>
          </w:tcPr>
          <w:p>
            <w:pPr>
              <w:pStyle w:val="TableContents"/>
              <w:bidi w:val="0"/>
              <w:spacing w:before="0" w:after="283"/>
              <w:jc w:val="left"/>
              <w:rPr/>
            </w:pPr>
            <w:r>
              <w:rPr/>
              <w:t>$</w:t>
            </w:r>
            <w:bookmarkStart w:id="646" w:name="xdx_98C_eus-gaap--InterestExpense_c20251"/>
            <w:bookmarkEnd w:id="646"/>
          </w:p>
        </w:tc>
        <w:tc>
          <w:tcPr>
            <w:tcW w:w="1325" w:type="dxa"/>
            <w:tcBorders/>
            <w:shd w:fill="EEEEEE" w:val="clear"/>
            <w:vAlign w:val="center"/>
          </w:tcPr>
          <w:p>
            <w:pPr>
              <w:pStyle w:val="TableContents"/>
              <w:bidi w:val="0"/>
              <w:spacing w:before="0" w:after="283"/>
              <w:jc w:val="right"/>
              <w:rPr/>
            </w:pPr>
            <w:r>
              <w:rPr/>
              <w:t>61,793</w:t>
            </w:r>
          </w:p>
        </w:tc>
        <w:tc>
          <w:tcPr>
            <w:tcW w:w="116" w:type="dxa"/>
            <w:tcBorders/>
            <w:shd w:fill="EEEEEE" w:val="clear"/>
            <w:vAlign w:val="center"/>
          </w:tcPr>
          <w:p>
            <w:pPr>
              <w:pStyle w:val="TableContents"/>
              <w:bidi w:val="0"/>
              <w:spacing w:before="0" w:after="283"/>
              <w:jc w:val="left"/>
              <w:rPr/>
            </w:pPr>
            <w:r>
              <w:rPr/>
              <w:t> </w:t>
            </w:r>
          </w:p>
        </w:tc>
        <w:tc>
          <w:tcPr>
            <w:tcW w:w="116" w:type="dxa"/>
            <w:tcBorders/>
            <w:shd w:fill="EEEEEE" w:val="clear"/>
            <w:vAlign w:val="center"/>
          </w:tcPr>
          <w:p>
            <w:pPr>
              <w:pStyle w:val="TableContents"/>
              <w:bidi w:val="0"/>
              <w:spacing w:before="0" w:after="283"/>
              <w:jc w:val="left"/>
              <w:rPr/>
            </w:pPr>
            <w:r>
              <w:rPr/>
              <w:t> </w:t>
            </w:r>
          </w:p>
        </w:tc>
        <w:tc>
          <w:tcPr>
            <w:tcW w:w="272" w:type="dxa"/>
            <w:tcBorders/>
            <w:shd w:fill="EEEEEE" w:val="clear"/>
            <w:vAlign w:val="center"/>
          </w:tcPr>
          <w:p>
            <w:pPr>
              <w:pStyle w:val="TableContents"/>
              <w:bidi w:val="0"/>
              <w:spacing w:before="0" w:after="283"/>
              <w:jc w:val="left"/>
              <w:rPr/>
            </w:pPr>
            <w:r>
              <w:rPr/>
              <w:t>$</w:t>
            </w:r>
            <w:bookmarkStart w:id="647" w:name="xdx_981_eus-gaap--InterestExpense_c20241"/>
            <w:bookmarkEnd w:id="647"/>
          </w:p>
        </w:tc>
        <w:tc>
          <w:tcPr>
            <w:tcW w:w="1559" w:type="dxa"/>
            <w:tcBorders/>
            <w:shd w:fill="EEEEEE" w:val="clear"/>
            <w:vAlign w:val="center"/>
          </w:tcPr>
          <w:p>
            <w:pPr>
              <w:pStyle w:val="TableContents"/>
              <w:bidi w:val="0"/>
              <w:spacing w:before="0" w:after="283"/>
              <w:jc w:val="right"/>
              <w:rPr/>
            </w:pPr>
            <w:r>
              <w:rPr/>
              <w:t>66,025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35" w:type="dxa"/>
            <w:tcBorders/>
            <w:shd w:fill="EEEEEE" w:val="clear"/>
            <w:vAlign w:val="center"/>
          </w:tcPr>
          <w:p>
            <w:pPr>
              <w:pStyle w:val="TableContents"/>
              <w:bidi w:val="0"/>
              <w:spacing w:before="0" w:after="283"/>
              <w:jc w:val="left"/>
              <w:rPr/>
            </w:pPr>
            <w:r>
              <w:rPr/>
              <w:t>$</w:t>
            </w:r>
            <w:bookmarkStart w:id="648" w:name="xdx_98E_eus-gaap--InterestExpense_c20250"/>
            <w:bookmarkEnd w:id="648"/>
          </w:p>
        </w:tc>
        <w:tc>
          <w:tcPr>
            <w:tcW w:w="1346" w:type="dxa"/>
            <w:tcBorders/>
            <w:shd w:fill="EEEEEE" w:val="clear"/>
            <w:vAlign w:val="center"/>
          </w:tcPr>
          <w:p>
            <w:pPr>
              <w:pStyle w:val="TableContents"/>
              <w:bidi w:val="0"/>
              <w:spacing w:before="0" w:after="283"/>
              <w:jc w:val="right"/>
              <w:rPr/>
            </w:pPr>
            <w:r>
              <w:rPr/>
              <w:t>113,507</w:t>
            </w:r>
          </w:p>
        </w:tc>
        <w:tc>
          <w:tcPr>
            <w:tcW w:w="100" w:type="dxa"/>
            <w:tcBorders/>
            <w:shd w:fill="EEEEEE" w:val="clear"/>
            <w:vAlign w:val="center"/>
          </w:tcPr>
          <w:p>
            <w:pPr>
              <w:pStyle w:val="TableContents"/>
              <w:bidi w:val="0"/>
              <w:spacing w:before="0" w:after="283"/>
              <w:jc w:val="left"/>
              <w:rPr/>
            </w:pPr>
            <w:r>
              <w:rPr/>
              <w:t> </w:t>
            </w:r>
          </w:p>
        </w:tc>
        <w:tc>
          <w:tcPr>
            <w:tcW w:w="100" w:type="dxa"/>
            <w:tcBorders/>
            <w:shd w:fill="EEEEEE" w:val="clear"/>
            <w:vAlign w:val="center"/>
          </w:tcPr>
          <w:p>
            <w:pPr>
              <w:pStyle w:val="TableContents"/>
              <w:bidi w:val="0"/>
              <w:spacing w:before="0" w:after="283"/>
              <w:jc w:val="left"/>
              <w:rPr/>
            </w:pPr>
            <w:r>
              <w:rPr/>
              <w:t> </w:t>
            </w:r>
          </w:p>
        </w:tc>
        <w:tc>
          <w:tcPr>
            <w:tcW w:w="235" w:type="dxa"/>
            <w:tcBorders/>
            <w:shd w:fill="EEEEEE" w:val="clear"/>
            <w:vAlign w:val="center"/>
          </w:tcPr>
          <w:p>
            <w:pPr>
              <w:pStyle w:val="TableContents"/>
              <w:bidi w:val="0"/>
              <w:spacing w:before="0" w:after="283"/>
              <w:jc w:val="left"/>
              <w:rPr/>
            </w:pPr>
            <w:r>
              <w:rPr/>
              <w:t>$</w:t>
            </w:r>
            <w:bookmarkStart w:id="649" w:name="xdx_986_eus-gaap--InterestExpense_c20240"/>
            <w:bookmarkEnd w:id="649"/>
          </w:p>
        </w:tc>
        <w:tc>
          <w:tcPr>
            <w:tcW w:w="1346" w:type="dxa"/>
            <w:tcBorders/>
            <w:shd w:fill="EEEEEE" w:val="clear"/>
            <w:vAlign w:val="center"/>
          </w:tcPr>
          <w:p>
            <w:pPr>
              <w:pStyle w:val="TableContents"/>
              <w:bidi w:val="0"/>
              <w:spacing w:before="0" w:after="283"/>
              <w:jc w:val="right"/>
              <w:rPr/>
            </w:pPr>
            <w:r>
              <w:rPr/>
              <w:t>109,170</w:t>
            </w:r>
          </w:p>
        </w:tc>
        <w:tc>
          <w:tcPr>
            <w:tcW w:w="75" w:type="dxa"/>
            <w:tcBorders/>
            <w:shd w:fill="EEEEEE"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Credit utilization fees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bookmarkStart w:id="650" w:name="xdx_988_eus-gaap--InterestExpense_c20251"/>
            <w:bookmarkEnd w:id="650"/>
          </w:p>
        </w:tc>
        <w:tc>
          <w:tcPr>
            <w:tcW w:w="1325" w:type="dxa"/>
            <w:tcBorders/>
            <w:shd w:fill="FFFFFF" w:val="clear"/>
            <w:vAlign w:val="center"/>
          </w:tcPr>
          <w:p>
            <w:pPr>
              <w:pStyle w:val="TableContents"/>
              <w:bidi w:val="0"/>
              <w:spacing w:before="0" w:after="283"/>
              <w:jc w:val="right"/>
              <w:rPr/>
            </w:pPr>
            <w:r>
              <w:rPr/>
              <w:t>8,513</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bookmarkStart w:id="651" w:name="xdx_988_eus-gaap--InterestExpense_c20241"/>
            <w:bookmarkEnd w:id="651"/>
          </w:p>
        </w:tc>
        <w:tc>
          <w:tcPr>
            <w:tcW w:w="1559" w:type="dxa"/>
            <w:tcBorders/>
            <w:shd w:fill="FFFFFF" w:val="clear"/>
            <w:vAlign w:val="center"/>
          </w:tcPr>
          <w:p>
            <w:pPr>
              <w:pStyle w:val="TableContents"/>
              <w:bidi w:val="0"/>
              <w:spacing w:before="0" w:after="283"/>
              <w:jc w:val="right"/>
              <w:rPr/>
            </w:pPr>
            <w:r>
              <w:rPr/>
              <w:t>14,583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652" w:name="xdx_980_eus-gaap--InterestExpense_c20250"/>
            <w:bookmarkEnd w:id="652"/>
          </w:p>
        </w:tc>
        <w:tc>
          <w:tcPr>
            <w:tcW w:w="1346" w:type="dxa"/>
            <w:tcBorders/>
            <w:shd w:fill="FFFFFF" w:val="clear"/>
            <w:vAlign w:val="center"/>
          </w:tcPr>
          <w:p>
            <w:pPr>
              <w:pStyle w:val="TableContents"/>
              <w:bidi w:val="0"/>
              <w:spacing w:before="0" w:after="283"/>
              <w:jc w:val="right"/>
              <w:rPr/>
            </w:pPr>
            <w:r>
              <w:rPr/>
              <w:t>18,636</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653" w:name="xdx_988_eus-gaap--InterestExpense_c20240"/>
            <w:bookmarkEnd w:id="653"/>
          </w:p>
        </w:tc>
        <w:tc>
          <w:tcPr>
            <w:tcW w:w="1346" w:type="dxa"/>
            <w:tcBorders/>
            <w:shd w:fill="FFFFFF" w:val="clear"/>
            <w:vAlign w:val="center"/>
          </w:tcPr>
          <w:p>
            <w:pPr>
              <w:pStyle w:val="TableContents"/>
              <w:bidi w:val="0"/>
              <w:spacing w:before="0" w:after="283"/>
              <w:jc w:val="right"/>
              <w:rPr/>
            </w:pPr>
            <w:r>
              <w:rPr/>
              <w:t>36,350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EEEEEE" w:val="clear"/>
            <w:vAlign w:val="center"/>
          </w:tcPr>
          <w:p>
            <w:pPr>
              <w:pStyle w:val="TableContents"/>
              <w:bidi w:val="0"/>
              <w:spacing w:before="0" w:after="283"/>
              <w:jc w:val="left"/>
              <w:rPr/>
            </w:pPr>
            <w:r>
              <w:rPr/>
              <w:t>Amortization of debt discount</w:t>
            </w:r>
          </w:p>
        </w:tc>
        <w:tc>
          <w:tcPr>
            <w:tcW w:w="60" w:type="dxa"/>
            <w:tcBorders/>
            <w:shd w:fill="EEEEEE" w:val="clear"/>
            <w:vAlign w:val="center"/>
          </w:tcPr>
          <w:p>
            <w:pPr>
              <w:pStyle w:val="TableContents"/>
              <w:bidi w:val="0"/>
              <w:spacing w:before="0" w:after="283"/>
              <w:jc w:val="left"/>
              <w:rPr/>
            </w:pPr>
            <w:r>
              <w:rPr/>
              <w:t> </w:t>
            </w:r>
          </w:p>
        </w:tc>
        <w:tc>
          <w:tcPr>
            <w:tcW w:w="27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54" w:name="xdx_98F_eus-gaap--InterestExpense_d0_c20"/>
            <w:bookmarkEnd w:id="654"/>
          </w:p>
        </w:tc>
        <w:tc>
          <w:tcPr>
            <w:tcW w:w="132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6" w:type="dxa"/>
            <w:tcBorders/>
            <w:shd w:fill="EEEEEE" w:val="clear"/>
            <w:vAlign w:val="center"/>
          </w:tcPr>
          <w:p>
            <w:pPr>
              <w:pStyle w:val="TableContents"/>
              <w:bidi w:val="0"/>
              <w:spacing w:before="0" w:after="283"/>
              <w:jc w:val="left"/>
              <w:rPr/>
            </w:pPr>
            <w:r>
              <w:rPr/>
              <w:t> </w:t>
            </w:r>
          </w:p>
        </w:tc>
        <w:tc>
          <w:tcPr>
            <w:tcW w:w="116" w:type="dxa"/>
            <w:tcBorders/>
            <w:shd w:fill="EEEEEE" w:val="clear"/>
            <w:vAlign w:val="center"/>
          </w:tcPr>
          <w:p>
            <w:pPr>
              <w:pStyle w:val="TableContents"/>
              <w:bidi w:val="0"/>
              <w:spacing w:before="0" w:after="283"/>
              <w:jc w:val="left"/>
              <w:rPr/>
            </w:pPr>
            <w:r>
              <w:rPr/>
              <w:t> </w:t>
            </w:r>
          </w:p>
        </w:tc>
        <w:tc>
          <w:tcPr>
            <w:tcW w:w="27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55" w:name="xdx_98F_eus-gaap--InterestExpense_c20241"/>
            <w:bookmarkEnd w:id="655"/>
          </w:p>
        </w:tc>
        <w:tc>
          <w:tcPr>
            <w:tcW w:w="1559" w:type="dxa"/>
            <w:tcBorders>
              <w:bottom w:val="single" w:sz="8" w:space="0" w:color="000000"/>
            </w:tcBorders>
            <w:shd w:fill="EEEEEE" w:val="clear"/>
            <w:tcMar>
              <w:bottom w:w="28" w:type="dxa"/>
            </w:tcMar>
            <w:vAlign w:val="center"/>
          </w:tcPr>
          <w:p>
            <w:pPr>
              <w:pStyle w:val="TableContents"/>
              <w:bidi w:val="0"/>
              <w:spacing w:before="0" w:after="283"/>
              <w:jc w:val="right"/>
              <w:rPr/>
            </w:pPr>
            <w:r>
              <w:rPr/>
              <w:t>59,602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3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56" w:name="xdx_98E_eus-gaap--InterestExpense_d0_c20"/>
            <w:bookmarkEnd w:id="656"/>
          </w:p>
        </w:tc>
        <w:tc>
          <w:tcPr>
            <w:tcW w:w="1346"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00" w:type="dxa"/>
            <w:tcBorders/>
            <w:shd w:fill="EEEEEE" w:val="clear"/>
            <w:vAlign w:val="center"/>
          </w:tcPr>
          <w:p>
            <w:pPr>
              <w:pStyle w:val="TableContents"/>
              <w:bidi w:val="0"/>
              <w:spacing w:before="0" w:after="283"/>
              <w:jc w:val="left"/>
              <w:rPr/>
            </w:pPr>
            <w:r>
              <w:rPr/>
              <w:t> </w:t>
            </w:r>
          </w:p>
        </w:tc>
        <w:tc>
          <w:tcPr>
            <w:tcW w:w="100" w:type="dxa"/>
            <w:tcBorders/>
            <w:shd w:fill="EEEEEE" w:val="clear"/>
            <w:vAlign w:val="center"/>
          </w:tcPr>
          <w:p>
            <w:pPr>
              <w:pStyle w:val="TableContents"/>
              <w:bidi w:val="0"/>
              <w:spacing w:before="0" w:after="283"/>
              <w:jc w:val="left"/>
              <w:rPr/>
            </w:pPr>
            <w:r>
              <w:rPr/>
              <w:t> </w:t>
            </w:r>
          </w:p>
        </w:tc>
        <w:tc>
          <w:tcPr>
            <w:tcW w:w="23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57" w:name="xdx_980_eus-gaap--InterestExpense_c20240"/>
            <w:bookmarkEnd w:id="657"/>
          </w:p>
        </w:tc>
        <w:tc>
          <w:tcPr>
            <w:tcW w:w="1346" w:type="dxa"/>
            <w:tcBorders>
              <w:bottom w:val="single" w:sz="8" w:space="0" w:color="000000"/>
            </w:tcBorders>
            <w:shd w:fill="EEEEEE" w:val="clear"/>
            <w:tcMar>
              <w:bottom w:w="28" w:type="dxa"/>
            </w:tcMar>
            <w:vAlign w:val="center"/>
          </w:tcPr>
          <w:p>
            <w:pPr>
              <w:pStyle w:val="TableContents"/>
              <w:bidi w:val="0"/>
              <w:spacing w:before="0" w:after="283"/>
              <w:jc w:val="right"/>
              <w:rPr/>
            </w:pPr>
            <w:r>
              <w:rPr/>
              <w:t>125,906</w:t>
            </w:r>
          </w:p>
        </w:tc>
        <w:tc>
          <w:tcPr>
            <w:tcW w:w="75" w:type="dxa"/>
            <w:tcBorders/>
            <w:shd w:fill="EEEEEE"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58" w:name="xdx_986_eus-gaap--InterestExpense_c20251"/>
            <w:bookmarkEnd w:id="658"/>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70,306</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59" w:name="xdx_981_eus-gaap--InterestExpense_c20241"/>
            <w:bookmarkEnd w:id="659"/>
          </w:p>
        </w:tc>
        <w:tc>
          <w:tcPr>
            <w:tcW w:w="1559" w:type="dxa"/>
            <w:tcBorders>
              <w:bottom w:val="double" w:sz="6" w:space="0" w:color="000000"/>
            </w:tcBorders>
            <w:shd w:fill="FFFFFF" w:val="clear"/>
            <w:tcMar>
              <w:bottom w:w="28" w:type="dxa"/>
            </w:tcMar>
            <w:vAlign w:val="center"/>
          </w:tcPr>
          <w:p>
            <w:pPr>
              <w:pStyle w:val="TableContents"/>
              <w:bidi w:val="0"/>
              <w:spacing w:before="0" w:after="283"/>
              <w:jc w:val="right"/>
              <w:rPr/>
            </w:pPr>
            <w:r>
              <w:rPr/>
              <w:t>140,210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60" w:name="xdx_989_eus-gaap--InterestExpense_c20250"/>
            <w:bookmarkEnd w:id="660"/>
          </w:p>
        </w:tc>
        <w:tc>
          <w:tcPr>
            <w:tcW w:w="1346" w:type="dxa"/>
            <w:tcBorders>
              <w:bottom w:val="double" w:sz="6" w:space="0" w:color="000000"/>
            </w:tcBorders>
            <w:shd w:fill="FFFFFF" w:val="clear"/>
            <w:tcMar>
              <w:bottom w:w="28" w:type="dxa"/>
            </w:tcMar>
            <w:vAlign w:val="center"/>
          </w:tcPr>
          <w:p>
            <w:pPr>
              <w:pStyle w:val="TableContents"/>
              <w:bidi w:val="0"/>
              <w:spacing w:before="0" w:after="283"/>
              <w:jc w:val="right"/>
              <w:rPr/>
            </w:pPr>
            <w:r>
              <w:rPr/>
              <w:t>132,143</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61" w:name="xdx_98E_eus-gaap--InterestExpense_c20240"/>
            <w:bookmarkEnd w:id="661"/>
          </w:p>
        </w:tc>
        <w:tc>
          <w:tcPr>
            <w:tcW w:w="1346" w:type="dxa"/>
            <w:tcBorders>
              <w:bottom w:val="double" w:sz="6" w:space="0" w:color="000000"/>
            </w:tcBorders>
            <w:shd w:fill="FFFFFF" w:val="clear"/>
            <w:tcMar>
              <w:bottom w:w="28" w:type="dxa"/>
            </w:tcMar>
            <w:vAlign w:val="center"/>
          </w:tcPr>
          <w:p>
            <w:pPr>
              <w:pStyle w:val="TableContents"/>
              <w:bidi w:val="0"/>
              <w:spacing w:before="0" w:after="283"/>
              <w:jc w:val="right"/>
              <w:rPr/>
            </w:pPr>
            <w:r>
              <w:rPr/>
              <w:t>271,426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2" w:name="xdx_8AC_zCxUcey3oJqa"/>
      <w:bookmarkEnd w:id="66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2022, in connection with the acquisition of Anivia Limited, the Company and JPM entered into an amendment to the Pledge and Security Agreement, pursuant to which the Company pledged 65% of its ownership interest in Anivia Limited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entered into a second amendment to the credit agreement and consent (the “Second Amendment to the Credit Agreement”), originally dated November 12, 2021, as amended, with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grows or cultivates cannabis; it being acknowledged, however, that the Company does not generally conduct due diligence on its individual retail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2024, the Company entered into a third amendment (the “Third Amendment”) to that certain credit agreement, initially entered into by and among the Company and its subsidiaries and JPMorgan Chase Bank, N.A., as administrative agent for the Lender and a lender (the “Administrative Agent” or “Lender”), on November 12, 2021 (the “Credit Agreement”). The Third Amendment to the Credit Agreement amended, among other things, (i) the defined term “Aggregate Revolving Commitment” to mean $</w:t>
      </w:r>
      <w:bookmarkStart w:id="663" w:name="xdx_906_eus-gaap--LineOfCreditFacilityMa"/>
      <w:bookmarkEnd w:id="663"/>
      <w:r>
        <w:rPr>
          <w:rFonts w:ascii="Times New Roman;Times;Serif" w:hAnsi="Times New Roman;Times;Serif"/>
          <w:b w:val="false"/>
          <w:i w:val="false"/>
          <w:caps w:val="false"/>
          <w:smallCaps w:val="false"/>
          <w:sz w:val="20"/>
        </w:rPr>
        <w:t>15,000,000, and (ii) extended the maturity date to “November 8, 2027 or any earlier date on which the Revolving Commitments are reduced to zero or otherwise terminated pursuant to the terms hereof.” The borrowing rate is SOFR plus 2.25% to 2.50% depending on utilization of the borrowing availability.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2025, the Company repaid in full the outstanding amount resulting in the termination of the ABL.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2025, the outstanding amount of the ABL, which was classified as current revolving loan payable, including interest payable, was $</w:t>
      </w:r>
      <w:bookmarkStart w:id="664" w:name="xdx_903_eus-gaap--LineOfCredit_iI_c20251"/>
      <w:bookmarkEnd w:id="664"/>
      <w:r>
        <w:rPr>
          <w:rFonts w:ascii="Times New Roman;Times;Serif" w:hAnsi="Times New Roman;Times;Serif"/>
          <w:b w:val="false"/>
          <w:i w:val="false"/>
          <w:caps w:val="false"/>
          <w:smallCaps w:val="false"/>
          <w:sz w:val="20"/>
        </w:rPr>
        <w:t>0 and $</w:t>
      </w:r>
      <w:bookmarkStart w:id="665" w:name="xdx_900_eus-gaap--LineOfCredit_iI_c20250"/>
      <w:bookmarkEnd w:id="665"/>
      <w:r>
        <w:rPr>
          <w:rFonts w:ascii="Times New Roman;Times;Serif" w:hAnsi="Times New Roman;Times;Serif"/>
          <w:b w:val="false"/>
          <w:i w:val="false"/>
          <w:caps w:val="false"/>
          <w:smallCaps w:val="false"/>
          <w:sz w:val="20"/>
        </w:rPr>
        <w:t>3,737,602,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66" w:name="xdx_235_zBwNiypyhSfl"/>
      <w:bookmarkEnd w:id="666"/>
      <w:r>
        <w:rPr>
          <w:caps w:val="false"/>
          <w:smallCaps w:val="false"/>
        </w:rPr>
        <w:t> </w:t>
      </w:r>
    </w:p>
    <w:p>
      <w:pPr>
        <w:pStyle w:val="TextBody"/>
        <w:bidi w:val="0"/>
        <w:spacing w:before="0" w:after="0"/>
        <w:ind w:left="0" w:right="0" w:hanging="0"/>
        <w:jc w:val="both"/>
        <w:rPr>
          <w:caps w:val="false"/>
          <w:smallCaps w:val="false"/>
        </w:rPr>
      </w:pPr>
      <w:bookmarkStart w:id="667" w:name="xdx_23E_zMn64vDcT4X"/>
      <w:bookmarkEnd w:id="66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668" w:name="xdx_234_zNuWDJ9KOk13"/>
      <w:bookmarkEnd w:id="66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Short-term 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three and six months ended December 31, 2024, the Company recorded interest expense of $</w:t>
      </w:r>
      <w:bookmarkStart w:id="669" w:name="xdx_909_eus-gaap--InterestExpenseDebt_pp"/>
      <w:bookmarkEnd w:id="669"/>
      <w:r>
        <w:rPr>
          <w:rFonts w:ascii="Times New Roman;Times;Serif" w:hAnsi="Times New Roman;Times;Serif"/>
          <w:b w:val="false"/>
          <w:i w:val="false"/>
          <w:caps w:val="false"/>
          <w:smallCaps w:val="false"/>
          <w:sz w:val="20"/>
        </w:rPr>
        <w:t>0 and $</w:t>
      </w:r>
      <w:bookmarkStart w:id="670" w:name="xdx_905_eus-gaap--InterestExpenseDebt_pp"/>
      <w:bookmarkEnd w:id="670"/>
      <w:r>
        <w:rPr>
          <w:rFonts w:ascii="Times New Roman;Times;Serif" w:hAnsi="Times New Roman;Times;Serif"/>
          <w:b w:val="false"/>
          <w:i w:val="false"/>
          <w:caps w:val="false"/>
          <w:smallCaps w:val="false"/>
          <w:sz w:val="20"/>
        </w:rPr>
        <w:t>3,733, respectively. As of December 31, 2025 and June 30, 2025, the On-demand Loan 2 had been fully paid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Company borrowed $</w:t>
      </w:r>
      <w:bookmarkStart w:id="671" w:name="xdx_902_eus-gaap--DebtInstrumentFaceAmou"/>
      <w:bookmarkEnd w:id="671"/>
      <w:r>
        <w:rPr>
          <w:rFonts w:ascii="Times New Roman;Times;Serif" w:hAnsi="Times New Roman;Times;Serif"/>
          <w:b w:val="false"/>
          <w:i w:val="false"/>
          <w:caps w:val="false"/>
          <w:smallCaps w:val="false"/>
          <w:sz w:val="20"/>
        </w:rPr>
        <w:t>500,000 as a short-term loan (“RP Loan 2”) from an entity owned by Mr. Allan Huang, one of the majority shareholders of the Company. The RP Loan 2 bears no interest and is due upon receipt of request of repayment. As of December 31, 2025, the outstanding balance of the RP Loan was $</w:t>
      </w:r>
      <w:bookmarkStart w:id="672" w:name="xdx_905_eus-gaap--NotesPayable_iI_pp0p0_"/>
      <w:bookmarkEnd w:id="672"/>
      <w:r>
        <w:rPr>
          <w:rFonts w:ascii="Times New Roman;Times;Serif" w:hAnsi="Times New Roman;Times;Serif"/>
          <w:b w:val="false"/>
          <w:i w:val="false"/>
          <w:caps w:val="false"/>
          <w:smallCaps w:val="false"/>
          <w:sz w:val="20"/>
        </w:rPr>
        <w:t>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three promissory notes totaling $</w:t>
      </w:r>
      <w:bookmarkStart w:id="673" w:name="xdx_90F_eus-gaap--ProceedsFromNotesPayab"/>
      <w:bookmarkEnd w:id="673"/>
      <w:r>
        <w:rPr>
          <w:rFonts w:ascii="Times New Roman;Times;Serif" w:hAnsi="Times New Roman;Times;Serif"/>
          <w:b w:val="false"/>
          <w:i w:val="false"/>
          <w:caps w:val="false"/>
          <w:smallCaps w:val="false"/>
          <w:sz w:val="20"/>
        </w:rPr>
        <w:t>2 million (the “Promissory Notes”) in exchange for gross proceeds of $</w:t>
      </w:r>
      <w:bookmarkStart w:id="674" w:name="xdx_903_eus-gaap--NotesPayable_iI_pn6n6_"/>
      <w:bookmarkEnd w:id="674"/>
      <w:r>
        <w:rPr>
          <w:rFonts w:ascii="Times New Roman;Times;Serif" w:hAnsi="Times New Roman;Times;Serif"/>
          <w:b w:val="false"/>
          <w:i w:val="false"/>
          <w:caps w:val="false"/>
          <w:smallCaps w:val="false"/>
          <w:sz w:val="20"/>
        </w:rPr>
        <w:t>2 million. The Promissory Notes were entered into with certain investors and related parties, including an entity controlled by the Company’s CEO, Chenlong Tan. The Promissory Notes bear 6.5% interest per annum and are repayable upon the earlier of 90 days or the Company’s entry into new financing arrangements. The funds received in connection with the Company’s issuance of the Promissory Notes was used to pay off the Company’s existing ABL with JPMorgan Chase Bank, N.A. (“JPMorgan”).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5" w:name="xdx_807_eus-gaap--RelatedPartyTransactio"/>
      <w:bookmarkEnd w:id="675"/>
      <w:r>
        <w:rPr>
          <w:rFonts w:ascii="Times New Roman;Times;Serif" w:hAnsi="Times New Roman;Times;Serif"/>
          <w:b/>
          <w:i w:val="false"/>
          <w:caps w:val="false"/>
          <w:smallCaps w:val="false"/>
          <w:sz w:val="20"/>
        </w:rPr>
        <w:t xml:space="preserve">Note 12 - </w:t>
      </w:r>
      <w:bookmarkStart w:id="676" w:name="xdx_82C_zUoGsgii8QD1"/>
      <w:bookmarkEnd w:id="676"/>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Company borrowed $</w:t>
      </w:r>
      <w:bookmarkStart w:id="677" w:name="xdx_904_eus-gaap--DebtInstrumentFaceAmou"/>
      <w:bookmarkEnd w:id="677"/>
      <w:r>
        <w:rPr>
          <w:rFonts w:ascii="Times New Roman;Times;Serif" w:hAnsi="Times New Roman;Times;Serif"/>
          <w:b w:val="false"/>
          <w:i w:val="false"/>
          <w:caps w:val="false"/>
          <w:smallCaps w:val="false"/>
          <w:sz w:val="20"/>
        </w:rPr>
        <w:t>500,000 as a short-term loan from an entity owned by Mr. Allan Huang, one of the majority shareholders of the Company. See Note 11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a Promissory Note in exchange for gross proceeds of $</w:t>
      </w:r>
      <w:bookmarkStart w:id="678" w:name="xdx_909_eus-gaap--DebtInstrumentFaceAmou"/>
      <w:bookmarkEnd w:id="678"/>
      <w:r>
        <w:rPr>
          <w:rFonts w:ascii="Times New Roman;Times;Serif" w:hAnsi="Times New Roman;Times;Serif"/>
          <w:b w:val="false"/>
          <w:i w:val="false"/>
          <w:caps w:val="false"/>
          <w:smallCaps w:val="false"/>
          <w:sz w:val="20"/>
        </w:rPr>
        <w:t>550,000 to an entity controlled by the Company’s CEO, Chenlong Tan. See Note 11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Custom Cup Factory, Inc. (“CCF”) and Ms. Yi Yang, our new director appointed on June 6, 2025, entered into the Limited Liability Company Operating Agreement (the “Operating Agreement”) of United Package NV, LLC, a Nevada limited liability corporation (the “Joint Venture”). The Joint Venture will focus on the domestic production of packaging materials to serve the rapidly growing demands of U.S. businesses seeking reliable, sustainable, and cost-effective supply chain solutions without reliance on offshore manufacturing. See Note 3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Ms. Yang’s entity, Pacelor Inc. (“Pacelor”), manages a warehouse and provides fulfillment services for the Company and receives a monthly service fee, which fluctuates from month to month. Ms. Yang is the Founder and Chief Executive Officer of Pacelor. As a result, Pacelor has become a related party of the Company since June 6, 2025. For the three and six months ended December 31, 2025, the Company received $</w:t>
      </w:r>
      <w:bookmarkStart w:id="679" w:name="xdx_906_eus-gaap--CostOfRevenue_c2025100"/>
      <w:bookmarkEnd w:id="679"/>
      <w:r>
        <w:rPr>
          <w:rFonts w:ascii="Times New Roman;Times;Serif" w:hAnsi="Times New Roman;Times;Serif"/>
          <w:b w:val="false"/>
          <w:i w:val="false"/>
          <w:caps w:val="false"/>
          <w:smallCaps w:val="false"/>
          <w:sz w:val="20"/>
        </w:rPr>
        <w:t>821,402 and $</w:t>
      </w:r>
      <w:bookmarkStart w:id="680" w:name="xdx_908_eus-gaap--CostOfRevenue_c2025070"/>
      <w:bookmarkEnd w:id="680"/>
      <w:r>
        <w:rPr>
          <w:rFonts w:ascii="Times New Roman;Times;Serif" w:hAnsi="Times New Roman;Times;Serif"/>
          <w:b w:val="false"/>
          <w:i w:val="false"/>
          <w:caps w:val="false"/>
          <w:smallCaps w:val="false"/>
          <w:sz w:val="20"/>
        </w:rPr>
        <w:t>1,267,918 service from Pacelor. As of December 31, 2025 and June 30, 2025, the (prepayment) accounts payable to Pacelor was $(</w:t>
      </w:r>
      <w:bookmarkStart w:id="681" w:name="xdx_904_ecustom--AccountsPayablePrepayme"/>
      <w:bookmarkEnd w:id="681"/>
      <w:r>
        <w:rPr>
          <w:rFonts w:ascii="Times New Roman;Times;Serif" w:hAnsi="Times New Roman;Times;Serif"/>
          <w:b w:val="false"/>
          <w:i w:val="false"/>
          <w:caps w:val="false"/>
          <w:smallCaps w:val="false"/>
          <w:sz w:val="20"/>
        </w:rPr>
        <w:t>565,716) and $</w:t>
      </w:r>
      <w:bookmarkStart w:id="682" w:name="xdx_90F_ecustom--AccountsPayablePrepayme"/>
      <w:bookmarkEnd w:id="682"/>
      <w:r>
        <w:rPr>
          <w:rFonts w:ascii="Times New Roman;Times;Serif" w:hAnsi="Times New Roman;Times;Serif"/>
          <w:b w:val="false"/>
          <w:i w:val="false"/>
          <w:caps w:val="false"/>
          <w:smallCaps w:val="false"/>
          <w:sz w:val="20"/>
        </w:rPr>
        <w:t>78,831, respectively. Ms. Yang’s other entity, Pacelor NV Inc. (“Pacelor NV”) also provides marketing services for the Company. As of December 31, 2025 and June 30, 2025, the outstanding accounts payable to Pacelor NV was $</w:t>
      </w:r>
      <w:bookmarkStart w:id="683" w:name="xdx_904_eus-gaap--AccountsPayableCurrent"/>
      <w:bookmarkEnd w:id="683"/>
      <w:r>
        <w:rPr>
          <w:rFonts w:ascii="Times New Roman;Times;Serif" w:hAnsi="Times New Roman;Times;Serif"/>
          <w:b w:val="false"/>
          <w:i w:val="false"/>
          <w:caps w:val="false"/>
          <w:smallCaps w:val="false"/>
          <w:sz w:val="20"/>
        </w:rPr>
        <w:t>315,019 and $</w:t>
      </w:r>
      <w:bookmarkStart w:id="684" w:name="xdx_905_eus-gaap--AccountsPayableCurrent"/>
      <w:bookmarkEnd w:id="684"/>
      <w:r>
        <w:rPr>
          <w:rFonts w:ascii="Times New Roman;Times;Serif" w:hAnsi="Times New Roman;Times;Serif"/>
          <w:b w:val="false"/>
          <w:i w:val="false"/>
          <w:caps w:val="false"/>
          <w:smallCaps w:val="false"/>
          <w:sz w:val="20"/>
        </w:rPr>
        <w:t>315,019,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85" w:name="xdx_233_zG3m8OSIMQEb"/>
      <w:bookmarkEnd w:id="685"/>
      <w:r>
        <w:rPr>
          <w:caps w:val="false"/>
          <w:smallCaps w:val="false"/>
        </w:rPr>
        <w:t> </w:t>
      </w:r>
    </w:p>
    <w:p>
      <w:pPr>
        <w:pStyle w:val="TextBody"/>
        <w:bidi w:val="0"/>
        <w:spacing w:before="0" w:after="0"/>
        <w:ind w:left="0" w:right="0" w:hanging="0"/>
        <w:jc w:val="both"/>
        <w:rPr>
          <w:caps w:val="false"/>
          <w:smallCaps w:val="false"/>
        </w:rPr>
      </w:pPr>
      <w:bookmarkStart w:id="686" w:name="xdx_23E_zIocbXj7IYmh"/>
      <w:bookmarkEnd w:id="68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687" w:name="xdx_23C_zg0tnIfEAMXg"/>
      <w:bookmarkEnd w:id="68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88" w:name="xdx_806_eus-gaap--IncomeTaxDisclosureTex"/>
      <w:bookmarkEnd w:id="688"/>
      <w:r>
        <w:rPr>
          <w:rFonts w:ascii="Times New Roman;Times;Serif" w:hAnsi="Times New Roman;Times;Serif"/>
          <w:b/>
          <w:i w:val="false"/>
          <w:caps w:val="false"/>
          <w:smallCaps w:val="false"/>
          <w:sz w:val="20"/>
        </w:rPr>
        <w:t xml:space="preserve">Note 13 – </w:t>
      </w:r>
      <w:bookmarkStart w:id="689" w:name="xdx_82B_z19dDl2Huu1k"/>
      <w:bookmarkEnd w:id="689"/>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corporate income taxes in the United States, upon completion of the acquisition of Anivia in February 2022, the Company is subject to corporate income taxes in People’s Republic of China (“PRC”). Anivia and its subsidiaries are subject to BVI or Hong Kong income taxes but did not have any operations in those jurisdictions for the year ended June 30, 2022. The Company’s subsidiary in China, Dayourenzai (Shenzhen) Technology Co., Ltd. (“WFOE”), is subject to the Global Intangible Low-Taxed Income (or GILTI) Tax. WFOE is subject to 5% tax rate in PRC until December 31, 2027. Since WFOE had losses during the six months ended December 31, 2025 and 2024 and the year ended June 30, 2025, no GILTI tax was recorded as of December 31, 2025 and June 30, 2025. The Company is not eligible for the GILTI high-tax exclusion. In addition, as a result of the acquisition, the Company recognized goodwill in the amount of $</w:t>
      </w:r>
      <w:bookmarkStart w:id="690" w:name="xdx_900_eus-gaap--Goodwill_iI_c20251231_"/>
      <w:bookmarkEnd w:id="690"/>
      <w:r>
        <w:rPr>
          <w:rFonts w:ascii="Times New Roman;Times;Serif" w:hAnsi="Times New Roman;Times;Serif"/>
          <w:b w:val="false"/>
          <w:i w:val="false"/>
          <w:caps w:val="false"/>
          <w:smallCaps w:val="false"/>
          <w:sz w:val="20"/>
        </w:rPr>
        <w:t>3,034,110. Since the acquisition was a stock acquisition, the goodwill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December 31, 2025,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provision for the three and six months ended December 31, 2025 and 2024 consisted of the following: </w:t>
      </w:r>
    </w:p>
    <w:p>
      <w:pPr>
        <w:pStyle w:val="Normal"/>
        <w:bidi w:val="0"/>
        <w:spacing w:before="0" w:after="0"/>
        <w:jc w:val="left"/>
        <w:rPr>
          <w:sz w:val="4"/>
          <w:szCs w:val="4"/>
        </w:rPr>
      </w:pPr>
      <w:r>
        <w:rPr>
          <w:sz w:val="4"/>
          <w:szCs w:val="4"/>
        </w:rPr>
      </w:r>
      <w:bookmarkStart w:id="691" w:name="xdx_88D_eus-gaap--ScheduleOfComponentsOf"/>
      <w:bookmarkStart w:id="692" w:name="xdx_88D_eus-gaap--ScheduleOfComponentsOf"/>
      <w:bookmarkEnd w:id="692"/>
    </w:p>
    <w:tbl>
      <w:tblPr>
        <w:tblW w:w="10205" w:type="dxa"/>
        <w:jc w:val="left"/>
        <w:tblInd w:w="0" w:type="dxa"/>
        <w:tblLayout w:type="fixed"/>
        <w:tblCellMar>
          <w:top w:w="0" w:type="dxa"/>
          <w:left w:w="0" w:type="dxa"/>
          <w:bottom w:w="0" w:type="dxa"/>
          <w:right w:w="0" w:type="dxa"/>
        </w:tblCellMar>
      </w:tblPr>
      <w:tblGrid>
        <w:gridCol w:w="3096"/>
        <w:gridCol w:w="60"/>
        <w:gridCol w:w="234"/>
        <w:gridCol w:w="1466"/>
        <w:gridCol w:w="159"/>
        <w:gridCol w:w="100"/>
        <w:gridCol w:w="234"/>
        <w:gridCol w:w="1341"/>
        <w:gridCol w:w="60"/>
        <w:gridCol w:w="60"/>
        <w:gridCol w:w="194"/>
        <w:gridCol w:w="1464"/>
        <w:gridCol w:w="131"/>
        <w:gridCol w:w="82"/>
        <w:gridCol w:w="194"/>
        <w:gridCol w:w="1213"/>
        <w:gridCol w:w="117"/>
      </w:tblGrid>
      <w:tr>
        <w:trPr/>
        <w:tc>
          <w:tcPr>
            <w:tcW w:w="3096" w:type="dxa"/>
            <w:tcBorders/>
            <w:vAlign w:val="center"/>
          </w:tcPr>
          <w:p>
            <w:pPr>
              <w:pStyle w:val="TableContents"/>
              <w:bidi w:val="0"/>
              <w:spacing w:before="0" w:after="283"/>
              <w:jc w:val="left"/>
              <w:rPr/>
            </w:pPr>
            <w:bookmarkStart w:id="693" w:name="xdx_8B4_zTK49uZH7lz9"/>
            <w:bookmarkEnd w:id="693"/>
            <w:r>
              <w:rPr/>
              <w:t>Schedule of income tax provision</w:t>
            </w:r>
          </w:p>
        </w:tc>
        <w:tc>
          <w:tcPr>
            <w:tcW w:w="60" w:type="dxa"/>
            <w:tcBorders/>
            <w:vAlign w:val="center"/>
          </w:tcPr>
          <w:p>
            <w:pPr>
              <w:pStyle w:val="TableContents"/>
              <w:bidi w:val="0"/>
              <w:spacing w:before="0" w:after="283"/>
              <w:jc w:val="left"/>
              <w:rPr/>
            </w:pPr>
            <w:r>
              <w:rPr/>
              <w:t> </w:t>
            </w:r>
            <w:bookmarkStart w:id="694" w:name="xdx_49F_20251001__20251231_zTkxYAoBLaO5"/>
            <w:bookmarkEnd w:id="694"/>
          </w:p>
        </w:tc>
        <w:tc>
          <w:tcPr>
            <w:tcW w:w="1700" w:type="dxa"/>
            <w:gridSpan w:val="2"/>
            <w:tcBorders/>
            <w:vAlign w:val="center"/>
          </w:tcPr>
          <w:p>
            <w:pPr>
              <w:pStyle w:val="TableContents"/>
              <w:bidi w:val="0"/>
              <w:spacing w:before="0" w:after="283"/>
              <w:jc w:val="center"/>
              <w:rPr/>
            </w:pPr>
            <w:r>
              <w:rPr/>
              <w:t> </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bookmarkStart w:id="695" w:name="xdx_49F_20241001__20241231_zGfBWQYaWAd"/>
            <w:bookmarkEnd w:id="695"/>
          </w:p>
        </w:tc>
        <w:tc>
          <w:tcPr>
            <w:tcW w:w="15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6" w:name="xdx_491_20250701__20251231_zTKQYD8JhPEk"/>
            <w:bookmarkEnd w:id="696"/>
          </w:p>
        </w:tc>
        <w:tc>
          <w:tcPr>
            <w:tcW w:w="1658" w:type="dxa"/>
            <w:gridSpan w:val="2"/>
            <w:tcBorders/>
            <w:vAlign w:val="center"/>
          </w:tcPr>
          <w:p>
            <w:pPr>
              <w:pStyle w:val="TableContents"/>
              <w:bidi w:val="0"/>
              <w:spacing w:before="0" w:after="283"/>
              <w:jc w:val="center"/>
              <w:rPr/>
            </w:pPr>
            <w:r>
              <w:rPr/>
              <w:t> </w:t>
            </w:r>
          </w:p>
        </w:tc>
        <w:tc>
          <w:tcPr>
            <w:tcW w:w="13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697" w:name="xdx_491_20240701__20241231_zGpTCQUgzEyk"/>
            <w:bookmarkEnd w:id="697"/>
          </w:p>
        </w:tc>
        <w:tc>
          <w:tcPr>
            <w:tcW w:w="1407" w:type="dxa"/>
            <w:gridSpan w:val="2"/>
            <w:tcBorders/>
            <w:vAlign w:val="center"/>
          </w:tcPr>
          <w:p>
            <w:pPr>
              <w:pStyle w:val="TableContents"/>
              <w:bidi w:val="0"/>
              <w:spacing w:before="0" w:after="283"/>
              <w:jc w:val="center"/>
              <w:rPr/>
            </w:pPr>
            <w:r>
              <w:rPr/>
              <w:t> </w:t>
            </w:r>
          </w:p>
        </w:tc>
        <w:tc>
          <w:tcPr>
            <w:tcW w:w="117" w:type="dxa"/>
            <w:tcBorders/>
            <w:vAlign w:val="center"/>
          </w:tcPr>
          <w:p>
            <w:pPr>
              <w:pStyle w:val="TableContents"/>
              <w:bidi w:val="0"/>
              <w:spacing w:before="0" w:after="283"/>
              <w:jc w:val="left"/>
              <w:rPr/>
            </w:pPr>
            <w:r>
              <w:rPr/>
              <w:t> </w:t>
            </w:r>
          </w:p>
        </w:tc>
      </w:tr>
      <w:tr>
        <w:trPr/>
        <w:tc>
          <w:tcPr>
            <w:tcW w:w="3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December 31,</w:t>
            </w:r>
          </w:p>
        </w:tc>
        <w:tc>
          <w:tcPr>
            <w:tcW w:w="117" w:type="dxa"/>
            <w:tcBorders/>
            <w:vAlign w:val="center"/>
          </w:tcPr>
          <w:p>
            <w:pPr>
              <w:pStyle w:val="TableContents"/>
              <w:bidi w:val="0"/>
              <w:spacing w:before="0" w:after="283"/>
              <w:jc w:val="left"/>
              <w:rPr/>
            </w:pPr>
            <w:r>
              <w:rPr/>
              <w:t> </w:t>
            </w:r>
          </w:p>
        </w:tc>
      </w:tr>
      <w:tr>
        <w:trPr/>
        <w:tc>
          <w:tcPr>
            <w:tcW w:w="3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7" w:type="dxa"/>
            <w:tcBorders/>
            <w:vAlign w:val="center"/>
          </w:tcPr>
          <w:p>
            <w:pPr>
              <w:pStyle w:val="TableContents"/>
              <w:bidi w:val="0"/>
              <w:spacing w:before="0" w:after="283"/>
              <w:jc w:val="left"/>
              <w:rPr/>
            </w:pPr>
            <w:r>
              <w:rPr/>
              <w:t> </w:t>
            </w:r>
            <w:bookmarkStart w:id="698" w:name="xdx_40D_eus-gaap--CurrentFederalStateAnd"/>
            <w:bookmarkEnd w:id="698"/>
          </w:p>
        </w:tc>
      </w:tr>
      <w:tr>
        <w:trPr/>
        <w:tc>
          <w:tcPr>
            <w:tcW w:w="3096" w:type="dxa"/>
            <w:tcBorders/>
            <w:vAlign w:val="center"/>
          </w:tcPr>
          <w:p>
            <w:pPr>
              <w:pStyle w:val="TableContents"/>
              <w:bidi w:val="0"/>
              <w:spacing w:before="0" w:after="283"/>
              <w:jc w:val="left"/>
              <w:rPr/>
            </w:pPr>
            <w:r>
              <w:rPr/>
              <w:t>Current:</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5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8" w:type="dxa"/>
            <w:gridSpan w:val="2"/>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bookmarkStart w:id="699" w:name="xdx_40E_eus-gaap--CurrentFederalTaxExpen"/>
            <w:bookmarkEnd w:id="699"/>
          </w:p>
        </w:tc>
      </w:tr>
      <w:tr>
        <w:trPr/>
        <w:tc>
          <w:tcPr>
            <w:tcW w:w="3096" w:type="dxa"/>
            <w:tcBorders/>
            <w:shd w:fill="EEEEEE" w:val="clear"/>
            <w:vAlign w:val="center"/>
          </w:tcPr>
          <w:p>
            <w:pPr>
              <w:pStyle w:val="TableContents"/>
              <w:bidi w:val="0"/>
              <w:spacing w:before="0" w:after="283"/>
              <w:jc w:val="left"/>
              <w:rPr/>
            </w:pPr>
            <w:r>
              <w:rPr/>
              <w:t>Federal</w:t>
            </w:r>
          </w:p>
        </w:tc>
        <w:tc>
          <w:tcPr>
            <w:tcW w:w="60" w:type="dxa"/>
            <w:tcBorders/>
            <w:shd w:fill="EEEEEE" w:val="clear"/>
            <w:vAlign w:val="center"/>
          </w:tcPr>
          <w:p>
            <w:pPr>
              <w:pStyle w:val="TableContents"/>
              <w:bidi w:val="0"/>
              <w:spacing w:before="0" w:after="283"/>
              <w:jc w:val="left"/>
              <w:rPr/>
            </w:pPr>
            <w:r>
              <w:rPr/>
              <w:t> </w:t>
            </w:r>
          </w:p>
        </w:tc>
        <w:tc>
          <w:tcPr>
            <w:tcW w:w="234" w:type="dxa"/>
            <w:tcBorders/>
            <w:shd w:fill="EEEEEE" w:val="clear"/>
            <w:vAlign w:val="center"/>
          </w:tcPr>
          <w:p>
            <w:pPr>
              <w:pStyle w:val="TableContents"/>
              <w:bidi w:val="0"/>
              <w:spacing w:before="0" w:after="283"/>
              <w:jc w:val="left"/>
              <w:rPr/>
            </w:pPr>
            <w:r>
              <w:rPr/>
              <w:t>$</w:t>
            </w:r>
          </w:p>
        </w:tc>
        <w:tc>
          <w:tcPr>
            <w:tcW w:w="1466" w:type="dxa"/>
            <w:tcBorders/>
            <w:shd w:fill="EEEEEE" w:val="clear"/>
            <w:vAlign w:val="center"/>
          </w:tcPr>
          <w:p>
            <w:pPr>
              <w:pStyle w:val="TableContents"/>
              <w:bidi w:val="0"/>
              <w:spacing w:before="0" w:after="283"/>
              <w:jc w:val="right"/>
              <w:rPr/>
            </w:pPr>
            <w:r>
              <w:rPr/>
              <w:t>–</w:t>
            </w:r>
          </w:p>
        </w:tc>
        <w:tc>
          <w:tcPr>
            <w:tcW w:w="159" w:type="dxa"/>
            <w:tcBorders/>
            <w:shd w:fill="EEEEEE" w:val="clear"/>
            <w:vAlign w:val="center"/>
          </w:tcPr>
          <w:p>
            <w:pPr>
              <w:pStyle w:val="TableContents"/>
              <w:bidi w:val="0"/>
              <w:spacing w:before="0" w:after="283"/>
              <w:jc w:val="left"/>
              <w:rPr/>
            </w:pPr>
            <w:r>
              <w:rPr/>
              <w:t> </w:t>
            </w:r>
          </w:p>
        </w:tc>
        <w:tc>
          <w:tcPr>
            <w:tcW w:w="100" w:type="dxa"/>
            <w:tcBorders/>
            <w:shd w:fill="EEEEEE" w:val="clear"/>
            <w:vAlign w:val="center"/>
          </w:tcPr>
          <w:p>
            <w:pPr>
              <w:pStyle w:val="TableContents"/>
              <w:bidi w:val="0"/>
              <w:spacing w:before="0" w:after="283"/>
              <w:jc w:val="left"/>
              <w:rPr/>
            </w:pPr>
            <w:r>
              <w:rPr/>
              <w:t> </w:t>
            </w:r>
          </w:p>
        </w:tc>
        <w:tc>
          <w:tcPr>
            <w:tcW w:w="234" w:type="dxa"/>
            <w:tcBorders/>
            <w:shd w:fill="EEEEEE" w:val="clear"/>
            <w:vAlign w:val="center"/>
          </w:tcPr>
          <w:p>
            <w:pPr>
              <w:pStyle w:val="TableContents"/>
              <w:bidi w:val="0"/>
              <w:spacing w:before="0" w:after="283"/>
              <w:jc w:val="left"/>
              <w:rPr/>
            </w:pPr>
            <w:r>
              <w:rPr/>
              <w:t>$</w:t>
            </w:r>
          </w:p>
        </w:tc>
        <w:tc>
          <w:tcPr>
            <w:tcW w:w="1341" w:type="dxa"/>
            <w:tcBorders/>
            <w:shd w:fill="EEEEEE" w:val="clear"/>
            <w:vAlign w:val="center"/>
          </w:tcPr>
          <w:p>
            <w:pPr>
              <w:pStyle w:val="TableContents"/>
              <w:bidi w:val="0"/>
              <w:spacing w:before="0" w:after="283"/>
              <w:jc w:val="right"/>
              <w:rPr/>
            </w:pPr>
            <w:r>
              <w:rPr/>
              <w:t>14,042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w:t>
            </w:r>
          </w:p>
        </w:tc>
        <w:tc>
          <w:tcPr>
            <w:tcW w:w="1464" w:type="dxa"/>
            <w:tcBorders/>
            <w:shd w:fill="EEEEEE" w:val="clear"/>
            <w:vAlign w:val="center"/>
          </w:tcPr>
          <w:p>
            <w:pPr>
              <w:pStyle w:val="TableContents"/>
              <w:bidi w:val="0"/>
              <w:spacing w:before="0" w:after="283"/>
              <w:jc w:val="right"/>
              <w:rPr/>
            </w:pPr>
            <w:r>
              <w:rPr/>
              <w:t>–</w:t>
            </w:r>
          </w:p>
        </w:tc>
        <w:tc>
          <w:tcPr>
            <w:tcW w:w="131"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w:t>
            </w:r>
          </w:p>
        </w:tc>
        <w:tc>
          <w:tcPr>
            <w:tcW w:w="1213" w:type="dxa"/>
            <w:tcBorders/>
            <w:shd w:fill="EEEEEE" w:val="clear"/>
            <w:vAlign w:val="center"/>
          </w:tcPr>
          <w:p>
            <w:pPr>
              <w:pStyle w:val="TableContents"/>
              <w:bidi w:val="0"/>
              <w:spacing w:before="0" w:after="283"/>
              <w:jc w:val="right"/>
              <w:rPr/>
            </w:pPr>
            <w:r>
              <w:rPr/>
              <w:t>14,042</w:t>
            </w:r>
          </w:p>
        </w:tc>
        <w:tc>
          <w:tcPr>
            <w:tcW w:w="117" w:type="dxa"/>
            <w:tcBorders/>
            <w:shd w:fill="EEEEEE" w:val="clear"/>
            <w:vAlign w:val="center"/>
          </w:tcPr>
          <w:p>
            <w:pPr>
              <w:pStyle w:val="TableContents"/>
              <w:bidi w:val="0"/>
              <w:spacing w:before="0" w:after="283"/>
              <w:jc w:val="left"/>
              <w:rPr/>
            </w:pPr>
            <w:r>
              <w:rPr/>
              <w:t> </w:t>
            </w:r>
            <w:bookmarkStart w:id="700" w:name="xdx_402_eus-gaap--CurrentStateAndLocalTa"/>
            <w:bookmarkEnd w:id="700"/>
          </w:p>
        </w:tc>
      </w:tr>
      <w:tr>
        <w:trPr/>
        <w:tc>
          <w:tcPr>
            <w:tcW w:w="3096" w:type="dxa"/>
            <w:tcBorders/>
            <w:shd w:fill="FFFFFF" w:val="clear"/>
            <w:vAlign w:val="center"/>
          </w:tcPr>
          <w:p>
            <w:pPr>
              <w:pStyle w:val="TableContents"/>
              <w:bidi w:val="0"/>
              <w:spacing w:before="0" w:after="283"/>
              <w:jc w:val="left"/>
              <w:rPr/>
            </w:pPr>
            <w:r>
              <w:rPr/>
              <w:t>States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15,010</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17,460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24,086</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25,869</w:t>
            </w:r>
          </w:p>
        </w:tc>
        <w:tc>
          <w:tcPr>
            <w:tcW w:w="117" w:type="dxa"/>
            <w:tcBorders/>
            <w:shd w:fill="FFFFFF" w:val="clear"/>
            <w:vAlign w:val="center"/>
          </w:tcPr>
          <w:p>
            <w:pPr>
              <w:pStyle w:val="TableContents"/>
              <w:bidi w:val="0"/>
              <w:spacing w:before="0" w:after="283"/>
              <w:jc w:val="left"/>
              <w:rPr/>
            </w:pPr>
            <w:r>
              <w:rPr/>
              <w:t> </w:t>
            </w:r>
            <w:bookmarkStart w:id="701" w:name="xdx_407_eus-gaap--CurrentForeignTaxExpen"/>
            <w:bookmarkEnd w:id="701"/>
          </w:p>
        </w:tc>
      </w:tr>
      <w:tr>
        <w:trPr/>
        <w:tc>
          <w:tcPr>
            <w:tcW w:w="3096" w:type="dxa"/>
            <w:tcBorders/>
            <w:shd w:fill="EEEEEE" w:val="clear"/>
            <w:vAlign w:val="center"/>
          </w:tcPr>
          <w:p>
            <w:pPr>
              <w:pStyle w:val="TableContents"/>
              <w:bidi w:val="0"/>
              <w:spacing w:before="0" w:after="283"/>
              <w:jc w:val="left"/>
              <w:rPr/>
            </w:pPr>
            <w:r>
              <w:rPr/>
              <w:t>Foreign</w:t>
            </w:r>
          </w:p>
        </w:tc>
        <w:tc>
          <w:tcPr>
            <w:tcW w:w="60" w:type="dxa"/>
            <w:tcBorders/>
            <w:shd w:fill="EEEEEE" w:val="clear"/>
            <w:vAlign w:val="center"/>
          </w:tcPr>
          <w:p>
            <w:pPr>
              <w:pStyle w:val="TableContents"/>
              <w:bidi w:val="0"/>
              <w:spacing w:before="0" w:after="283"/>
              <w:jc w:val="left"/>
              <w:rPr/>
            </w:pPr>
            <w:r>
              <w:rPr/>
              <w:t> </w:t>
            </w:r>
          </w:p>
        </w:tc>
        <w:tc>
          <w:tcPr>
            <w:tcW w:w="23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59" w:type="dxa"/>
            <w:tcBorders/>
            <w:shd w:fill="EEEEEE" w:val="clear"/>
            <w:vAlign w:val="center"/>
          </w:tcPr>
          <w:p>
            <w:pPr>
              <w:pStyle w:val="TableContents"/>
              <w:bidi w:val="0"/>
              <w:spacing w:before="0" w:after="283"/>
              <w:jc w:val="left"/>
              <w:rPr/>
            </w:pPr>
            <w:r>
              <w:rPr/>
              <w:t> </w:t>
            </w:r>
          </w:p>
        </w:tc>
        <w:tc>
          <w:tcPr>
            <w:tcW w:w="100" w:type="dxa"/>
            <w:tcBorders/>
            <w:shd w:fill="EEEEEE" w:val="clear"/>
            <w:vAlign w:val="center"/>
          </w:tcPr>
          <w:p>
            <w:pPr>
              <w:pStyle w:val="TableContents"/>
              <w:bidi w:val="0"/>
              <w:spacing w:before="0" w:after="283"/>
              <w:jc w:val="left"/>
              <w:rPr/>
            </w:pPr>
            <w:r>
              <w:rPr/>
              <w:t> </w:t>
            </w:r>
          </w:p>
        </w:tc>
        <w:tc>
          <w:tcPr>
            <w:tcW w:w="23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64"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31"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19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7" w:type="dxa"/>
            <w:tcBorders/>
            <w:shd w:fill="EEEEEE" w:val="clear"/>
            <w:vAlign w:val="center"/>
          </w:tcPr>
          <w:p>
            <w:pPr>
              <w:pStyle w:val="TableContents"/>
              <w:bidi w:val="0"/>
              <w:spacing w:before="0" w:after="283"/>
              <w:jc w:val="left"/>
              <w:rPr/>
            </w:pPr>
            <w:r>
              <w:rPr/>
              <w:t> </w:t>
            </w:r>
            <w:bookmarkStart w:id="702" w:name="xdx_40C_eus-gaap--CurrentIncomeTaxExpens"/>
            <w:bookmarkEnd w:id="702"/>
          </w:p>
        </w:tc>
      </w:tr>
      <w:tr>
        <w:trPr/>
        <w:tc>
          <w:tcPr>
            <w:tcW w:w="3096" w:type="dxa"/>
            <w:tcBorders/>
            <w:shd w:fill="FFFFFF" w:val="clear"/>
            <w:vAlign w:val="center"/>
          </w:tcPr>
          <w:p>
            <w:pPr>
              <w:pStyle w:val="TableContents"/>
              <w:bidi w:val="0"/>
              <w:spacing w:before="0" w:after="283"/>
              <w:jc w:val="left"/>
              <w:rPr/>
            </w:pPr>
            <w:r>
              <w:rPr/>
              <w:t>Total current income tax provision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15,010</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31,502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8" w:space="0" w:color="000000"/>
            </w:tcBorders>
            <w:shd w:fill="FFFFFF" w:val="clear"/>
            <w:tcMar>
              <w:bottom w:w="28" w:type="dxa"/>
            </w:tcMar>
            <w:vAlign w:val="center"/>
          </w:tcPr>
          <w:p>
            <w:pPr>
              <w:pStyle w:val="TableContents"/>
              <w:bidi w:val="0"/>
              <w:spacing w:before="0" w:after="283"/>
              <w:jc w:val="right"/>
              <w:rPr/>
            </w:pPr>
            <w:r>
              <w:rPr/>
              <w:t>24,086</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39,911</w:t>
            </w:r>
          </w:p>
        </w:tc>
        <w:tc>
          <w:tcPr>
            <w:tcW w:w="117" w:type="dxa"/>
            <w:tcBorders/>
            <w:shd w:fill="FFFFFF" w:val="clear"/>
            <w:vAlign w:val="center"/>
          </w:tcPr>
          <w:p>
            <w:pPr>
              <w:pStyle w:val="TableContents"/>
              <w:bidi w:val="0"/>
              <w:spacing w:before="0" w:after="283"/>
              <w:jc w:val="left"/>
              <w:rPr/>
            </w:pPr>
            <w:r>
              <w:rPr/>
              <w:t> </w:t>
            </w:r>
          </w:p>
        </w:tc>
      </w:tr>
      <w:tr>
        <w:trPr/>
        <w:tc>
          <w:tcPr>
            <w:tcW w:w="3096"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34" w:type="dxa"/>
            <w:tcBorders/>
            <w:shd w:fill="EEEEEE" w:val="clear"/>
            <w:vAlign w:val="center"/>
          </w:tcPr>
          <w:p>
            <w:pPr>
              <w:pStyle w:val="TableContents"/>
              <w:bidi w:val="0"/>
              <w:spacing w:before="0" w:after="283"/>
              <w:jc w:val="left"/>
              <w:rPr/>
            </w:pPr>
            <w:r>
              <w:rPr/>
              <w:t> </w:t>
            </w:r>
          </w:p>
        </w:tc>
        <w:tc>
          <w:tcPr>
            <w:tcW w:w="1466" w:type="dxa"/>
            <w:tcBorders/>
            <w:shd w:fill="EEEEEE" w:val="clear"/>
            <w:vAlign w:val="center"/>
          </w:tcPr>
          <w:p>
            <w:pPr>
              <w:pStyle w:val="TableContents"/>
              <w:bidi w:val="0"/>
              <w:spacing w:before="0" w:after="283"/>
              <w:jc w:val="right"/>
              <w:rPr/>
            </w:pPr>
            <w:r>
              <w:rPr/>
              <w:t> </w:t>
            </w:r>
          </w:p>
        </w:tc>
        <w:tc>
          <w:tcPr>
            <w:tcW w:w="159" w:type="dxa"/>
            <w:tcBorders/>
            <w:shd w:fill="EEEEEE" w:val="clear"/>
            <w:vAlign w:val="center"/>
          </w:tcPr>
          <w:p>
            <w:pPr>
              <w:pStyle w:val="TableContents"/>
              <w:bidi w:val="0"/>
              <w:spacing w:before="0" w:after="283"/>
              <w:jc w:val="left"/>
              <w:rPr/>
            </w:pPr>
            <w:r>
              <w:rPr/>
              <w:t> </w:t>
            </w:r>
          </w:p>
        </w:tc>
        <w:tc>
          <w:tcPr>
            <w:tcW w:w="100" w:type="dxa"/>
            <w:tcBorders/>
            <w:shd w:fill="EEEEEE" w:val="clear"/>
            <w:vAlign w:val="center"/>
          </w:tcPr>
          <w:p>
            <w:pPr>
              <w:pStyle w:val="TableContents"/>
              <w:bidi w:val="0"/>
              <w:spacing w:before="0" w:after="283"/>
              <w:jc w:val="left"/>
              <w:rPr/>
            </w:pPr>
            <w:r>
              <w:rPr/>
              <w:t> </w:t>
            </w:r>
          </w:p>
        </w:tc>
        <w:tc>
          <w:tcPr>
            <w:tcW w:w="234"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64" w:type="dxa"/>
            <w:tcBorders/>
            <w:shd w:fill="EEEEEE" w:val="clear"/>
            <w:vAlign w:val="center"/>
          </w:tcPr>
          <w:p>
            <w:pPr>
              <w:pStyle w:val="TableContents"/>
              <w:bidi w:val="0"/>
              <w:spacing w:before="0" w:after="283"/>
              <w:jc w:val="right"/>
              <w:rPr/>
            </w:pPr>
            <w:r>
              <w:rPr/>
              <w:t> </w:t>
            </w:r>
          </w:p>
        </w:tc>
        <w:tc>
          <w:tcPr>
            <w:tcW w:w="131"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213" w:type="dxa"/>
            <w:tcBorders/>
            <w:shd w:fill="EEEEEE" w:val="clear"/>
            <w:vAlign w:val="center"/>
          </w:tcPr>
          <w:p>
            <w:pPr>
              <w:pStyle w:val="TableContents"/>
              <w:bidi w:val="0"/>
              <w:spacing w:before="0" w:after="283"/>
              <w:jc w:val="right"/>
              <w:rPr/>
            </w:pPr>
            <w:r>
              <w:rPr/>
              <w:t> </w:t>
            </w:r>
          </w:p>
        </w:tc>
        <w:tc>
          <w:tcPr>
            <w:tcW w:w="117" w:type="dxa"/>
            <w:tcBorders/>
            <w:shd w:fill="EEEEEE" w:val="clear"/>
            <w:vAlign w:val="center"/>
          </w:tcPr>
          <w:p>
            <w:pPr>
              <w:pStyle w:val="TableContents"/>
              <w:bidi w:val="0"/>
              <w:spacing w:before="0" w:after="283"/>
              <w:jc w:val="left"/>
              <w:rPr/>
            </w:pPr>
            <w:r>
              <w:rPr/>
              <w:t> </w:t>
            </w:r>
            <w:bookmarkStart w:id="703" w:name="xdx_40C_eus-gaap--DeferredFederalStateAn"/>
            <w:bookmarkEnd w:id="703"/>
          </w:p>
        </w:tc>
      </w:tr>
      <w:tr>
        <w:trPr/>
        <w:tc>
          <w:tcPr>
            <w:tcW w:w="3096"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704" w:name="xdx_407_eus-gaap--DeferredFederalIncomeT"/>
            <w:bookmarkEnd w:id="704"/>
          </w:p>
        </w:tc>
      </w:tr>
      <w:tr>
        <w:trPr/>
        <w:tc>
          <w:tcPr>
            <w:tcW w:w="3096" w:type="dxa"/>
            <w:tcBorders/>
            <w:shd w:fill="EEEEEE" w:val="clear"/>
            <w:vAlign w:val="center"/>
          </w:tcPr>
          <w:p>
            <w:pPr>
              <w:pStyle w:val="TableContents"/>
              <w:bidi w:val="0"/>
              <w:spacing w:before="0" w:after="283"/>
              <w:jc w:val="left"/>
              <w:rPr/>
            </w:pPr>
            <w:r>
              <w:rPr/>
              <w:t>Federal</w:t>
            </w:r>
          </w:p>
        </w:tc>
        <w:tc>
          <w:tcPr>
            <w:tcW w:w="60" w:type="dxa"/>
            <w:tcBorders/>
            <w:shd w:fill="EEEEEE" w:val="clear"/>
            <w:vAlign w:val="center"/>
          </w:tcPr>
          <w:p>
            <w:pPr>
              <w:pStyle w:val="TableContents"/>
              <w:bidi w:val="0"/>
              <w:spacing w:before="0" w:after="283"/>
              <w:jc w:val="left"/>
              <w:rPr/>
            </w:pPr>
            <w:r>
              <w:rPr/>
              <w:t> </w:t>
            </w:r>
          </w:p>
        </w:tc>
        <w:tc>
          <w:tcPr>
            <w:tcW w:w="234" w:type="dxa"/>
            <w:tcBorders/>
            <w:shd w:fill="EEEEEE" w:val="clear"/>
            <w:vAlign w:val="center"/>
          </w:tcPr>
          <w:p>
            <w:pPr>
              <w:pStyle w:val="TableContents"/>
              <w:bidi w:val="0"/>
              <w:spacing w:before="0" w:after="283"/>
              <w:jc w:val="left"/>
              <w:rPr/>
            </w:pPr>
            <w:r>
              <w:rPr/>
              <w:t> </w:t>
            </w:r>
          </w:p>
        </w:tc>
        <w:tc>
          <w:tcPr>
            <w:tcW w:w="1466" w:type="dxa"/>
            <w:tcBorders/>
            <w:shd w:fill="EEEEEE" w:val="clear"/>
            <w:vAlign w:val="center"/>
          </w:tcPr>
          <w:p>
            <w:pPr>
              <w:pStyle w:val="TableContents"/>
              <w:bidi w:val="0"/>
              <w:spacing w:before="0" w:after="283"/>
              <w:jc w:val="right"/>
              <w:rPr/>
            </w:pPr>
            <w:r>
              <w:rPr/>
              <w:t>(675,867</w:t>
            </w:r>
          </w:p>
        </w:tc>
        <w:tc>
          <w:tcPr>
            <w:tcW w:w="159" w:type="dxa"/>
            <w:tcBorders/>
            <w:shd w:fill="EEEEEE" w:val="clear"/>
            <w:vAlign w:val="center"/>
          </w:tcPr>
          <w:p>
            <w:pPr>
              <w:pStyle w:val="TableContents"/>
              <w:bidi w:val="0"/>
              <w:spacing w:before="0" w:after="283"/>
              <w:jc w:val="left"/>
              <w:rPr/>
            </w:pPr>
            <w:r>
              <w:rPr/>
              <w:t>)</w:t>
            </w:r>
          </w:p>
        </w:tc>
        <w:tc>
          <w:tcPr>
            <w:tcW w:w="100" w:type="dxa"/>
            <w:tcBorders/>
            <w:shd w:fill="EEEEEE" w:val="clear"/>
            <w:vAlign w:val="center"/>
          </w:tcPr>
          <w:p>
            <w:pPr>
              <w:pStyle w:val="TableContents"/>
              <w:bidi w:val="0"/>
              <w:spacing w:before="0" w:after="283"/>
              <w:jc w:val="left"/>
              <w:rPr/>
            </w:pPr>
            <w:r>
              <w:rPr/>
              <w:t> </w:t>
            </w:r>
          </w:p>
        </w:tc>
        <w:tc>
          <w:tcPr>
            <w:tcW w:w="234"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76,153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64" w:type="dxa"/>
            <w:tcBorders/>
            <w:shd w:fill="EEEEEE" w:val="clear"/>
            <w:vAlign w:val="center"/>
          </w:tcPr>
          <w:p>
            <w:pPr>
              <w:pStyle w:val="TableContents"/>
              <w:bidi w:val="0"/>
              <w:spacing w:before="0" w:after="283"/>
              <w:jc w:val="right"/>
              <w:rPr/>
            </w:pPr>
            <w:r>
              <w:rPr/>
              <w:t>(834,477</w:t>
            </w:r>
          </w:p>
        </w:tc>
        <w:tc>
          <w:tcPr>
            <w:tcW w:w="131" w:type="dxa"/>
            <w:tcBorders/>
            <w:shd w:fill="EEEEEE" w:val="clear"/>
            <w:vAlign w:val="center"/>
          </w:tcPr>
          <w:p>
            <w:pPr>
              <w:pStyle w:val="TableContents"/>
              <w:bidi w:val="0"/>
              <w:spacing w:before="0" w:after="283"/>
              <w:jc w:val="left"/>
              <w:rPr/>
            </w:pPr>
            <w:r>
              <w:rPr/>
              <w:t>)</w:t>
            </w:r>
          </w:p>
        </w:tc>
        <w:tc>
          <w:tcPr>
            <w:tcW w:w="82"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213" w:type="dxa"/>
            <w:tcBorders/>
            <w:shd w:fill="EEEEEE" w:val="clear"/>
            <w:vAlign w:val="center"/>
          </w:tcPr>
          <w:p>
            <w:pPr>
              <w:pStyle w:val="TableContents"/>
              <w:bidi w:val="0"/>
              <w:spacing w:before="0" w:after="283"/>
              <w:jc w:val="right"/>
              <w:rPr/>
            </w:pPr>
            <w:r>
              <w:rPr/>
              <w:t>(444,984</w:t>
            </w:r>
          </w:p>
        </w:tc>
        <w:tc>
          <w:tcPr>
            <w:tcW w:w="117" w:type="dxa"/>
            <w:tcBorders/>
            <w:shd w:fill="EEEEEE" w:val="clear"/>
            <w:vAlign w:val="center"/>
          </w:tcPr>
          <w:p>
            <w:pPr>
              <w:pStyle w:val="TableContents"/>
              <w:bidi w:val="0"/>
              <w:spacing w:before="0" w:after="283"/>
              <w:jc w:val="left"/>
              <w:rPr/>
            </w:pPr>
            <w:r>
              <w:rPr/>
              <w:t>)</w:t>
            </w:r>
            <w:bookmarkStart w:id="705" w:name="xdx_401_eus-gaap--DeferredStateAndLocalI"/>
            <w:bookmarkEnd w:id="705"/>
          </w:p>
        </w:tc>
      </w:tr>
      <w:tr>
        <w:trPr/>
        <w:tc>
          <w:tcPr>
            <w:tcW w:w="3096" w:type="dxa"/>
            <w:tcBorders/>
            <w:shd w:fill="FFFFFF" w:val="clear"/>
            <w:vAlign w:val="center"/>
          </w:tcPr>
          <w:p>
            <w:pPr>
              <w:pStyle w:val="TableContents"/>
              <w:bidi w:val="0"/>
              <w:spacing w:before="0" w:after="283"/>
              <w:jc w:val="left"/>
              <w:rPr/>
            </w:pPr>
            <w:r>
              <w:rPr/>
              <w:t>States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(159,651</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12,856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(193,287</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(110,928</w:t>
            </w:r>
          </w:p>
        </w:tc>
        <w:tc>
          <w:tcPr>
            <w:tcW w:w="117" w:type="dxa"/>
            <w:tcBorders/>
            <w:shd w:fill="FFFFFF" w:val="clear"/>
            <w:vAlign w:val="center"/>
          </w:tcPr>
          <w:p>
            <w:pPr>
              <w:pStyle w:val="TableContents"/>
              <w:bidi w:val="0"/>
              <w:spacing w:before="0" w:after="283"/>
              <w:jc w:val="left"/>
              <w:rPr/>
            </w:pPr>
            <w:r>
              <w:rPr/>
              <w:t>)</w:t>
            </w:r>
            <w:bookmarkStart w:id="706" w:name="xdx_40D_eus-gaap--DeferredForeignIncomeT"/>
            <w:bookmarkEnd w:id="706"/>
          </w:p>
        </w:tc>
      </w:tr>
      <w:tr>
        <w:trPr/>
        <w:tc>
          <w:tcPr>
            <w:tcW w:w="3096" w:type="dxa"/>
            <w:tcBorders/>
            <w:shd w:fill="EEEEEE" w:val="clear"/>
            <w:vAlign w:val="center"/>
          </w:tcPr>
          <w:p>
            <w:pPr>
              <w:pStyle w:val="TableContents"/>
              <w:bidi w:val="0"/>
              <w:spacing w:before="0" w:after="283"/>
              <w:jc w:val="left"/>
              <w:rPr/>
            </w:pPr>
            <w:r>
              <w:rPr/>
              <w:t>Foreign</w:t>
            </w:r>
          </w:p>
        </w:tc>
        <w:tc>
          <w:tcPr>
            <w:tcW w:w="60" w:type="dxa"/>
            <w:tcBorders/>
            <w:shd w:fill="EEEEEE" w:val="clear"/>
            <w:vAlign w:val="center"/>
          </w:tcPr>
          <w:p>
            <w:pPr>
              <w:pStyle w:val="TableContents"/>
              <w:bidi w:val="0"/>
              <w:spacing w:before="0" w:after="283"/>
              <w:jc w:val="left"/>
              <w:rPr/>
            </w:pPr>
            <w:r>
              <w:rPr/>
              <w:t> </w:t>
            </w:r>
          </w:p>
        </w:tc>
        <w:tc>
          <w:tcPr>
            <w:tcW w:w="23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59" w:type="dxa"/>
            <w:tcBorders/>
            <w:shd w:fill="EEEEEE" w:val="clear"/>
            <w:vAlign w:val="center"/>
          </w:tcPr>
          <w:p>
            <w:pPr>
              <w:pStyle w:val="TableContents"/>
              <w:bidi w:val="0"/>
              <w:spacing w:before="0" w:after="283"/>
              <w:jc w:val="left"/>
              <w:rPr/>
            </w:pPr>
            <w:r>
              <w:rPr/>
              <w:t> </w:t>
            </w:r>
          </w:p>
        </w:tc>
        <w:tc>
          <w:tcPr>
            <w:tcW w:w="100" w:type="dxa"/>
            <w:tcBorders/>
            <w:shd w:fill="EEEEEE" w:val="clear"/>
            <w:vAlign w:val="center"/>
          </w:tcPr>
          <w:p>
            <w:pPr>
              <w:pStyle w:val="TableContents"/>
              <w:bidi w:val="0"/>
              <w:spacing w:before="0" w:after="283"/>
              <w:jc w:val="left"/>
              <w:rPr/>
            </w:pPr>
            <w:r>
              <w:rPr/>
              <w:t> </w:t>
            </w:r>
          </w:p>
        </w:tc>
        <w:tc>
          <w:tcPr>
            <w:tcW w:w="23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64" w:type="dxa"/>
            <w:tcBorders>
              <w:bottom w:val="single" w:sz="8" w:space="0" w:color="000000"/>
            </w:tcBorders>
            <w:shd w:fill="EEEEEE" w:val="clear"/>
            <w:tcMar>
              <w:bottom w:w="28" w:type="dxa"/>
            </w:tcMar>
            <w:vAlign w:val="center"/>
          </w:tcPr>
          <w:p>
            <w:pPr>
              <w:pStyle w:val="TableContents"/>
              <w:bidi w:val="0"/>
              <w:spacing w:before="0" w:after="283"/>
              <w:jc w:val="right"/>
              <w:rPr/>
            </w:pPr>
            <w:r>
              <w:rPr/>
              <w:t>(280,414</w:t>
            </w:r>
          </w:p>
        </w:tc>
        <w:tc>
          <w:tcPr>
            <w:tcW w:w="131" w:type="dxa"/>
            <w:tcBorders/>
            <w:shd w:fill="EEEEEE" w:val="clear"/>
            <w:vAlign w:val="center"/>
          </w:tcPr>
          <w:p>
            <w:pPr>
              <w:pStyle w:val="TableContents"/>
              <w:bidi w:val="0"/>
              <w:spacing w:before="0" w:after="283"/>
              <w:jc w:val="left"/>
              <w:rPr/>
            </w:pPr>
            <w:r>
              <w:rPr/>
              <w:t>)</w:t>
            </w:r>
          </w:p>
        </w:tc>
        <w:tc>
          <w:tcPr>
            <w:tcW w:w="82" w:type="dxa"/>
            <w:tcBorders/>
            <w:shd w:fill="EEEEEE" w:val="clear"/>
            <w:vAlign w:val="center"/>
          </w:tcPr>
          <w:p>
            <w:pPr>
              <w:pStyle w:val="TableContents"/>
              <w:bidi w:val="0"/>
              <w:spacing w:before="0" w:after="283"/>
              <w:jc w:val="left"/>
              <w:rPr/>
            </w:pPr>
            <w:r>
              <w:rPr/>
              <w:t> </w:t>
            </w:r>
          </w:p>
        </w:tc>
        <w:tc>
          <w:tcPr>
            <w:tcW w:w="19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7" w:type="dxa"/>
            <w:tcBorders/>
            <w:shd w:fill="EEEEEE" w:val="clear"/>
            <w:vAlign w:val="center"/>
          </w:tcPr>
          <w:p>
            <w:pPr>
              <w:pStyle w:val="TableContents"/>
              <w:bidi w:val="0"/>
              <w:spacing w:before="0" w:after="283"/>
              <w:jc w:val="left"/>
              <w:rPr/>
            </w:pPr>
            <w:r>
              <w:rPr/>
              <w:t> </w:t>
            </w:r>
            <w:bookmarkStart w:id="707" w:name="xdx_409_eus-gaap--DeferredIncomeTaxExpen"/>
            <w:bookmarkEnd w:id="707"/>
          </w:p>
        </w:tc>
      </w:tr>
      <w:tr>
        <w:trPr/>
        <w:tc>
          <w:tcPr>
            <w:tcW w:w="3096" w:type="dxa"/>
            <w:tcBorders/>
            <w:shd w:fill="FFFFFF" w:val="clear"/>
            <w:vAlign w:val="center"/>
          </w:tcPr>
          <w:p>
            <w:pPr>
              <w:pStyle w:val="TableContents"/>
              <w:bidi w:val="0"/>
              <w:spacing w:before="0" w:after="283"/>
              <w:jc w:val="left"/>
              <w:rPr/>
            </w:pPr>
            <w:r>
              <w:rPr/>
              <w:t>Total deferred taxes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(835,518</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89,009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8" w:space="0" w:color="000000"/>
            </w:tcBorders>
            <w:shd w:fill="FFFFFF" w:val="clear"/>
            <w:tcMar>
              <w:bottom w:w="28" w:type="dxa"/>
            </w:tcMar>
            <w:vAlign w:val="center"/>
          </w:tcPr>
          <w:p>
            <w:pPr>
              <w:pStyle w:val="TableContents"/>
              <w:bidi w:val="0"/>
              <w:spacing w:before="0" w:after="283"/>
              <w:jc w:val="right"/>
              <w:rPr/>
            </w:pPr>
            <w:r>
              <w:rPr/>
              <w:t>(1,308,178</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(555,912</w:t>
            </w:r>
          </w:p>
        </w:tc>
        <w:tc>
          <w:tcPr>
            <w:tcW w:w="117" w:type="dxa"/>
            <w:tcBorders/>
            <w:shd w:fill="FFFFFF" w:val="clear"/>
            <w:vAlign w:val="center"/>
          </w:tcPr>
          <w:p>
            <w:pPr>
              <w:pStyle w:val="TableContents"/>
              <w:bidi w:val="0"/>
              <w:spacing w:before="0" w:after="283"/>
              <w:jc w:val="left"/>
              <w:rPr/>
            </w:pPr>
            <w:r>
              <w:rPr/>
              <w:t>)</w:t>
            </w:r>
          </w:p>
        </w:tc>
      </w:tr>
      <w:tr>
        <w:trPr/>
        <w:tc>
          <w:tcPr>
            <w:tcW w:w="3096"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34" w:type="dxa"/>
            <w:tcBorders/>
            <w:shd w:fill="EEEEEE" w:val="clear"/>
            <w:vAlign w:val="center"/>
          </w:tcPr>
          <w:p>
            <w:pPr>
              <w:pStyle w:val="TableContents"/>
              <w:bidi w:val="0"/>
              <w:spacing w:before="0" w:after="283"/>
              <w:jc w:val="left"/>
              <w:rPr/>
            </w:pPr>
            <w:r>
              <w:rPr/>
              <w:t> </w:t>
            </w:r>
          </w:p>
        </w:tc>
        <w:tc>
          <w:tcPr>
            <w:tcW w:w="1466" w:type="dxa"/>
            <w:tcBorders/>
            <w:shd w:fill="EEEEEE" w:val="clear"/>
            <w:vAlign w:val="center"/>
          </w:tcPr>
          <w:p>
            <w:pPr>
              <w:pStyle w:val="TableContents"/>
              <w:bidi w:val="0"/>
              <w:spacing w:before="0" w:after="283"/>
              <w:jc w:val="right"/>
              <w:rPr/>
            </w:pPr>
            <w:r>
              <w:rPr/>
              <w:t> </w:t>
            </w:r>
          </w:p>
        </w:tc>
        <w:tc>
          <w:tcPr>
            <w:tcW w:w="159" w:type="dxa"/>
            <w:tcBorders/>
            <w:shd w:fill="EEEEEE" w:val="clear"/>
            <w:vAlign w:val="center"/>
          </w:tcPr>
          <w:p>
            <w:pPr>
              <w:pStyle w:val="TableContents"/>
              <w:bidi w:val="0"/>
              <w:spacing w:before="0" w:after="283"/>
              <w:jc w:val="left"/>
              <w:rPr/>
            </w:pPr>
            <w:r>
              <w:rPr/>
              <w:t> </w:t>
            </w:r>
          </w:p>
        </w:tc>
        <w:tc>
          <w:tcPr>
            <w:tcW w:w="100" w:type="dxa"/>
            <w:tcBorders/>
            <w:shd w:fill="EEEEEE" w:val="clear"/>
            <w:vAlign w:val="center"/>
          </w:tcPr>
          <w:p>
            <w:pPr>
              <w:pStyle w:val="TableContents"/>
              <w:bidi w:val="0"/>
              <w:spacing w:before="0" w:after="283"/>
              <w:jc w:val="left"/>
              <w:rPr/>
            </w:pPr>
            <w:r>
              <w:rPr/>
              <w:t> </w:t>
            </w:r>
          </w:p>
        </w:tc>
        <w:tc>
          <w:tcPr>
            <w:tcW w:w="234"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464" w:type="dxa"/>
            <w:tcBorders/>
            <w:shd w:fill="EEEEEE" w:val="clear"/>
            <w:vAlign w:val="center"/>
          </w:tcPr>
          <w:p>
            <w:pPr>
              <w:pStyle w:val="TableContents"/>
              <w:bidi w:val="0"/>
              <w:spacing w:before="0" w:after="283"/>
              <w:jc w:val="right"/>
              <w:rPr/>
            </w:pPr>
            <w:r>
              <w:rPr/>
              <w:t> </w:t>
            </w:r>
          </w:p>
        </w:tc>
        <w:tc>
          <w:tcPr>
            <w:tcW w:w="131"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194" w:type="dxa"/>
            <w:tcBorders/>
            <w:shd w:fill="EEEEEE" w:val="clear"/>
            <w:vAlign w:val="center"/>
          </w:tcPr>
          <w:p>
            <w:pPr>
              <w:pStyle w:val="TableContents"/>
              <w:bidi w:val="0"/>
              <w:spacing w:before="0" w:after="283"/>
              <w:jc w:val="left"/>
              <w:rPr/>
            </w:pPr>
            <w:r>
              <w:rPr/>
              <w:t> </w:t>
            </w:r>
          </w:p>
        </w:tc>
        <w:tc>
          <w:tcPr>
            <w:tcW w:w="1213" w:type="dxa"/>
            <w:tcBorders/>
            <w:shd w:fill="EEEEEE" w:val="clear"/>
            <w:vAlign w:val="center"/>
          </w:tcPr>
          <w:p>
            <w:pPr>
              <w:pStyle w:val="TableContents"/>
              <w:bidi w:val="0"/>
              <w:spacing w:before="0" w:after="283"/>
              <w:jc w:val="right"/>
              <w:rPr/>
            </w:pPr>
            <w:r>
              <w:rPr/>
              <w:t> </w:t>
            </w:r>
          </w:p>
        </w:tc>
        <w:tc>
          <w:tcPr>
            <w:tcW w:w="117" w:type="dxa"/>
            <w:tcBorders/>
            <w:shd w:fill="EEEEEE" w:val="clear"/>
            <w:vAlign w:val="center"/>
          </w:tcPr>
          <w:p>
            <w:pPr>
              <w:pStyle w:val="TableContents"/>
              <w:bidi w:val="0"/>
              <w:spacing w:before="0" w:after="283"/>
              <w:jc w:val="left"/>
              <w:rPr/>
            </w:pPr>
            <w:r>
              <w:rPr/>
              <w:t> </w:t>
            </w:r>
            <w:bookmarkStart w:id="708" w:name="xdx_40A_eus-gaap--IncomeTaxExpenseBenefi"/>
            <w:bookmarkEnd w:id="708"/>
          </w:p>
        </w:tc>
      </w:tr>
      <w:tr>
        <w:trPr/>
        <w:tc>
          <w:tcPr>
            <w:tcW w:w="3096" w:type="dxa"/>
            <w:tcBorders/>
            <w:shd w:fill="FFFFFF" w:val="clear"/>
            <w:vAlign w:val="center"/>
          </w:tcPr>
          <w:p>
            <w:pPr>
              <w:pStyle w:val="TableContents"/>
              <w:bidi w:val="0"/>
              <w:spacing w:before="0" w:after="283"/>
              <w:jc w:val="left"/>
              <w:rPr/>
            </w:pPr>
            <w:r>
              <w:rPr/>
              <w:t>Total provision for income taxes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66" w:type="dxa"/>
            <w:tcBorders>
              <w:bottom w:val="double" w:sz="6" w:space="0" w:color="000000"/>
            </w:tcBorders>
            <w:shd w:fill="FFFFFF" w:val="clear"/>
            <w:tcMar>
              <w:bottom w:w="28" w:type="dxa"/>
            </w:tcMar>
            <w:vAlign w:val="center"/>
          </w:tcPr>
          <w:p>
            <w:pPr>
              <w:pStyle w:val="TableContents"/>
              <w:bidi w:val="0"/>
              <w:spacing w:before="0" w:after="283"/>
              <w:jc w:val="right"/>
              <w:rPr/>
            </w:pPr>
            <w:r>
              <w:rPr/>
              <w:t>(820,508</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pPr>
            <w:r>
              <w:rPr/>
              <w:t>120,511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64" w:type="dxa"/>
            <w:tcBorders>
              <w:bottom w:val="double" w:sz="6" w:space="0" w:color="000000"/>
            </w:tcBorders>
            <w:shd w:fill="FFFFFF" w:val="clear"/>
            <w:tcMar>
              <w:bottom w:w="28" w:type="dxa"/>
            </w:tcMar>
            <w:vAlign w:val="center"/>
          </w:tcPr>
          <w:p>
            <w:pPr>
              <w:pStyle w:val="TableContents"/>
              <w:bidi w:val="0"/>
              <w:spacing w:before="0" w:after="283"/>
              <w:jc w:val="right"/>
              <w:rPr/>
            </w:pPr>
            <w:r>
              <w:rPr/>
              <w:t>(1,284,092</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3" w:type="dxa"/>
            <w:tcBorders>
              <w:bottom w:val="double" w:sz="6" w:space="0" w:color="000000"/>
            </w:tcBorders>
            <w:shd w:fill="FFFFFF" w:val="clear"/>
            <w:tcMar>
              <w:bottom w:w="28" w:type="dxa"/>
            </w:tcMar>
            <w:vAlign w:val="center"/>
          </w:tcPr>
          <w:p>
            <w:pPr>
              <w:pStyle w:val="TableContents"/>
              <w:bidi w:val="0"/>
              <w:spacing w:before="0" w:after="283"/>
              <w:jc w:val="right"/>
              <w:rPr/>
            </w:pPr>
            <w:r>
              <w:rPr/>
              <w:t>(516,001</w:t>
            </w:r>
          </w:p>
        </w:tc>
        <w:tc>
          <w:tcPr>
            <w:tcW w:w="117"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U.S. federal income tax as well as state income tax in certain jurisdictions. The tax years 2020 to 2024 remain open to examination by the major taxing jurisdictions to which the Company is subject. The following is a reconciliation of income tax expenses at the effective rate to income tax at the calculated statutory rates: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709" w:name="xdx_881_eus-gaap--ScheduleOfEffectiveInc"/>
      <w:bookmarkStart w:id="710" w:name="xdx_881_eus-gaap--ScheduleOfEffectiveInc"/>
      <w:bookmarkEnd w:id="710"/>
    </w:p>
    <w:tbl>
      <w:tblPr>
        <w:tblW w:w="10205" w:type="dxa"/>
        <w:jc w:val="left"/>
        <w:tblInd w:w="0" w:type="dxa"/>
        <w:tblLayout w:type="fixed"/>
        <w:tblCellMar>
          <w:top w:w="0" w:type="dxa"/>
          <w:left w:w="0" w:type="dxa"/>
          <w:bottom w:w="0" w:type="dxa"/>
          <w:right w:w="0" w:type="dxa"/>
        </w:tblCellMar>
      </w:tblPr>
      <w:tblGrid>
        <w:gridCol w:w="5917"/>
        <w:gridCol w:w="60"/>
        <w:gridCol w:w="174"/>
        <w:gridCol w:w="1625"/>
        <w:gridCol w:w="277"/>
        <w:gridCol w:w="60"/>
        <w:gridCol w:w="174"/>
        <w:gridCol w:w="1625"/>
        <w:gridCol w:w="293"/>
      </w:tblGrid>
      <w:tr>
        <w:trPr/>
        <w:tc>
          <w:tcPr>
            <w:tcW w:w="5917" w:type="dxa"/>
            <w:tcBorders/>
            <w:vAlign w:val="center"/>
          </w:tcPr>
          <w:p>
            <w:pPr>
              <w:pStyle w:val="TableContents"/>
              <w:bidi w:val="0"/>
              <w:spacing w:before="0" w:after="283"/>
              <w:jc w:val="left"/>
              <w:rPr/>
            </w:pPr>
            <w:bookmarkStart w:id="711" w:name="xdx_8B9_zbn8KTSdhMhi"/>
            <w:bookmarkEnd w:id="711"/>
            <w:r>
              <w:rPr/>
              <w:t>Schedule of reconciliation of effective income tax rate</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 </w:t>
            </w:r>
          </w:p>
        </w:tc>
        <w:tc>
          <w:tcPr>
            <w:tcW w:w="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r>
      <w:tr>
        <w:trPr/>
        <w:tc>
          <w:tcPr>
            <w:tcW w:w="59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93" w:type="dxa"/>
            <w:tcBorders/>
            <w:vAlign w:val="center"/>
          </w:tcPr>
          <w:p>
            <w:pPr>
              <w:pStyle w:val="TableContents"/>
              <w:bidi w:val="0"/>
              <w:spacing w:before="0" w:after="283"/>
              <w:jc w:val="left"/>
              <w:rPr/>
            </w:pPr>
            <w:r>
              <w:rPr/>
              <w:t> </w:t>
            </w:r>
          </w:p>
        </w:tc>
      </w:tr>
      <w:tr>
        <w:trPr/>
        <w:tc>
          <w:tcPr>
            <w:tcW w:w="5917" w:type="dxa"/>
            <w:tcBorders/>
            <w:shd w:fill="EEEEEE" w:val="clear"/>
            <w:vAlign w:val="center"/>
          </w:tcPr>
          <w:p>
            <w:pPr>
              <w:pStyle w:val="TableContents"/>
              <w:bidi w:val="0"/>
              <w:spacing w:before="0" w:after="283"/>
              <w:jc w:val="left"/>
              <w:rPr/>
            </w:pPr>
            <w:r>
              <w:rPr/>
              <w:t>Statutory tax rate</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1625" w:type="dxa"/>
            <w:tcBorders/>
            <w:shd w:fill="EEEEEE" w:val="clear"/>
            <w:vAlign w:val="center"/>
          </w:tcPr>
          <w:p>
            <w:pPr>
              <w:pStyle w:val="TableContents"/>
              <w:bidi w:val="0"/>
              <w:spacing w:before="0" w:after="283"/>
              <w:jc w:val="right"/>
              <w:rPr/>
            </w:pPr>
            <w:r>
              <w:rPr/>
              <w:t> </w:t>
            </w:r>
          </w:p>
        </w:tc>
        <w:tc>
          <w:tcPr>
            <w:tcW w:w="27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1625" w:type="dxa"/>
            <w:tcBorders/>
            <w:shd w:fill="EEEEEE" w:val="clear"/>
            <w:vAlign w:val="center"/>
          </w:tcPr>
          <w:p>
            <w:pPr>
              <w:pStyle w:val="TableContents"/>
              <w:bidi w:val="0"/>
              <w:spacing w:before="0" w:after="283"/>
              <w:jc w:val="right"/>
              <w:rPr/>
            </w:pPr>
            <w:r>
              <w:rPr/>
              <w:t> </w:t>
            </w:r>
          </w:p>
        </w:tc>
        <w:tc>
          <w:tcPr>
            <w:tcW w:w="293" w:type="dxa"/>
            <w:tcBorders/>
            <w:shd w:fill="EEEEEE" w:val="clear"/>
            <w:vAlign w:val="center"/>
          </w:tcPr>
          <w:p>
            <w:pPr>
              <w:pStyle w:val="TableContents"/>
              <w:bidi w:val="0"/>
              <w:spacing w:before="0" w:after="283"/>
              <w:jc w:val="left"/>
              <w:rPr/>
            </w:pPr>
            <w:r>
              <w:rPr/>
              <w:t> </w:t>
            </w:r>
          </w:p>
        </w:tc>
      </w:tr>
      <w:tr>
        <w:trPr/>
        <w:tc>
          <w:tcPr>
            <w:tcW w:w="5917"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bookmarkStart w:id="712" w:name="xdx_903_eus-gaap--EffectiveIncomeTaxRate"/>
            <w:bookmarkEnd w:id="712"/>
            <w:r>
              <w:rPr/>
              <w:t>21.00</w:t>
            </w:r>
          </w:p>
        </w:tc>
        <w:tc>
          <w:tcPr>
            <w:tcW w:w="27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bookmarkStart w:id="713" w:name="xdx_90C_eus-gaap--EffectiveIncomeTaxRate"/>
            <w:bookmarkEnd w:id="713"/>
            <w:r>
              <w:rPr/>
              <w:t>21.00</w:t>
            </w:r>
          </w:p>
        </w:tc>
        <w:tc>
          <w:tcPr>
            <w:tcW w:w="293" w:type="dxa"/>
            <w:tcBorders/>
            <w:shd w:fill="FFFFFF" w:val="clear"/>
            <w:vAlign w:val="center"/>
          </w:tcPr>
          <w:p>
            <w:pPr>
              <w:pStyle w:val="TableContents"/>
              <w:bidi w:val="0"/>
              <w:spacing w:before="0" w:after="283"/>
              <w:jc w:val="left"/>
              <w:rPr/>
            </w:pPr>
            <w:r>
              <w:rPr/>
              <w:t>%</w:t>
            </w:r>
          </w:p>
        </w:tc>
      </w:tr>
      <w:tr>
        <w:trPr/>
        <w:tc>
          <w:tcPr>
            <w:tcW w:w="5917" w:type="dxa"/>
            <w:tcBorders/>
            <w:shd w:fill="EEEEEE" w:val="clear"/>
            <w:vAlign w:val="center"/>
          </w:tcPr>
          <w:p>
            <w:pPr>
              <w:pStyle w:val="TableContents"/>
              <w:bidi w:val="0"/>
              <w:spacing w:before="0" w:after="283"/>
              <w:jc w:val="left"/>
              <w:rPr/>
            </w:pPr>
            <w:r>
              <w:rPr/>
              <w:t>State (net of federal benefit)</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1625" w:type="dxa"/>
            <w:tcBorders/>
            <w:shd w:fill="EEEEEE" w:val="clear"/>
            <w:vAlign w:val="center"/>
          </w:tcPr>
          <w:p>
            <w:pPr>
              <w:pStyle w:val="TableContents"/>
              <w:bidi w:val="0"/>
              <w:spacing w:before="0" w:after="283"/>
              <w:jc w:val="right"/>
              <w:rPr/>
            </w:pPr>
            <w:bookmarkStart w:id="714" w:name="xdx_904_eus-gaap--EffectiveIncomeTaxRate"/>
            <w:bookmarkEnd w:id="714"/>
            <w:r>
              <w:rPr/>
              <w:t>5.63</w:t>
            </w:r>
          </w:p>
        </w:tc>
        <w:tc>
          <w:tcPr>
            <w:tcW w:w="277"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1625" w:type="dxa"/>
            <w:tcBorders/>
            <w:shd w:fill="EEEEEE" w:val="clear"/>
            <w:vAlign w:val="center"/>
          </w:tcPr>
          <w:p>
            <w:pPr>
              <w:pStyle w:val="TableContents"/>
              <w:bidi w:val="0"/>
              <w:spacing w:before="0" w:after="283"/>
              <w:jc w:val="right"/>
              <w:rPr/>
            </w:pPr>
            <w:bookmarkStart w:id="715" w:name="xdx_90C_eus-gaap--EffectiveIncomeTaxRate"/>
            <w:bookmarkEnd w:id="715"/>
            <w:r>
              <w:rPr/>
              <w:t>5.51</w:t>
            </w:r>
          </w:p>
        </w:tc>
        <w:tc>
          <w:tcPr>
            <w:tcW w:w="293" w:type="dxa"/>
            <w:tcBorders/>
            <w:shd w:fill="EEEEEE" w:val="clear"/>
            <w:vAlign w:val="center"/>
          </w:tcPr>
          <w:p>
            <w:pPr>
              <w:pStyle w:val="TableContents"/>
              <w:bidi w:val="0"/>
              <w:spacing w:before="0" w:after="283"/>
              <w:jc w:val="left"/>
              <w:rPr/>
            </w:pPr>
            <w:r>
              <w:rPr/>
              <w:t>%</w:t>
            </w:r>
          </w:p>
        </w:tc>
      </w:tr>
      <w:tr>
        <w:trPr/>
        <w:tc>
          <w:tcPr>
            <w:tcW w:w="5917" w:type="dxa"/>
            <w:tcBorders/>
            <w:shd w:fill="FFFFFF" w:val="clear"/>
            <w:vAlign w:val="center"/>
          </w:tcPr>
          <w:p>
            <w:pPr>
              <w:pStyle w:val="TableContents"/>
              <w:bidi w:val="0"/>
              <w:spacing w:before="0" w:after="283"/>
              <w:jc w:val="left"/>
              <w:rPr/>
            </w:pPr>
            <w:r>
              <w:rPr/>
              <w:t>Foreign tax rate difference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bookmarkStart w:id="716" w:name="xdx_908_eus-gaap--EffectiveIncomeTaxRate"/>
            <w:bookmarkEnd w:id="716"/>
            <w:r>
              <w:rPr/>
              <w:t>(0.85</w:t>
            </w:r>
          </w:p>
        </w:tc>
        <w:tc>
          <w:tcPr>
            <w:tcW w:w="27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bookmarkStart w:id="717" w:name="xdx_90F_eus-gaap--EffectiveIncomeTaxRate"/>
            <w:bookmarkEnd w:id="717"/>
            <w:r>
              <w:rPr/>
              <w:t>(2.04</w:t>
            </w:r>
          </w:p>
        </w:tc>
        <w:tc>
          <w:tcPr>
            <w:tcW w:w="293" w:type="dxa"/>
            <w:tcBorders/>
            <w:shd w:fill="FFFFFF" w:val="clear"/>
            <w:vAlign w:val="center"/>
          </w:tcPr>
          <w:p>
            <w:pPr>
              <w:pStyle w:val="TableContents"/>
              <w:bidi w:val="0"/>
              <w:spacing w:before="0" w:after="283"/>
              <w:jc w:val="left"/>
              <w:rPr/>
            </w:pPr>
            <w:r>
              <w:rPr/>
              <w:t>%)</w:t>
            </w:r>
          </w:p>
        </w:tc>
      </w:tr>
      <w:tr>
        <w:trPr/>
        <w:tc>
          <w:tcPr>
            <w:tcW w:w="5917" w:type="dxa"/>
            <w:tcBorders/>
            <w:shd w:fill="EEEEEE" w:val="clear"/>
            <w:vAlign w:val="center"/>
          </w:tcPr>
          <w:p>
            <w:pPr>
              <w:pStyle w:val="TableContents"/>
              <w:bidi w:val="0"/>
              <w:spacing w:before="0" w:after="283"/>
              <w:jc w:val="left"/>
              <w:rPr/>
            </w:pPr>
            <w:r>
              <w:rPr/>
              <w:t>Reversal of over accrued income taxes of prior years for VIE</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1625" w:type="dxa"/>
            <w:tcBorders/>
            <w:shd w:fill="EEEEEE" w:val="clear"/>
            <w:vAlign w:val="center"/>
          </w:tcPr>
          <w:p>
            <w:pPr>
              <w:pStyle w:val="TableContents"/>
              <w:bidi w:val="0"/>
              <w:spacing w:before="0" w:after="283"/>
              <w:jc w:val="right"/>
              <w:rPr/>
            </w:pPr>
            <w:bookmarkStart w:id="718" w:name="xdx_902_ecustom--EffectiveIncomeTaxRateR"/>
            <w:bookmarkEnd w:id="718"/>
            <w:r>
              <w:rPr/>
              <w:t>17.62</w:t>
            </w:r>
          </w:p>
        </w:tc>
        <w:tc>
          <w:tcPr>
            <w:tcW w:w="277"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74" w:type="dxa"/>
            <w:tcBorders/>
            <w:shd w:fill="EEEEEE" w:val="clear"/>
            <w:vAlign w:val="center"/>
          </w:tcPr>
          <w:p>
            <w:pPr>
              <w:pStyle w:val="TableContents"/>
              <w:bidi w:val="0"/>
              <w:spacing w:before="0" w:after="283"/>
              <w:jc w:val="left"/>
              <w:rPr/>
            </w:pPr>
            <w:r>
              <w:rPr/>
              <w:t> </w:t>
            </w:r>
          </w:p>
        </w:tc>
        <w:tc>
          <w:tcPr>
            <w:tcW w:w="1625" w:type="dxa"/>
            <w:tcBorders/>
            <w:shd w:fill="EEEEEE" w:val="clear"/>
            <w:vAlign w:val="center"/>
          </w:tcPr>
          <w:p>
            <w:pPr>
              <w:pStyle w:val="TableContents"/>
              <w:bidi w:val="0"/>
              <w:spacing w:before="0" w:after="283"/>
              <w:jc w:val="right"/>
              <w:rPr/>
            </w:pPr>
            <w:bookmarkStart w:id="719" w:name="xdx_904_ecustom--EffectiveIncomeTaxRateR"/>
            <w:bookmarkEnd w:id="719"/>
            <w:r>
              <w:rPr/>
              <w:t>–</w:t>
            </w:r>
          </w:p>
        </w:tc>
        <w:tc>
          <w:tcPr>
            <w:tcW w:w="293" w:type="dxa"/>
            <w:tcBorders/>
            <w:shd w:fill="EEEEEE" w:val="clear"/>
            <w:vAlign w:val="center"/>
          </w:tcPr>
          <w:p>
            <w:pPr>
              <w:pStyle w:val="TableContents"/>
              <w:bidi w:val="0"/>
              <w:spacing w:before="0" w:after="283"/>
              <w:jc w:val="left"/>
              <w:rPr/>
            </w:pPr>
            <w:r>
              <w:rPr/>
              <w:t> </w:t>
            </w:r>
          </w:p>
        </w:tc>
      </w:tr>
      <w:tr>
        <w:trPr/>
        <w:tc>
          <w:tcPr>
            <w:tcW w:w="5917" w:type="dxa"/>
            <w:tcBorders/>
            <w:shd w:fill="FFFFFF" w:val="clear"/>
            <w:vAlign w:val="center"/>
          </w:tcPr>
          <w:p>
            <w:pPr>
              <w:pStyle w:val="TableContents"/>
              <w:bidi w:val="0"/>
              <w:spacing w:before="0" w:after="283"/>
              <w:jc w:val="left"/>
              <w:rPr/>
            </w:pPr>
            <w:r>
              <w:rPr/>
              <w:t>Net effect of state income tax deduction and other permanent differences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20" w:name="xdx_90D_eus-gaap--EffectiveIncomeTaxRate"/>
            <w:bookmarkEnd w:id="720"/>
            <w:r>
              <w:rPr/>
              <w:t>(0.75</w:t>
            </w:r>
          </w:p>
        </w:tc>
        <w:tc>
          <w:tcPr>
            <w:tcW w:w="27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21" w:name="xdx_908_eus-gaap--EffectiveIncomeTaxRate"/>
            <w:bookmarkEnd w:id="721"/>
            <w:r>
              <w:rPr/>
              <w:t>(2.35</w:t>
            </w:r>
          </w:p>
        </w:tc>
        <w:tc>
          <w:tcPr>
            <w:tcW w:w="293" w:type="dxa"/>
            <w:tcBorders/>
            <w:shd w:fill="FFFFFF" w:val="clear"/>
            <w:vAlign w:val="center"/>
          </w:tcPr>
          <w:p>
            <w:pPr>
              <w:pStyle w:val="TableContents"/>
              <w:bidi w:val="0"/>
              <w:spacing w:before="0" w:after="283"/>
              <w:jc w:val="left"/>
              <w:rPr/>
            </w:pPr>
            <w:r>
              <w:rPr/>
              <w:t>%)</w:t>
            </w:r>
          </w:p>
        </w:tc>
      </w:tr>
      <w:tr>
        <w:trPr/>
        <w:tc>
          <w:tcPr>
            <w:tcW w:w="5917" w:type="dxa"/>
            <w:tcBorders/>
            <w:shd w:fill="EEEEEE" w:val="clear"/>
            <w:vAlign w:val="center"/>
          </w:tcPr>
          <w:p>
            <w:pPr>
              <w:pStyle w:val="TableContents"/>
              <w:bidi w:val="0"/>
              <w:spacing w:before="0" w:after="283"/>
              <w:jc w:val="left"/>
              <w:rPr/>
            </w:pPr>
            <w:r>
              <w:rPr/>
              <w:t>Effective tax rate</w:t>
            </w:r>
          </w:p>
        </w:tc>
        <w:tc>
          <w:tcPr>
            <w:tcW w:w="60" w:type="dxa"/>
            <w:tcBorders/>
            <w:shd w:fill="EEEEEE" w:val="clear"/>
            <w:vAlign w:val="center"/>
          </w:tcPr>
          <w:p>
            <w:pPr>
              <w:pStyle w:val="TableContents"/>
              <w:bidi w:val="0"/>
              <w:spacing w:before="0" w:after="283"/>
              <w:jc w:val="left"/>
              <w:rPr/>
            </w:pPr>
            <w:r>
              <w:rPr/>
              <w:t> </w:t>
            </w:r>
          </w:p>
        </w:tc>
        <w:tc>
          <w:tcPr>
            <w:tcW w:w="17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62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22" w:name="xdx_90C_eus-gaap--EffectiveIncomeTaxRate"/>
            <w:bookmarkEnd w:id="722"/>
            <w:r>
              <w:rPr/>
              <w:t>42.65</w:t>
            </w:r>
          </w:p>
        </w:tc>
        <w:tc>
          <w:tcPr>
            <w:tcW w:w="277"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7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62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23" w:name="xdx_90A_eus-gaap--EffectiveIncomeTaxRate"/>
            <w:bookmarkEnd w:id="723"/>
            <w:r>
              <w:rPr/>
              <w:t>22.12</w:t>
            </w:r>
          </w:p>
        </w:tc>
        <w:tc>
          <w:tcPr>
            <w:tcW w:w="293" w:type="dxa"/>
            <w:tcBorders/>
            <w:shd w:fill="EEEEEE"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24" w:name="xdx_23E_zRbzuEOrwsK1"/>
      <w:bookmarkEnd w:id="724"/>
      <w:r>
        <w:rPr>
          <w:caps w:val="false"/>
          <w:smallCaps w:val="false"/>
        </w:rPr>
        <w:t> </w:t>
      </w:r>
    </w:p>
    <w:p>
      <w:pPr>
        <w:pStyle w:val="TextBody"/>
        <w:bidi w:val="0"/>
        <w:spacing w:before="0" w:after="0"/>
        <w:ind w:left="0" w:right="0" w:hanging="0"/>
        <w:jc w:val="both"/>
        <w:rPr>
          <w:caps w:val="false"/>
          <w:smallCaps w:val="false"/>
        </w:rPr>
      </w:pPr>
      <w:bookmarkStart w:id="725" w:name="xdx_23D_zosZ9nDYFjkb"/>
      <w:bookmarkEnd w:id="725"/>
      <w:r>
        <w:rPr>
          <w:caps w:val="false"/>
          <w:smallCaps w:val="false"/>
        </w:rPr>
        <w:t> </w:t>
      </w:r>
    </w:p>
    <w:p>
      <w:pPr>
        <w:pStyle w:val="TextBody"/>
        <w:bidi w:val="0"/>
        <w:spacing w:before="0" w:after="0"/>
        <w:ind w:left="0" w:right="0" w:hanging="0"/>
        <w:jc w:val="both"/>
        <w:rPr>
          <w:caps w:val="false"/>
          <w:smallCaps w:val="false"/>
        </w:rPr>
      </w:pPr>
      <w:bookmarkStart w:id="726" w:name="xdx_233_z1uJHWn60Uo3"/>
      <w:bookmarkEnd w:id="726"/>
      <w:r>
        <w:rPr>
          <w:caps w:val="false"/>
          <w:smallCaps w:val="false"/>
        </w:rPr>
        <w:t> </w:t>
      </w:r>
    </w:p>
    <w:p>
      <w:pPr>
        <w:pStyle w:val="TextBody"/>
        <w:bidi w:val="0"/>
        <w:spacing w:before="0" w:after="0"/>
        <w:ind w:left="0" w:right="0" w:hanging="0"/>
        <w:jc w:val="both"/>
        <w:rPr>
          <w:caps w:val="false"/>
          <w:smallCaps w:val="false"/>
        </w:rPr>
      </w:pPr>
      <w:bookmarkStart w:id="727" w:name="xdx_237_zDhitpxKaqCj"/>
      <w:bookmarkEnd w:id="72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income tax payable to US tax authorities was $</w:t>
      </w:r>
      <w:bookmarkStart w:id="728" w:name="xdx_90C_eus-gaap--PrepaidTaxes_iI_pp0p0_"/>
      <w:bookmarkEnd w:id="728"/>
      <w:r>
        <w:rPr>
          <w:rFonts w:ascii="Times New Roman;Times;Serif" w:hAnsi="Times New Roman;Times;Serif"/>
          <w:b w:val="false"/>
          <w:i w:val="false"/>
          <w:caps w:val="false"/>
          <w:smallCaps w:val="false"/>
          <w:sz w:val="20"/>
        </w:rPr>
        <w:t>3,512. As of June 30, 2025, prepaid income taxes to US tax authorities and income tax payable to Chinese tax authorities was $</w:t>
      </w:r>
      <w:bookmarkStart w:id="729" w:name="xdx_90C_eus-gaap--AccruedIncomeTaxes_iI_"/>
      <w:bookmarkEnd w:id="729"/>
      <w:r>
        <w:rPr>
          <w:rFonts w:ascii="Times New Roman;Times;Serif" w:hAnsi="Times New Roman;Times;Serif"/>
          <w:b w:val="false"/>
          <w:i w:val="false"/>
          <w:caps w:val="false"/>
          <w:smallCaps w:val="false"/>
          <w:sz w:val="20"/>
        </w:rPr>
        <w:t>19,073 and $</w:t>
      </w:r>
      <w:bookmarkStart w:id="730" w:name="xdx_90E_eus-gaap--AccruedIncomeTaxes_iI_"/>
      <w:bookmarkEnd w:id="730"/>
      <w:r>
        <w:rPr>
          <w:rFonts w:ascii="Times New Roman;Times;Serif" w:hAnsi="Times New Roman;Times;Serif"/>
          <w:b w:val="false"/>
          <w:i w:val="false"/>
          <w:caps w:val="false"/>
          <w:smallCaps w:val="false"/>
          <w:sz w:val="20"/>
        </w:rPr>
        <w:t>280,155,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which give rise to significant portions of the deferred taxes are summarized as follows: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31" w:name="xdx_889_eus-gaap--ScheduleOfDeferredTaxA"/>
      <w:bookmarkStart w:id="732" w:name="xdx_889_eus-gaap--ScheduleOfDeferredTaxA"/>
      <w:bookmarkEnd w:id="732"/>
    </w:p>
    <w:tbl>
      <w:tblPr>
        <w:tblW w:w="6518" w:type="dxa"/>
        <w:jc w:val="left"/>
        <w:tblInd w:w="0" w:type="dxa"/>
        <w:tblLayout w:type="fixed"/>
        <w:tblCellMar>
          <w:top w:w="0" w:type="dxa"/>
          <w:left w:w="0" w:type="dxa"/>
          <w:bottom w:w="0" w:type="dxa"/>
          <w:right w:w="0" w:type="dxa"/>
        </w:tblCellMar>
      </w:tblPr>
      <w:tblGrid>
        <w:gridCol w:w="2825"/>
        <w:gridCol w:w="60"/>
        <w:gridCol w:w="244"/>
        <w:gridCol w:w="1710"/>
        <w:gridCol w:w="95"/>
        <w:gridCol w:w="60"/>
        <w:gridCol w:w="176"/>
        <w:gridCol w:w="1238"/>
        <w:gridCol w:w="110"/>
      </w:tblGrid>
      <w:tr>
        <w:trPr/>
        <w:tc>
          <w:tcPr>
            <w:tcW w:w="2825" w:type="dxa"/>
            <w:tcBorders/>
            <w:vAlign w:val="center"/>
          </w:tcPr>
          <w:p>
            <w:pPr>
              <w:pStyle w:val="TableContents"/>
              <w:bidi w:val="0"/>
              <w:spacing w:before="0" w:after="283"/>
              <w:jc w:val="left"/>
              <w:rPr/>
            </w:pPr>
            <w:bookmarkStart w:id="733" w:name="xdx_8B3_zRKWyJkHP6yd"/>
            <w:bookmarkEnd w:id="733"/>
            <w:r>
              <w:rPr/>
              <w:t>Schedule of deferred taxes</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bookmarkStart w:id="734" w:name="xdx_499_20251231_zwqGUWdKg1L8"/>
            <w:bookmarkEnd w:id="734"/>
          </w:p>
        </w:tc>
        <w:tc>
          <w:tcPr>
            <w:tcW w:w="171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bookmarkStart w:id="735" w:name="xdx_491_20250630_zw5bHBf9Yrfd"/>
            <w:bookmarkEnd w:id="735"/>
          </w:p>
        </w:tc>
        <w:tc>
          <w:tcPr>
            <w:tcW w:w="1238"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left"/>
              <w:rPr/>
            </w:pPr>
            <w:r>
              <w:rPr/>
              <w:t> </w:t>
            </w:r>
            <w:bookmarkStart w:id="736" w:name="xdx_401_eus-gaap--DeferredTaxAssetsNetAb"/>
            <w:bookmarkEnd w:id="736"/>
          </w:p>
        </w:tc>
      </w:tr>
      <w:tr>
        <w:trPr/>
        <w:tc>
          <w:tcPr>
            <w:tcW w:w="2825" w:type="dxa"/>
            <w:tcBorders/>
            <w:shd w:fill="EEEEEE" w:val="clear"/>
            <w:vAlign w:val="center"/>
          </w:tcPr>
          <w:p>
            <w:pPr>
              <w:pStyle w:val="TableContents"/>
              <w:bidi w:val="0"/>
              <w:spacing w:before="0" w:after="283"/>
              <w:jc w:val="left"/>
              <w:rPr>
                <w:b/>
              </w:rPr>
            </w:pPr>
            <w:r>
              <w:rPr>
                <w:b/>
              </w:rPr>
              <w:t>Deferred tax assets</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737" w:name="xdx_40E_eus-gaap--DeferredTaxAssetsTaxDe"/>
            <w:bookmarkEnd w:id="737"/>
          </w:p>
        </w:tc>
      </w:tr>
      <w:tr>
        <w:trPr/>
        <w:tc>
          <w:tcPr>
            <w:tcW w:w="2825" w:type="dxa"/>
            <w:tcBorders/>
            <w:shd w:fill="FFFFFF" w:val="clear"/>
            <w:vAlign w:val="center"/>
          </w:tcPr>
          <w:p>
            <w:pPr>
              <w:pStyle w:val="TableContents"/>
              <w:bidi w:val="0"/>
              <w:spacing w:before="0" w:after="283"/>
              <w:jc w:val="left"/>
              <w:rPr/>
            </w:pPr>
            <w:r>
              <w:rPr/>
              <w:t>263A calculation</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710" w:type="dxa"/>
            <w:tcBorders/>
            <w:shd w:fill="FFFFFF" w:val="clear"/>
            <w:vAlign w:val="center"/>
          </w:tcPr>
          <w:p>
            <w:pPr>
              <w:pStyle w:val="TableContents"/>
              <w:bidi w:val="0"/>
              <w:spacing w:before="0" w:after="283"/>
              <w:jc w:val="right"/>
              <w:rPr/>
            </w:pPr>
            <w:r>
              <w:rPr/>
              <w:t>113,803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256,568</w:t>
            </w:r>
          </w:p>
        </w:tc>
        <w:tc>
          <w:tcPr>
            <w:tcW w:w="110" w:type="dxa"/>
            <w:tcBorders/>
            <w:shd w:fill="FFFFFF" w:val="clear"/>
            <w:vAlign w:val="center"/>
          </w:tcPr>
          <w:p>
            <w:pPr>
              <w:pStyle w:val="TableContents"/>
              <w:bidi w:val="0"/>
              <w:spacing w:before="0" w:after="283"/>
              <w:jc w:val="left"/>
              <w:rPr/>
            </w:pPr>
            <w:r>
              <w:rPr/>
              <w:t> </w:t>
            </w:r>
            <w:bookmarkStart w:id="738" w:name="xdx_405_eus-gaap--DeferredTaxAssetsInven"/>
            <w:bookmarkEnd w:id="738"/>
          </w:p>
        </w:tc>
      </w:tr>
      <w:tr>
        <w:trPr/>
        <w:tc>
          <w:tcPr>
            <w:tcW w:w="2825" w:type="dxa"/>
            <w:tcBorders/>
            <w:shd w:fill="EEEEEE" w:val="clear"/>
            <w:vAlign w:val="center"/>
          </w:tcPr>
          <w:p>
            <w:pPr>
              <w:pStyle w:val="TableContents"/>
              <w:bidi w:val="0"/>
              <w:spacing w:before="0" w:after="283"/>
              <w:jc w:val="left"/>
              <w:rPr/>
            </w:pPr>
            <w:r>
              <w:rPr/>
              <w:t>Inventory reserve</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98,792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83,180</w:t>
            </w:r>
          </w:p>
        </w:tc>
        <w:tc>
          <w:tcPr>
            <w:tcW w:w="110" w:type="dxa"/>
            <w:tcBorders/>
            <w:shd w:fill="EEEEEE" w:val="clear"/>
            <w:vAlign w:val="center"/>
          </w:tcPr>
          <w:p>
            <w:pPr>
              <w:pStyle w:val="TableContents"/>
              <w:bidi w:val="0"/>
              <w:spacing w:before="0" w:after="283"/>
              <w:jc w:val="left"/>
              <w:rPr/>
            </w:pPr>
            <w:r>
              <w:rPr/>
              <w:t> </w:t>
            </w:r>
            <w:bookmarkStart w:id="739" w:name="xdx_40C_eus-gaap--DeferredTaxAssetsState"/>
            <w:bookmarkEnd w:id="739"/>
          </w:p>
        </w:tc>
      </w:tr>
      <w:tr>
        <w:trPr/>
        <w:tc>
          <w:tcPr>
            <w:tcW w:w="2825" w:type="dxa"/>
            <w:tcBorders/>
            <w:shd w:fill="FFFFFF" w:val="clear"/>
            <w:vAlign w:val="center"/>
          </w:tcPr>
          <w:p>
            <w:pPr>
              <w:pStyle w:val="TableContents"/>
              <w:bidi w:val="0"/>
              <w:spacing w:before="0" w:after="283"/>
              <w:jc w:val="left"/>
              <w:rPr/>
            </w:pPr>
            <w:r>
              <w:rPr/>
              <w:t>State taxes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5,058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4,844</w:t>
            </w:r>
          </w:p>
        </w:tc>
        <w:tc>
          <w:tcPr>
            <w:tcW w:w="110" w:type="dxa"/>
            <w:tcBorders/>
            <w:shd w:fill="FFFFFF" w:val="clear"/>
            <w:vAlign w:val="center"/>
          </w:tcPr>
          <w:p>
            <w:pPr>
              <w:pStyle w:val="TableContents"/>
              <w:bidi w:val="0"/>
              <w:spacing w:before="0" w:after="283"/>
              <w:jc w:val="left"/>
              <w:rPr/>
            </w:pPr>
            <w:r>
              <w:rPr/>
              <w:t> </w:t>
            </w:r>
            <w:bookmarkStart w:id="740" w:name="xdx_408_eus-gaap--DeferredTaxAssetsTaxDe"/>
            <w:bookmarkEnd w:id="740"/>
          </w:p>
        </w:tc>
      </w:tr>
      <w:tr>
        <w:trPr/>
        <w:tc>
          <w:tcPr>
            <w:tcW w:w="2825" w:type="dxa"/>
            <w:tcBorders/>
            <w:shd w:fill="EEEEEE" w:val="clear"/>
            <w:vAlign w:val="center"/>
          </w:tcPr>
          <w:p>
            <w:pPr>
              <w:pStyle w:val="TableContents"/>
              <w:bidi w:val="0"/>
              <w:spacing w:before="0" w:after="283"/>
              <w:jc w:val="left"/>
              <w:rPr/>
            </w:pPr>
            <w:r>
              <w:rPr/>
              <w:t>Accrued expenses</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21,950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21,750</w:t>
            </w:r>
          </w:p>
        </w:tc>
        <w:tc>
          <w:tcPr>
            <w:tcW w:w="110" w:type="dxa"/>
            <w:tcBorders/>
            <w:shd w:fill="EEEEEE" w:val="clear"/>
            <w:vAlign w:val="center"/>
          </w:tcPr>
          <w:p>
            <w:pPr>
              <w:pStyle w:val="TableContents"/>
              <w:bidi w:val="0"/>
              <w:spacing w:before="0" w:after="283"/>
              <w:jc w:val="left"/>
              <w:rPr/>
            </w:pPr>
            <w:r>
              <w:rPr/>
              <w:t> </w:t>
            </w:r>
            <w:bookmarkStart w:id="741" w:name="xdx_40A_ecustom--DeferredTaxAssetsLeaseA"/>
            <w:bookmarkEnd w:id="741"/>
          </w:p>
        </w:tc>
      </w:tr>
      <w:tr>
        <w:trPr/>
        <w:tc>
          <w:tcPr>
            <w:tcW w:w="2825" w:type="dxa"/>
            <w:tcBorders/>
            <w:shd w:fill="FFFFFF" w:val="clear"/>
            <w:vAlign w:val="center"/>
          </w:tcPr>
          <w:p>
            <w:pPr>
              <w:pStyle w:val="TableContents"/>
              <w:bidi w:val="0"/>
              <w:spacing w:before="0" w:after="283"/>
              <w:jc w:val="left"/>
              <w:rPr/>
            </w:pPr>
            <w:r>
              <w:rPr/>
              <w:t>ROU assets /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86,829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95,711</w:t>
            </w:r>
          </w:p>
        </w:tc>
        <w:tc>
          <w:tcPr>
            <w:tcW w:w="110" w:type="dxa"/>
            <w:tcBorders/>
            <w:shd w:fill="FFFFFF" w:val="clear"/>
            <w:vAlign w:val="center"/>
          </w:tcPr>
          <w:p>
            <w:pPr>
              <w:pStyle w:val="TableContents"/>
              <w:bidi w:val="0"/>
              <w:spacing w:before="0" w:after="283"/>
              <w:jc w:val="left"/>
              <w:rPr/>
            </w:pPr>
            <w:r>
              <w:rPr/>
              <w:t> </w:t>
            </w:r>
            <w:bookmarkStart w:id="742" w:name="xdx_409_eus-gaap--DeferredTaxAssetsOpera"/>
            <w:bookmarkEnd w:id="742"/>
          </w:p>
        </w:tc>
      </w:tr>
      <w:tr>
        <w:trPr/>
        <w:tc>
          <w:tcPr>
            <w:tcW w:w="2825" w:type="dxa"/>
            <w:tcBorders/>
            <w:shd w:fill="EEEEEE" w:val="clear"/>
            <w:vAlign w:val="center"/>
          </w:tcPr>
          <w:p>
            <w:pPr>
              <w:pStyle w:val="TableContents"/>
              <w:bidi w:val="0"/>
              <w:spacing w:before="0" w:after="283"/>
              <w:jc w:val="left"/>
              <w:rPr/>
            </w:pPr>
            <w:r>
              <w:rPr/>
              <w:t>Net operating loss</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3,819,570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3,081,145</w:t>
            </w:r>
          </w:p>
        </w:tc>
        <w:tc>
          <w:tcPr>
            <w:tcW w:w="110" w:type="dxa"/>
            <w:tcBorders/>
            <w:shd w:fill="EEEEEE" w:val="clear"/>
            <w:vAlign w:val="center"/>
          </w:tcPr>
          <w:p>
            <w:pPr>
              <w:pStyle w:val="TableContents"/>
              <w:bidi w:val="0"/>
              <w:spacing w:before="0" w:after="283"/>
              <w:jc w:val="left"/>
              <w:rPr/>
            </w:pPr>
            <w:r>
              <w:rPr/>
              <w:t> </w:t>
            </w:r>
            <w:bookmarkStart w:id="743" w:name="xdx_402_ecustom--DisallowedInterestExpen"/>
            <w:bookmarkEnd w:id="743"/>
          </w:p>
        </w:tc>
      </w:tr>
      <w:tr>
        <w:trPr/>
        <w:tc>
          <w:tcPr>
            <w:tcW w:w="2825" w:type="dxa"/>
            <w:tcBorders/>
            <w:shd w:fill="FFFFFF" w:val="clear"/>
            <w:vAlign w:val="center"/>
          </w:tcPr>
          <w:p>
            <w:pPr>
              <w:pStyle w:val="TableContents"/>
              <w:bidi w:val="0"/>
              <w:spacing w:before="0" w:after="283"/>
              <w:jc w:val="left"/>
              <w:rPr/>
            </w:pPr>
            <w:r>
              <w:rPr/>
              <w:t>Disallowed interest expense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340,684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311,662</w:t>
            </w:r>
          </w:p>
        </w:tc>
        <w:tc>
          <w:tcPr>
            <w:tcW w:w="110" w:type="dxa"/>
            <w:tcBorders/>
            <w:shd w:fill="FFFFFF" w:val="clear"/>
            <w:vAlign w:val="center"/>
          </w:tcPr>
          <w:p>
            <w:pPr>
              <w:pStyle w:val="TableContents"/>
              <w:bidi w:val="0"/>
              <w:spacing w:before="0" w:after="283"/>
              <w:jc w:val="left"/>
              <w:rPr/>
            </w:pPr>
            <w:r>
              <w:rPr/>
              <w:t> </w:t>
            </w:r>
            <w:bookmarkStart w:id="744" w:name="xdx_40E_eus-gaap--DeferredTaxAssetsTaxDe"/>
            <w:bookmarkEnd w:id="744"/>
          </w:p>
        </w:tc>
      </w:tr>
      <w:tr>
        <w:trPr/>
        <w:tc>
          <w:tcPr>
            <w:tcW w:w="2825"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629,655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336,394</w:t>
            </w:r>
          </w:p>
        </w:tc>
        <w:tc>
          <w:tcPr>
            <w:tcW w:w="110" w:type="dxa"/>
            <w:tcBorders/>
            <w:shd w:fill="EEEEEE" w:val="clear"/>
            <w:vAlign w:val="center"/>
          </w:tcPr>
          <w:p>
            <w:pPr>
              <w:pStyle w:val="TableContents"/>
              <w:bidi w:val="0"/>
              <w:spacing w:before="0" w:after="283"/>
              <w:jc w:val="left"/>
              <w:rPr/>
            </w:pPr>
            <w:r>
              <w:rPr/>
              <w:t> </w:t>
            </w:r>
            <w:bookmarkStart w:id="745" w:name="xdx_405_eus-gaap--DeferredTaxAssetsValua"/>
            <w:bookmarkEnd w:id="745"/>
          </w:p>
        </w:tc>
      </w:tr>
      <w:tr>
        <w:trPr/>
        <w:tc>
          <w:tcPr>
            <w:tcW w:w="282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(128,840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(118,191</w:t>
            </w:r>
          </w:p>
        </w:tc>
        <w:tc>
          <w:tcPr>
            <w:tcW w:w="110" w:type="dxa"/>
            <w:tcBorders/>
            <w:shd w:fill="FFFFFF" w:val="clear"/>
            <w:vAlign w:val="center"/>
          </w:tcPr>
          <w:p>
            <w:pPr>
              <w:pStyle w:val="TableContents"/>
              <w:bidi w:val="0"/>
              <w:spacing w:before="0" w:after="283"/>
              <w:jc w:val="left"/>
              <w:rPr/>
            </w:pPr>
            <w:r>
              <w:rPr/>
              <w:t>)</w:t>
            </w:r>
            <w:bookmarkStart w:id="746" w:name="xdx_405_eus-gaap--DeferredTaxAssetsOther"/>
            <w:bookmarkEnd w:id="746"/>
          </w:p>
        </w:tc>
      </w:tr>
      <w:tr>
        <w:trPr/>
        <w:tc>
          <w:tcPr>
            <w:tcW w:w="2825" w:type="dxa"/>
            <w:tcBorders/>
            <w:shd w:fill="EEEEEE" w:val="clear"/>
            <w:vAlign w:val="center"/>
          </w:tcPr>
          <w:p>
            <w:pPr>
              <w:pStyle w:val="TableContents"/>
              <w:bidi w:val="0"/>
              <w:spacing w:before="0" w:after="283"/>
              <w:jc w:val="left"/>
              <w:rPr/>
            </w:pPr>
            <w:r>
              <w:rPr/>
              <w:t>Allowance for credit loss</w:t>
            </w:r>
          </w:p>
        </w:tc>
        <w:tc>
          <w:tcPr>
            <w:tcW w:w="60" w:type="dxa"/>
            <w:tcBorders/>
            <w:shd w:fill="EEEEEE" w:val="clear"/>
            <w:vAlign w:val="center"/>
          </w:tcPr>
          <w:p>
            <w:pPr>
              <w:pStyle w:val="TableContents"/>
              <w:bidi w:val="0"/>
              <w:spacing w:before="0" w:after="283"/>
              <w:jc w:val="left"/>
              <w:rPr/>
            </w:pPr>
            <w:r>
              <w:rPr/>
              <w:t> </w:t>
            </w:r>
          </w:p>
        </w:tc>
        <w:tc>
          <w:tcPr>
            <w:tcW w:w="2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EEEEEE" w:val="clear"/>
            <w:tcMar>
              <w:bottom w:w="28" w:type="dxa"/>
            </w:tcMar>
            <w:vAlign w:val="center"/>
          </w:tcPr>
          <w:p>
            <w:pPr>
              <w:pStyle w:val="TableContents"/>
              <w:bidi w:val="0"/>
              <w:spacing w:before="0" w:after="283"/>
              <w:jc w:val="right"/>
              <w:rPr/>
            </w:pPr>
            <w:r>
              <w:rPr/>
              <w:t>525,795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512,289</w:t>
            </w:r>
          </w:p>
        </w:tc>
        <w:tc>
          <w:tcPr>
            <w:tcW w:w="110" w:type="dxa"/>
            <w:tcBorders/>
            <w:shd w:fill="EEEEEE" w:val="clear"/>
            <w:vAlign w:val="center"/>
          </w:tcPr>
          <w:p>
            <w:pPr>
              <w:pStyle w:val="TableContents"/>
              <w:bidi w:val="0"/>
              <w:spacing w:before="0" w:after="283"/>
              <w:jc w:val="left"/>
              <w:rPr/>
            </w:pPr>
            <w:r>
              <w:rPr/>
              <w:t> </w:t>
            </w:r>
            <w:bookmarkStart w:id="747" w:name="xdx_40D_eus-gaap--DeferredTaxAssetsGross"/>
            <w:bookmarkEnd w:id="747"/>
          </w:p>
        </w:tc>
      </w:tr>
      <w:tr>
        <w:trPr/>
        <w:tc>
          <w:tcPr>
            <w:tcW w:w="2825" w:type="dxa"/>
            <w:tcBorders/>
            <w:shd w:fill="FFFFFF" w:val="clear"/>
            <w:vAlign w:val="center"/>
          </w:tcPr>
          <w:p>
            <w:pPr>
              <w:pStyle w:val="TableContents"/>
              <w:bidi w:val="0"/>
              <w:spacing w:before="0" w:after="283"/>
              <w:jc w:val="left"/>
              <w:rPr>
                <w:b/>
              </w:rPr>
            </w:pPr>
            <w:r>
              <w:rPr>
                <w:b/>
              </w:rPr>
              <w:t>Total deferred tax assets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5,513,296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4,585,352</w:t>
            </w:r>
          </w:p>
        </w:tc>
        <w:tc>
          <w:tcPr>
            <w:tcW w:w="110" w:type="dxa"/>
            <w:tcBorders/>
            <w:shd w:fill="FFFFFF" w:val="clear"/>
            <w:vAlign w:val="center"/>
          </w:tcPr>
          <w:p>
            <w:pPr>
              <w:pStyle w:val="TableContents"/>
              <w:bidi w:val="0"/>
              <w:spacing w:before="0" w:after="283"/>
              <w:jc w:val="left"/>
              <w:rPr/>
            </w:pPr>
            <w:r>
              <w:rPr/>
              <w:t> </w:t>
            </w:r>
          </w:p>
        </w:tc>
      </w:tr>
      <w:tr>
        <w:trPr/>
        <w:tc>
          <w:tcPr>
            <w:tcW w:w="28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748" w:name="xdx_401_eus-gaap--DeferredTaxLiabilities"/>
            <w:bookmarkEnd w:id="748"/>
          </w:p>
        </w:tc>
      </w:tr>
      <w:tr>
        <w:trPr/>
        <w:tc>
          <w:tcPr>
            <w:tcW w:w="2825" w:type="dxa"/>
            <w:tcBorders/>
            <w:shd w:fill="FFFFFF" w:val="clear"/>
            <w:vAlign w:val="center"/>
          </w:tcPr>
          <w:p>
            <w:pPr>
              <w:pStyle w:val="TableContents"/>
              <w:bidi w:val="0"/>
              <w:spacing w:before="0" w:after="283"/>
              <w:jc w:val="left"/>
              <w:rPr>
                <w:b/>
              </w:rPr>
            </w:pPr>
            <w:r>
              <w:rPr>
                <w:b/>
              </w:rPr>
              <w:t>Deferred tax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49" w:name="xdx_40B_eus-gaap--DeferredTaxLiabilities"/>
            <w:bookmarkEnd w:id="749"/>
          </w:p>
        </w:tc>
      </w:tr>
      <w:tr>
        <w:trPr/>
        <w:tc>
          <w:tcPr>
            <w:tcW w:w="2825" w:type="dxa"/>
            <w:tcBorders/>
            <w:shd w:fill="EEEEEE" w:val="clear"/>
            <w:vAlign w:val="center"/>
          </w:tcPr>
          <w:p>
            <w:pPr>
              <w:pStyle w:val="TableContents"/>
              <w:bidi w:val="0"/>
              <w:spacing w:before="0" w:after="283"/>
              <w:jc w:val="left"/>
              <w:rPr/>
            </w:pPr>
            <w:r>
              <w:rPr/>
              <w:t>Depreciation</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(40,528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(56,648</w:t>
            </w:r>
          </w:p>
        </w:tc>
        <w:tc>
          <w:tcPr>
            <w:tcW w:w="110" w:type="dxa"/>
            <w:tcBorders/>
            <w:shd w:fill="EEEEEE" w:val="clear"/>
            <w:vAlign w:val="center"/>
          </w:tcPr>
          <w:p>
            <w:pPr>
              <w:pStyle w:val="TableContents"/>
              <w:bidi w:val="0"/>
              <w:spacing w:before="0" w:after="283"/>
              <w:jc w:val="left"/>
              <w:rPr/>
            </w:pPr>
            <w:r>
              <w:rPr/>
              <w:t>)</w:t>
            </w:r>
            <w:bookmarkStart w:id="750" w:name="xdx_408_eus-gaap--DeferredTaxLiabilities"/>
            <w:bookmarkEnd w:id="750"/>
          </w:p>
        </w:tc>
      </w:tr>
      <w:tr>
        <w:trPr/>
        <w:tc>
          <w:tcPr>
            <w:tcW w:w="2825" w:type="dxa"/>
            <w:tcBorders/>
            <w:shd w:fill="FFFFFF" w:val="clear"/>
            <w:vAlign w:val="center"/>
          </w:tcPr>
          <w:p>
            <w:pPr>
              <w:pStyle w:val="TableContents"/>
              <w:bidi w:val="0"/>
              <w:spacing w:before="0" w:after="283"/>
              <w:jc w:val="left"/>
              <w:rPr/>
            </w:pPr>
            <w:r>
              <w:rPr/>
              <w:t>Unrealized gain/loss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(1,979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51" w:name="xdx_40D_eus-gaap--DeferredTaxLiabilities"/>
            <w:bookmarkEnd w:id="751"/>
          </w:p>
        </w:tc>
      </w:tr>
      <w:tr>
        <w:trPr/>
        <w:tc>
          <w:tcPr>
            <w:tcW w:w="2825" w:type="dxa"/>
            <w:tcBorders/>
            <w:shd w:fill="EEEEEE" w:val="clear"/>
            <w:vAlign w:val="center"/>
          </w:tcPr>
          <w:p>
            <w:pPr>
              <w:pStyle w:val="TableContents"/>
              <w:bidi w:val="0"/>
              <w:spacing w:before="0" w:after="283"/>
              <w:jc w:val="left"/>
              <w:rPr/>
            </w:pPr>
            <w:r>
              <w:rPr/>
              <w:t>Intangible assets acquired</w:t>
            </w:r>
          </w:p>
        </w:tc>
        <w:tc>
          <w:tcPr>
            <w:tcW w:w="60" w:type="dxa"/>
            <w:tcBorders/>
            <w:shd w:fill="EEEEEE" w:val="clear"/>
            <w:vAlign w:val="center"/>
          </w:tcPr>
          <w:p>
            <w:pPr>
              <w:pStyle w:val="TableContents"/>
              <w:bidi w:val="0"/>
              <w:spacing w:before="0" w:after="283"/>
              <w:jc w:val="left"/>
              <w:rPr/>
            </w:pPr>
            <w:r>
              <w:rPr/>
              <w:t> </w:t>
            </w:r>
          </w:p>
        </w:tc>
        <w:tc>
          <w:tcPr>
            <w:tcW w:w="2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EEEEEE" w:val="clear"/>
            <w:tcMar>
              <w:bottom w:w="28" w:type="dxa"/>
            </w:tcMar>
            <w:vAlign w:val="center"/>
          </w:tcPr>
          <w:p>
            <w:pPr>
              <w:pStyle w:val="TableContents"/>
              <w:bidi w:val="0"/>
              <w:spacing w:before="0" w:after="283"/>
              <w:jc w:val="right"/>
              <w:rPr/>
            </w:pPr>
            <w:r>
              <w:rPr/>
              <w:t>(717,764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(804,242</w:t>
            </w:r>
          </w:p>
        </w:tc>
        <w:tc>
          <w:tcPr>
            <w:tcW w:w="110" w:type="dxa"/>
            <w:tcBorders/>
            <w:shd w:fill="EEEEEE" w:val="clear"/>
            <w:vAlign w:val="center"/>
          </w:tcPr>
          <w:p>
            <w:pPr>
              <w:pStyle w:val="TableContents"/>
              <w:bidi w:val="0"/>
              <w:spacing w:before="0" w:after="283"/>
              <w:jc w:val="left"/>
              <w:rPr/>
            </w:pPr>
            <w:r>
              <w:rPr/>
              <w:t>)</w:t>
            </w:r>
            <w:bookmarkStart w:id="752" w:name="xdx_40B_eus-gaap--DeferredIncomeTaxLiabi"/>
            <w:bookmarkEnd w:id="752"/>
          </w:p>
        </w:tc>
      </w:tr>
      <w:tr>
        <w:trPr/>
        <w:tc>
          <w:tcPr>
            <w:tcW w:w="2825" w:type="dxa"/>
            <w:tcBorders/>
            <w:shd w:fill="FFFFFF" w:val="clear"/>
            <w:vAlign w:val="center"/>
          </w:tcPr>
          <w:p>
            <w:pPr>
              <w:pStyle w:val="TableContents"/>
              <w:bidi w:val="0"/>
              <w:spacing w:before="0" w:after="283"/>
              <w:jc w:val="left"/>
              <w:rPr>
                <w:b/>
              </w:rPr>
            </w:pPr>
            <w:r>
              <w:rPr>
                <w:b/>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(760,271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(860,890</w:t>
            </w:r>
          </w:p>
        </w:tc>
        <w:tc>
          <w:tcPr>
            <w:tcW w:w="110" w:type="dxa"/>
            <w:tcBorders/>
            <w:shd w:fill="FFFFFF" w:val="clear"/>
            <w:vAlign w:val="center"/>
          </w:tcPr>
          <w:p>
            <w:pPr>
              <w:pStyle w:val="TableContents"/>
              <w:bidi w:val="0"/>
              <w:spacing w:before="0" w:after="283"/>
              <w:jc w:val="left"/>
              <w:rPr/>
            </w:pPr>
            <w:r>
              <w:rPr/>
              <w:t>)</w:t>
            </w:r>
          </w:p>
        </w:tc>
      </w:tr>
      <w:tr>
        <w:trPr/>
        <w:tc>
          <w:tcPr>
            <w:tcW w:w="28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753" w:name="xdx_403_eus-gaap--DeferredTaxAssetsLiabi"/>
            <w:bookmarkEnd w:id="753"/>
          </w:p>
        </w:tc>
      </w:tr>
      <w:tr>
        <w:trPr/>
        <w:tc>
          <w:tcPr>
            <w:tcW w:w="2825" w:type="dxa"/>
            <w:tcBorders/>
            <w:shd w:fill="FFFFFF" w:val="clear"/>
            <w:vAlign w:val="center"/>
          </w:tcPr>
          <w:p>
            <w:pPr>
              <w:pStyle w:val="TableContents"/>
              <w:bidi w:val="0"/>
              <w:spacing w:before="0" w:after="283"/>
              <w:jc w:val="left"/>
              <w:rPr>
                <w:b/>
              </w:rPr>
            </w:pPr>
            <w:r>
              <w:rPr>
                <w:b/>
              </w:rPr>
              <w:t>Net deferred tax assets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pPr>
            <w:r>
              <w:rPr/>
              <w:t>4,753,025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3,724,462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54" w:name="xdx_80D_eus-gaap--EarningsPerShareTextBl"/>
      <w:bookmarkEnd w:id="754"/>
      <w:r>
        <w:rPr>
          <w:rFonts w:ascii="Times New Roman;Times;Serif" w:hAnsi="Times New Roman;Times;Serif"/>
          <w:b/>
          <w:i w:val="false"/>
          <w:caps w:val="false"/>
          <w:smallCaps w:val="false"/>
          <w:sz w:val="20"/>
        </w:rPr>
        <w:t xml:space="preserve">Note 14 – </w:t>
      </w:r>
      <w:bookmarkStart w:id="755" w:name="xdx_822_z1z0X7QBLss6"/>
      <w:bookmarkEnd w:id="755"/>
      <w:r>
        <w:rPr>
          <w:rFonts w:ascii="Times New Roman;Times;Serif" w:hAnsi="Times New Roman;Times;Serif"/>
          <w:b/>
          <w:i w:val="false"/>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per share for the periods presented: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56" w:name="xdx_891_eus-gaap--ScheduleOfEarningsPerS"/>
      <w:bookmarkStart w:id="757" w:name="xdx_891_eus-gaap--ScheduleOfEarningsPerS"/>
      <w:bookmarkEnd w:id="757"/>
    </w:p>
    <w:tbl>
      <w:tblPr>
        <w:tblW w:w="10205" w:type="dxa"/>
        <w:jc w:val="left"/>
        <w:tblInd w:w="0" w:type="dxa"/>
        <w:tblLayout w:type="fixed"/>
        <w:tblCellMar>
          <w:top w:w="0" w:type="dxa"/>
          <w:left w:w="0" w:type="dxa"/>
          <w:bottom w:w="0" w:type="dxa"/>
          <w:right w:w="0" w:type="dxa"/>
        </w:tblCellMar>
      </w:tblPr>
      <w:tblGrid>
        <w:gridCol w:w="4900"/>
        <w:gridCol w:w="60"/>
        <w:gridCol w:w="140"/>
        <w:gridCol w:w="1055"/>
        <w:gridCol w:w="95"/>
        <w:gridCol w:w="60"/>
        <w:gridCol w:w="140"/>
        <w:gridCol w:w="980"/>
        <w:gridCol w:w="60"/>
        <w:gridCol w:w="60"/>
        <w:gridCol w:w="140"/>
        <w:gridCol w:w="1055"/>
        <w:gridCol w:w="95"/>
        <w:gridCol w:w="60"/>
        <w:gridCol w:w="140"/>
        <w:gridCol w:w="1055"/>
        <w:gridCol w:w="110"/>
      </w:tblGrid>
      <w:tr>
        <w:trPr/>
        <w:tc>
          <w:tcPr>
            <w:tcW w:w="4900" w:type="dxa"/>
            <w:tcBorders/>
            <w:shd w:fill="FFFFFF" w:val="clear"/>
            <w:vAlign w:val="center"/>
          </w:tcPr>
          <w:p>
            <w:pPr>
              <w:pStyle w:val="TableContents"/>
              <w:bidi w:val="0"/>
              <w:spacing w:before="0" w:after="283"/>
              <w:jc w:val="left"/>
              <w:rPr/>
            </w:pPr>
            <w:bookmarkStart w:id="758" w:name="xdx_8BA_zEK9AUePRBo6"/>
            <w:bookmarkEnd w:id="758"/>
            <w:r>
              <w:rPr/>
              <w:t>Schedule of computation of basic and diluted earnings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59" w:name="xdx_49E_20251001__20251231_z2XVKBCQGtr7"/>
            <w:bookmarkEnd w:id="759"/>
          </w:p>
        </w:tc>
        <w:tc>
          <w:tcPr>
            <w:tcW w:w="105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60" w:name="xdx_49F_20241001__20241231_zz64V3un4rw7"/>
            <w:bookmarkEnd w:id="760"/>
          </w:p>
        </w:tc>
        <w:tc>
          <w:tcPr>
            <w:tcW w:w="9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61" w:name="xdx_49E_20250701__20251231_zCmelDSCXy69"/>
            <w:bookmarkEnd w:id="761"/>
          </w:p>
        </w:tc>
        <w:tc>
          <w:tcPr>
            <w:tcW w:w="105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62" w:name="xdx_494_20240701__20241231_z13Sg79npHH8"/>
            <w:bookmarkEnd w:id="762"/>
          </w:p>
        </w:tc>
        <w:tc>
          <w:tcPr>
            <w:tcW w:w="1055"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br/>
              <w:t>December 31,</w:t>
            </w:r>
          </w:p>
        </w:tc>
        <w:tc>
          <w:tcPr>
            <w:tcW w:w="110" w:type="dxa"/>
            <w:tcBorders/>
            <w:vAlign w:val="center"/>
          </w:tcPr>
          <w:p>
            <w:pPr>
              <w:pStyle w:val="TableContents"/>
              <w:bidi w:val="0"/>
              <w:spacing w:before="0" w:after="283"/>
              <w:jc w:val="left"/>
              <w:rPr/>
            </w:pPr>
            <w:r>
              <w:rPr/>
              <w:t> </w:t>
            </w:r>
          </w:p>
        </w:tc>
      </w:tr>
      <w:tr>
        <w:trPr/>
        <w:tc>
          <w:tcPr>
            <w:tcW w:w="4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763" w:name="xdx_401_ecustom--NumeratorAbstract_iB_zU"/>
            <w:bookmarkEnd w:id="763"/>
          </w:p>
        </w:tc>
      </w:tr>
      <w:tr>
        <w:trPr/>
        <w:tc>
          <w:tcPr>
            <w:tcW w:w="490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764" w:name="xdx_409_eus-gaap--NetIncomeLossAvailable"/>
            <w:bookmarkEnd w:id="764"/>
          </w:p>
        </w:tc>
      </w:tr>
      <w:tr>
        <w:trPr/>
        <w:tc>
          <w:tcPr>
            <w:tcW w:w="4900" w:type="dxa"/>
            <w:tcBorders/>
            <w:shd w:fill="EEEEEE" w:val="clear"/>
            <w:vAlign w:val="center"/>
          </w:tcPr>
          <w:p>
            <w:pPr>
              <w:pStyle w:val="TableContents"/>
              <w:bidi w:val="0"/>
              <w:spacing w:before="0" w:after="283"/>
              <w:jc w:val="left"/>
              <w:rPr/>
            </w:pPr>
            <w:r>
              <w:rPr/>
              <w:t>Net loss attributable to iPower Inc.</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(1,193,281</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218,819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(1,726,929</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(1,810,462</w:t>
            </w:r>
          </w:p>
        </w:tc>
        <w:tc>
          <w:tcPr>
            <w:tcW w:w="110" w:type="dxa"/>
            <w:tcBorders/>
            <w:shd w:fill="EEEEEE" w:val="clear"/>
            <w:vAlign w:val="center"/>
          </w:tcPr>
          <w:p>
            <w:pPr>
              <w:pStyle w:val="TableContents"/>
              <w:bidi w:val="0"/>
              <w:spacing w:before="0" w:after="283"/>
              <w:jc w:val="left"/>
              <w:rPr/>
            </w:pPr>
            <w:r>
              <w:rPr/>
              <w:t>)</w:t>
            </w:r>
          </w:p>
        </w:tc>
      </w:tr>
      <w:tr>
        <w:trPr/>
        <w:tc>
          <w:tcPr>
            <w:tcW w:w="4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65" w:name="xdx_40C_ecustom--DenominatorAbstract_iB_"/>
            <w:bookmarkEnd w:id="765"/>
          </w:p>
        </w:tc>
      </w:tr>
      <w:tr>
        <w:trPr/>
        <w:tc>
          <w:tcPr>
            <w:tcW w:w="4900" w:type="dxa"/>
            <w:tcBorders/>
            <w:shd w:fill="EEEEEE" w:val="clear"/>
            <w:vAlign w:val="center"/>
          </w:tcPr>
          <w:p>
            <w:pPr>
              <w:pStyle w:val="TableContents"/>
              <w:bidi w:val="0"/>
              <w:spacing w:before="0" w:after="283"/>
              <w:jc w:val="left"/>
              <w:rPr/>
            </w:pPr>
            <w:r>
              <w:rPr/>
              <w:t>Denominator:</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ind w:left="0" w:right="0" w:hanging="200"/>
              <w:jc w:val="left"/>
              <w:rPr/>
            </w:pPr>
            <w:r>
              <w:rPr/>
              <w:t> </w:t>
            </w:r>
          </w:p>
        </w:tc>
      </w:tr>
      <w:tr>
        <w:trPr/>
        <w:tc>
          <w:tcPr>
            <w:tcW w:w="4900" w:type="dxa"/>
            <w:tcBorders/>
            <w:shd w:fill="FFFFFF" w:val="clear"/>
            <w:vAlign w:val="center"/>
          </w:tcPr>
          <w:p>
            <w:pPr>
              <w:pStyle w:val="TableContents"/>
              <w:bidi w:val="0"/>
              <w:spacing w:before="0" w:after="283"/>
              <w:jc w:val="left"/>
              <w:rPr/>
            </w:pPr>
            <w:r>
              <w:rPr/>
              <w:t>Weighted-average shares used in computing basic and diluted earnings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66" w:name="xdx_902_eus-gaap--WeightedAverageNumberO"/>
            <w:bookmarkStart w:id="767" w:name="xdx_90F_eus-gaap--WeightedAverageNumberO"/>
            <w:bookmarkEnd w:id="766"/>
            <w:bookmarkEnd w:id="767"/>
            <w:r>
              <w:rPr/>
              <w:t>1,102,378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68" w:name="xdx_90E_eus-gaap--WeightedAverageNumberO"/>
            <w:bookmarkStart w:id="769" w:name="xdx_907_eus-gaap--WeightedAverageNumberO"/>
            <w:bookmarkEnd w:id="768"/>
            <w:bookmarkEnd w:id="769"/>
            <w:r>
              <w:rPr/>
              <w:t>1,047,917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70" w:name="xdx_903_eus-gaap--WeightedAverageNumberO"/>
            <w:bookmarkStart w:id="771" w:name="xdx_901_eus-gaap--WeightedAverageNumberO"/>
            <w:bookmarkEnd w:id="770"/>
            <w:bookmarkEnd w:id="771"/>
            <w:r>
              <w:rPr/>
              <w:t>1,075,986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72" w:name="xdx_902_eus-gaap--WeightedAverageNumberO"/>
            <w:bookmarkStart w:id="773" w:name="xdx_90B_eus-gaap--WeightedAverageNumberO"/>
            <w:bookmarkEnd w:id="772"/>
            <w:bookmarkEnd w:id="773"/>
            <w:r>
              <w:rPr/>
              <w:t>1,047,570</w:t>
            </w:r>
          </w:p>
        </w:tc>
        <w:tc>
          <w:tcPr>
            <w:tcW w:w="110" w:type="dxa"/>
            <w:tcBorders/>
            <w:shd w:fill="FFFFFF" w:val="clear"/>
            <w:vAlign w:val="center"/>
          </w:tcPr>
          <w:p>
            <w:pPr>
              <w:pStyle w:val="TableContents"/>
              <w:bidi w:val="0"/>
              <w:spacing w:before="0" w:after="283"/>
              <w:jc w:val="left"/>
              <w:rPr/>
            </w:pPr>
            <w:r>
              <w:rPr/>
              <w:t> </w:t>
            </w:r>
          </w:p>
        </w:tc>
      </w:tr>
      <w:tr>
        <w:trPr/>
        <w:tc>
          <w:tcPr>
            <w:tcW w:w="4900" w:type="dxa"/>
            <w:tcBorders/>
            <w:shd w:fill="EEEEEE" w:val="clear"/>
            <w:vAlign w:val="center"/>
          </w:tcPr>
          <w:p>
            <w:pPr>
              <w:pStyle w:val="TableContents"/>
              <w:bidi w:val="0"/>
              <w:spacing w:before="0" w:after="283"/>
              <w:jc w:val="left"/>
              <w:rPr/>
            </w:pPr>
            <w:r>
              <w:rPr/>
              <w:t>Earnings (losses) per share of ordinary shares - basic and diluted</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74" w:name="xdx_90C_eus-gaap--EarningsPerShareDilute"/>
            <w:bookmarkStart w:id="775" w:name="xdx_90F_eus-gaap--EarningsPerShareBasic_"/>
            <w:bookmarkEnd w:id="774"/>
            <w:bookmarkEnd w:id="775"/>
            <w:r>
              <w:rPr/>
              <w:t>(1.08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76" w:name="xdx_90F_eus-gaap--EarningsPerShareDilute"/>
            <w:bookmarkStart w:id="777" w:name="xdx_90C_eus-gaap--EarningsPerShareBasic_"/>
            <w:bookmarkEnd w:id="776"/>
            <w:bookmarkEnd w:id="777"/>
            <w:r>
              <w:rPr/>
              <w:t>0.21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78" w:name="xdx_90B_eus-gaap--EarningsPerShareDilute"/>
            <w:bookmarkStart w:id="779" w:name="xdx_902_eus-gaap--EarningsPerShareBasic_"/>
            <w:bookmarkEnd w:id="778"/>
            <w:bookmarkEnd w:id="779"/>
            <w:r>
              <w:rPr/>
              <w:t>(1.60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80" w:name="xdx_908_eus-gaap--EarningsPerShareDilute"/>
            <w:bookmarkStart w:id="781" w:name="xdx_90D_eus-gaap--EarningsPerShareBasic_"/>
            <w:bookmarkEnd w:id="780"/>
            <w:bookmarkEnd w:id="781"/>
            <w:r>
              <w:rPr/>
              <w:t>(1.73</w:t>
            </w:r>
          </w:p>
        </w:tc>
        <w:tc>
          <w:tcPr>
            <w:tcW w:w="110" w:type="dxa"/>
            <w:tcBorders/>
            <w:shd w:fill="EEEEEE"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283"/>
              <w:jc w:val="both"/>
              <w:rPr>
                <w:sz w:val="20"/>
              </w:rPr>
            </w:pPr>
            <w:r>
              <w:rPr>
                <w:sz w:val="20"/>
              </w:rPr>
              <w:t>Due to the anti-dilutive effect, the computation of basic and diluted EPS did not include the shares underlying the exercise of warrants, options, and unvested RSUs as the Company had a net loss for the three and six months ended December 31, 2025 and 2024.</w:t>
            </w:r>
          </w:p>
        </w:tc>
      </w:tr>
      <w:tr>
        <w:trPr/>
        <w:tc>
          <w:tcPr>
            <w:tcW w:w="140" w:type="dxa"/>
            <w:tcBorders/>
            <w:vAlign w:val="center"/>
          </w:tcPr>
          <w:p>
            <w:pPr>
              <w:pStyle w:val="TableContents"/>
              <w:bidi w:val="0"/>
              <w:spacing w:before="0" w:after="283"/>
              <w:jc w:val="both"/>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283"/>
              <w:jc w:val="both"/>
              <w:rPr>
                <w:sz w:val="20"/>
              </w:rPr>
            </w:pPr>
            <w:r>
              <w:rPr>
                <w:sz w:val="20"/>
              </w:rPr>
              <w:t xml:space="preserve">For the three and  six months ended December 31, 2025, </w:t>
            </w:r>
            <w:bookmarkStart w:id="782" w:name="xdx_90B_eus-gaap--ShareBasedCompensation"/>
            <w:bookmarkEnd w:id="782"/>
            <w:r>
              <w:rPr>
                <w:sz w:val="20"/>
              </w:rPr>
              <w:t xml:space="preserve">81,676 and </w:t>
            </w:r>
            <w:bookmarkStart w:id="783" w:name="xdx_900_eus-gaap--ShareBasedCompensation"/>
            <w:bookmarkEnd w:id="783"/>
            <w:r>
              <w:rPr>
                <w:sz w:val="20"/>
              </w:rPr>
              <w:t>82,217 vested but unissued shares of restricted stock units under the 2020 Equity Incentive Plan (as discussed in Note 15) are considered issued shares and therefore are included in the computation of basic losses per share when the shares are fully vested.</w:t>
            </w:r>
          </w:p>
        </w:tc>
      </w:tr>
      <w:tr>
        <w:trPr/>
        <w:tc>
          <w:tcPr>
            <w:tcW w:w="140" w:type="dxa"/>
            <w:tcBorders/>
            <w:vAlign w:val="center"/>
          </w:tcPr>
          <w:p>
            <w:pPr>
              <w:pStyle w:val="TableContents"/>
              <w:bidi w:val="0"/>
              <w:spacing w:before="0" w:after="283"/>
              <w:jc w:val="both"/>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December 31, 2024, </w:t>
            </w:r>
            <w:bookmarkStart w:id="784" w:name="xdx_903_eus-gaap--ShareBasedCompensation"/>
            <w:bookmarkEnd w:id="784"/>
            <w:r>
              <w:rPr>
                <w:rFonts w:ascii="Times New Roman;Times;Serif" w:hAnsi="Times New Roman;Times;Serif"/>
                <w:b w:val="false"/>
                <w:i w:val="false"/>
                <w:caps w:val="false"/>
                <w:smallCaps w:val="false"/>
                <w:sz w:val="20"/>
              </w:rPr>
              <w:t xml:space="preserve">2,974 and </w:t>
            </w:r>
            <w:bookmarkStart w:id="785" w:name="xdx_900_eus-gaap--ShareBasedCompensation"/>
            <w:bookmarkEnd w:id="785"/>
            <w:r>
              <w:rPr>
                <w:rFonts w:ascii="Times New Roman;Times;Serif" w:hAnsi="Times New Roman;Times;Serif"/>
                <w:b w:val="false"/>
                <w:i w:val="false"/>
                <w:caps w:val="false"/>
                <w:smallCaps w:val="false"/>
                <w:sz w:val="20"/>
              </w:rPr>
              <w:t>3,579 vested but unissued shares of restricted stock units under the 2020 Equity Incentive Plan (as discussed in Note 15) are considered issued shares and therefore are included in the computation of basic losses per share when the shares are fully vested.</w:t>
            </w:r>
          </w:p>
        </w:tc>
      </w:tr>
    </w:tbl>
    <w:p>
      <w:pPr>
        <w:pStyle w:val="TextBody"/>
        <w:bidi w:val="0"/>
        <w:spacing w:before="0" w:after="0"/>
        <w:ind w:left="0" w:right="0" w:hanging="0"/>
        <w:jc w:val="left"/>
        <w:rPr>
          <w:caps w:val="false"/>
          <w:smallCaps w:val="false"/>
        </w:rPr>
      </w:pPr>
      <w:bookmarkStart w:id="786" w:name="xdx_8AA_zSCoR7DRKUIc"/>
      <w:bookmarkEnd w:id="786"/>
      <w:r>
        <w:rPr>
          <w:caps w:val="false"/>
          <w:smallCaps w:val="false"/>
        </w:rPr>
        <w:t> </w:t>
      </w:r>
    </w:p>
    <w:p>
      <w:pPr>
        <w:pStyle w:val="TextBody"/>
        <w:bidi w:val="0"/>
        <w:spacing w:before="0" w:after="0"/>
        <w:ind w:left="0" w:right="0" w:hanging="0"/>
        <w:jc w:val="left"/>
        <w:rPr>
          <w:caps w:val="false"/>
          <w:smallCaps w:val="false"/>
        </w:rPr>
      </w:pPr>
      <w:bookmarkStart w:id="787" w:name="xdx_232_zvhZmbtKHtE"/>
      <w:bookmarkEnd w:id="787"/>
      <w:r>
        <w:rPr>
          <w:caps w:val="false"/>
          <w:smallCaps w:val="false"/>
        </w:rPr>
        <w:t> </w:t>
      </w:r>
    </w:p>
    <w:p>
      <w:pPr>
        <w:pStyle w:val="TextBody"/>
        <w:bidi w:val="0"/>
        <w:spacing w:before="0" w:after="0"/>
        <w:ind w:left="0" w:right="0" w:hanging="0"/>
        <w:jc w:val="left"/>
        <w:rPr>
          <w:caps w:val="false"/>
          <w:smallCaps w:val="false"/>
        </w:rPr>
      </w:pPr>
      <w:bookmarkStart w:id="788" w:name="xdx_23A_zorXpbMIXcIf"/>
      <w:bookmarkEnd w:id="788"/>
      <w:r>
        <w:rPr>
          <w:caps w:val="false"/>
          <w:smallCaps w:val="false"/>
        </w:rPr>
        <w:t> </w:t>
      </w:r>
    </w:p>
    <w:p>
      <w:pPr>
        <w:pStyle w:val="TextBody"/>
        <w:bidi w:val="0"/>
        <w:spacing w:before="0" w:after="0"/>
        <w:ind w:left="0" w:right="0" w:hanging="0"/>
        <w:jc w:val="left"/>
        <w:rPr>
          <w:caps w:val="false"/>
          <w:smallCaps w:val="false"/>
        </w:rPr>
      </w:pPr>
      <w:bookmarkStart w:id="789" w:name="xdx_23F_zJ7XPG8XZaic"/>
      <w:bookmarkEnd w:id="78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0" w:name="xdx_801_eus-gaap--StockholdersEquityNote"/>
      <w:bookmarkEnd w:id="790"/>
      <w:r>
        <w:rPr>
          <w:rFonts w:ascii="Times New Roman;Times;Serif" w:hAnsi="Times New Roman;Times;Serif"/>
          <w:b/>
          <w:i w:val="false"/>
          <w:caps w:val="false"/>
          <w:smallCaps w:val="false"/>
          <w:sz w:val="20"/>
        </w:rPr>
        <w:t xml:space="preserve">Note 15 – </w:t>
      </w:r>
      <w:bookmarkStart w:id="791" w:name="xdx_82D_z3ntDUPd2mxa"/>
      <w:bookmarkEnd w:id="791"/>
      <w:r>
        <w:rPr>
          <w:rFonts w:ascii="Times New Roman;Times;Serif" w:hAnsi="Times New Roman;Times;Serif"/>
          <w:b/>
          <w:i w:val="false"/>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total authorized shares of capital stock were 200,000,000 shares consisting of </w:t>
      </w:r>
      <w:bookmarkStart w:id="792" w:name="xdx_901_eus-gaap--CommonStockSharesAutho"/>
      <w:bookmarkEnd w:id="792"/>
      <w:r>
        <w:rPr>
          <w:rFonts w:ascii="Times New Roman;Times;Serif" w:hAnsi="Times New Roman;Times;Serif"/>
          <w:b w:val="false"/>
          <w:i w:val="false"/>
          <w:caps w:val="false"/>
          <w:smallCaps w:val="false"/>
          <w:sz w:val="20"/>
        </w:rPr>
        <w:t xml:space="preserve">180,000,000 shares of Common Stock (“Common Stock”) and </w:t>
      </w:r>
      <w:bookmarkStart w:id="793" w:name="xdx_909_eus-gaap--PreferredStockSharesAu"/>
      <w:bookmarkEnd w:id="793"/>
      <w:r>
        <w:rPr>
          <w:rFonts w:ascii="Times New Roman;Times;Serif" w:hAnsi="Times New Roman;Times;Serif"/>
          <w:b w:val="false"/>
          <w:i w:val="false"/>
          <w:caps w:val="false"/>
          <w:smallCaps w:val="false"/>
          <w:sz w:val="20"/>
        </w:rPr>
        <w:t>20,000,000 shares of preferred stock (the “Preferred Stock”), each with a par value of $</w:t>
      </w:r>
      <w:bookmarkStart w:id="794" w:name="xdx_905_eus-gaap--PreferredStockParOrSta"/>
      <w:bookmarkEnd w:id="794"/>
      <w:r>
        <w:rPr>
          <w:rFonts w:ascii="Times New Roman;Times;Serif" w:hAnsi="Times New Roman;Times;Serif"/>
          <w:b w:val="false"/>
          <w:i w:val="false"/>
          <w:caps w:val="false"/>
          <w:smallCaps w:val="false"/>
          <w:sz w:val="20"/>
        </w:rPr>
        <w:t>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the Company effectuated the 1-for-30 Reverse Stock Split. When the Reverse Stock Split became effective, every thirty (30) shares of the Company’s issued and outstanding Common Stock immediately prior to the Effective Time automatically reclassified into one (1) share of Common Stock, without any change in the par value per share. The Reverse Stock Split did not change the total number of authorized shares of Common Stock or preferred stock. As a result, unless otherwise indicated, all references to common stock, restricted stock units, warrants and options to purchase common stock, share data, per-share data, and related information have been retroactively adjusted, where applicable in the unaudited condensed consolidated financial statements and notes, to reflect the 1-for-30 reverse stock split of the Company’s common stock as if the split had occurred at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December 31, 2025, the Company issued </w:t>
      </w:r>
      <w:bookmarkStart w:id="795" w:name="xdx_907_eus-gaap--StockIssuedDuringPerio"/>
      <w:bookmarkEnd w:id="795"/>
      <w:r>
        <w:rPr>
          <w:rFonts w:ascii="Times New Roman;Times;Serif" w:hAnsi="Times New Roman;Times;Serif"/>
          <w:b w:val="false"/>
          <w:i w:val="false"/>
          <w:caps w:val="false"/>
          <w:smallCaps w:val="false"/>
          <w:sz w:val="20"/>
        </w:rPr>
        <w:t>4,460 shares of restricted Common Stock for RSUs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2024, the Company closed on a registered direct offering (the “Registered Direct”) of </w:t>
      </w:r>
      <w:bookmarkStart w:id="796" w:name="xdx_90E_eus-gaap--StockIssuedDuringPerio"/>
      <w:bookmarkEnd w:id="796"/>
      <w:r>
        <w:rPr>
          <w:rFonts w:ascii="Times New Roman;Times;Serif" w:hAnsi="Times New Roman;Times;Serif"/>
          <w:b w:val="false"/>
          <w:i w:val="false"/>
          <w:caps w:val="false"/>
          <w:smallCaps w:val="false"/>
          <w:sz w:val="20"/>
        </w:rPr>
        <w:t xml:space="preserve">69,445 shares of common stock (the “Shares”) and a concurrent private placement (“Private Placement,” and together with the Registered Direct, the “Offering”) of warrants (the “Warrants”) to purchase </w:t>
      </w:r>
      <w:bookmarkStart w:id="797" w:name="xdx_907_eus-gaap--ClassOfWarrantOrRightN"/>
      <w:bookmarkEnd w:id="797"/>
      <w:r>
        <w:rPr>
          <w:rFonts w:ascii="Times New Roman;Times;Serif" w:hAnsi="Times New Roman;Times;Serif"/>
          <w:b w:val="false"/>
          <w:i w:val="false"/>
          <w:caps w:val="false"/>
          <w:smallCaps w:val="false"/>
          <w:sz w:val="20"/>
        </w:rPr>
        <w:t>69,445 shares of common stock (the “Warrant Shares”), which were sold for gross aggregate proceeds of $</w:t>
      </w:r>
      <w:bookmarkStart w:id="798" w:name="xdx_90C_ecustom--GrossProceedsFromIssuan"/>
      <w:bookmarkEnd w:id="798"/>
      <w:r>
        <w:rPr>
          <w:rFonts w:ascii="Times New Roman;Times;Serif" w:hAnsi="Times New Roman;Times;Serif"/>
          <w:b w:val="false"/>
          <w:i w:val="false"/>
          <w:caps w:val="false"/>
          <w:smallCaps w:val="false"/>
          <w:sz w:val="20"/>
        </w:rPr>
        <w:t xml:space="preserve">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w:t>
      </w:r>
      <w:bookmarkStart w:id="799" w:name="xdx_907_eus-gaap--WarrantsAndRightsOutst"/>
      <w:bookmarkEnd w:id="799"/>
      <w:r>
        <w:rPr>
          <w:rFonts w:ascii="Times New Roman;Times;Serif" w:hAnsi="Times New Roman;Times;Serif"/>
          <w:b w:val="false"/>
          <w:i w:val="false"/>
          <w:caps w:val="false"/>
          <w:smallCaps w:val="false"/>
          <w:sz w:val="20"/>
        </w:rPr>
        <w:t>five years and are immediately exercisable at $</w:t>
      </w:r>
      <w:bookmarkStart w:id="800" w:name="xdx_90B_eus-gaap--ClassOfWarrantOrRightE"/>
      <w:bookmarkEnd w:id="800"/>
      <w:r>
        <w:rPr>
          <w:rFonts w:ascii="Times New Roman;Times;Serif" w:hAnsi="Times New Roman;Times;Serif"/>
          <w:b w:val="false"/>
          <w:i w:val="false"/>
          <w:caps w:val="false"/>
          <w:smallCaps w:val="false"/>
          <w:sz w:val="20"/>
        </w:rPr>
        <w:t>72.0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w:t>
      </w:r>
      <w:bookmarkStart w:id="801" w:name="xdx_90D_eus-gaap--PaymentsOfStockIssuanc"/>
      <w:bookmarkEnd w:id="801"/>
      <w:r>
        <w:rPr>
          <w:rFonts w:ascii="Times New Roman;Times;Serif" w:hAnsi="Times New Roman;Times;Serif"/>
          <w:b w:val="false"/>
          <w:i w:val="false"/>
          <w:caps w:val="false"/>
          <w:smallCaps w:val="false"/>
          <w:sz w:val="20"/>
        </w:rPr>
        <w:t>456,913, the Placement Agent’s fees and expenses and other direct offering costs paid by the Company, was $</w:t>
      </w:r>
      <w:bookmarkStart w:id="802" w:name="xdx_903_eus-gaap--ProceedsFromIssuanceOr"/>
      <w:bookmarkEnd w:id="802"/>
      <w:r>
        <w:rPr>
          <w:rFonts w:ascii="Times New Roman;Times;Serif" w:hAnsi="Times New Roman;Times;Serif"/>
          <w:b w:val="false"/>
          <w:i w:val="false"/>
          <w:caps w:val="false"/>
          <w:smallCaps w:val="false"/>
          <w:sz w:val="20"/>
        </w:rPr>
        <w:t>4,543,089.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calculated the fair value of the Warrants at $</w:t>
      </w:r>
      <w:bookmarkStart w:id="803" w:name="xdx_908_ecustom--WarrantsFairValue_iI_pn"/>
      <w:bookmarkEnd w:id="803"/>
      <w:r>
        <w:rPr>
          <w:rFonts w:ascii="Times New Roman;Times;Serif" w:hAnsi="Times New Roman;Times;Serif"/>
          <w:b w:val="false"/>
          <w:i w:val="false"/>
          <w:caps w:val="false"/>
          <w:smallCaps w:val="false"/>
          <w:sz w:val="20"/>
        </w:rPr>
        <w:t>3.1 million, with a relative fair value of $</w:t>
      </w:r>
      <w:bookmarkStart w:id="804" w:name="xdx_901_ecustom--RelativeFairValue_iI_pn"/>
      <w:bookmarkEnd w:id="804"/>
      <w:r>
        <w:rPr>
          <w:rFonts w:ascii="Times New Roman;Times;Serif" w:hAnsi="Times New Roman;Times;Serif"/>
          <w:b w:val="false"/>
          <w:i w:val="false"/>
          <w:caps w:val="false"/>
          <w:smallCaps w:val="false"/>
          <w:sz w:val="20"/>
        </w:rPr>
        <w:t>1.7 million after allocation of the fair value of the Shares, using the Black-Scholes Model with the following variables:</w:t>
      </w:r>
    </w:p>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95"/>
        <w:gridCol w:w="371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Stock Price - $</w:t>
            </w:r>
            <w:bookmarkStart w:id="805" w:name="xdx_90D_eus-gaap--SharePrice_iI_c2024061"/>
            <w:bookmarkEnd w:id="805"/>
            <w:r>
              <w:rPr>
                <w:sz w:val="20"/>
              </w:rPr>
              <w:t>2.00 (pre-reverse-split price)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Exercise Price - $</w:t>
            </w:r>
            <w:bookmarkStart w:id="806" w:name="xdx_902_ecustom--WarrantExercisePrice_c2"/>
            <w:bookmarkEnd w:id="806"/>
            <w:r>
              <w:rPr>
                <w:sz w:val="20"/>
              </w:rPr>
              <w:t>2.40 (pre-reverse-split price)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 xml:space="preserve">Volatility – </w:t>
            </w:r>
            <w:bookmarkStart w:id="807" w:name="xdx_90F_eus-gaap--ShareBasedCompensation"/>
            <w:bookmarkEnd w:id="807"/>
            <w:r>
              <w:rPr>
                <w:sz w:val="20"/>
              </w:rPr>
              <w:t xml:space="preserve">104%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Term –</w:t>
            </w:r>
            <w:bookmarkStart w:id="808" w:name="xdx_906_eus-gaap--SharebasedCompensation"/>
            <w:bookmarkEnd w:id="808"/>
            <w:r>
              <w:rPr>
                <w:sz w:val="20"/>
              </w:rPr>
              <w:t>5 years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 xml:space="preserve">Risk Free Rate of Return – </w:t>
            </w:r>
            <w:bookmarkStart w:id="809" w:name="xdx_904_eus-gaap--ShareBasedCompensation"/>
            <w:bookmarkEnd w:id="809"/>
            <w:r>
              <w:rPr>
                <w:sz w:val="20"/>
              </w:rPr>
              <w:t xml:space="preserve">4.24% </w:t>
            </w:r>
          </w:p>
        </w:tc>
      </w:tr>
    </w:tbl>
    <w:p>
      <w:pPr>
        <w:pStyle w:val="TextBody"/>
        <w:bidi w:val="0"/>
        <w:spacing w:before="0" w:after="0"/>
        <w:ind w:left="0" w:right="0" w:hanging="0"/>
        <w:jc w:val="both"/>
        <w:rPr>
          <w:caps w:val="false"/>
          <w:smallCaps w:val="false"/>
        </w:rPr>
      </w:pPr>
      <w:bookmarkStart w:id="810" w:name="xdx_233_zcq6qtWmKwXa"/>
      <w:bookmarkEnd w:id="810"/>
      <w:r>
        <w:rPr>
          <w:caps w:val="false"/>
          <w:smallCaps w:val="false"/>
        </w:rPr>
        <w:t> </w:t>
      </w:r>
    </w:p>
    <w:p>
      <w:pPr>
        <w:pStyle w:val="TextBody"/>
        <w:bidi w:val="0"/>
        <w:spacing w:before="0" w:after="0"/>
        <w:ind w:left="0" w:right="0" w:hanging="0"/>
        <w:jc w:val="both"/>
        <w:rPr>
          <w:caps w:val="false"/>
          <w:smallCaps w:val="false"/>
        </w:rPr>
      </w:pPr>
      <w:bookmarkStart w:id="811" w:name="xdx_23D_zBB0HfUJmdxb"/>
      <w:bookmarkEnd w:id="811"/>
      <w:r>
        <w:rPr>
          <w:caps w:val="false"/>
          <w:smallCaps w:val="false"/>
        </w:rPr>
        <w:t> </w:t>
      </w:r>
    </w:p>
    <w:p>
      <w:pPr>
        <w:pStyle w:val="TextBody"/>
        <w:bidi w:val="0"/>
        <w:spacing w:before="0" w:after="0"/>
        <w:ind w:left="0" w:right="0" w:hanging="0"/>
        <w:jc w:val="both"/>
        <w:rPr>
          <w:caps w:val="false"/>
          <w:smallCaps w:val="false"/>
        </w:rPr>
      </w:pPr>
      <w:bookmarkStart w:id="812" w:name="xdx_23C_zemTbohAz18l"/>
      <w:bookmarkEnd w:id="812"/>
      <w:r>
        <w:rPr>
          <w:caps w:val="false"/>
          <w:smallCaps w:val="false"/>
        </w:rPr>
        <w:t> </w:t>
      </w:r>
    </w:p>
    <w:p>
      <w:pPr>
        <w:pStyle w:val="TextBody"/>
        <w:bidi w:val="0"/>
        <w:spacing w:before="0" w:after="0"/>
        <w:ind w:left="0" w:right="0" w:hanging="0"/>
        <w:jc w:val="both"/>
        <w:rPr>
          <w:caps w:val="false"/>
          <w:smallCaps w:val="false"/>
        </w:rPr>
      </w:pPr>
      <w:bookmarkStart w:id="813" w:name="xdx_23A_z94zFLoUwq8c"/>
      <w:bookmarkEnd w:id="81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except for some fundamental transactions within the Company’s control, in no event shall the Company be required to net cash settle the Warrants. The Company considered and followed the rules and guidelines under ASC 480-10 and ASC 815 and concluded that the Warrants should be classified and recorded as equity. Further, as the warrants were issued as part of the Offering, the relative fair value of the Warrants was included in the gross proceeds and recorded as additional paid-in capital. As of December 31 and June 30, 2025, none of the warrants had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2024, in order to recoup the settlement payment made to Boustead Securities, LLC, the Company’s Chief Executive Officer and co-founder, Lawrence Tan, along with co-founder Allan Huang, returned a total of </w:t>
      </w:r>
      <w:bookmarkStart w:id="814" w:name="xdx_90D_eus-gaap--ShareBasedCompensation"/>
      <w:bookmarkEnd w:id="814"/>
      <w:r>
        <w:rPr>
          <w:rFonts w:ascii="Times New Roman;Times;Serif" w:hAnsi="Times New Roman;Times;Serif"/>
          <w:b w:val="false"/>
          <w:i w:val="false"/>
          <w:caps w:val="false"/>
          <w:smallCaps w:val="false"/>
          <w:sz w:val="20"/>
        </w:rPr>
        <w:t>18,056 shares to the Company for cancellation (the “Share Cancellation”). The Share Cancellation was completed in June 2024 and the par value of $</w:t>
      </w:r>
      <w:bookmarkStart w:id="815" w:name="xdx_90C_eus-gaap--AdjustmentsToAdditiona"/>
      <w:bookmarkEnd w:id="815"/>
      <w:r>
        <w:rPr>
          <w:rFonts w:ascii="Times New Roman;Times;Serif" w:hAnsi="Times New Roman;Times;Serif"/>
          <w:b w:val="false"/>
          <w:i w:val="false"/>
          <w:caps w:val="false"/>
          <w:smallCaps w:val="false"/>
          <w:sz w:val="20"/>
        </w:rPr>
        <w:t>542 was reduced against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2025, holders of a majority of the Company’s outstanding voting power (53.1%) approved (1) the Convertible Note Facility, (2) the issuance of in excess of 20% of the Company’s outstanding common stock at a price less than the “Minimum Price” under Nasdaq Listing Rule 5635(d), (3) an increase in authorized shares from 200,000,000 to 1,000,000,000, (4) authorization for the Board to approve one or more reverse stock splits in the range of 1-for-250 shares, and (5) authorization for the Board to adopt a mirror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December 31, 2025, the Company issued the following common stock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bookmarkStart w:id="816" w:name="xdx_900_eus-gaap--ConversionOfStockShare"/>
            <w:bookmarkEnd w:id="816"/>
            <w:r>
              <w:rPr/>
              <w:t>10,948 shares in connection with the conversion of a $</w:t>
            </w:r>
            <w:bookmarkStart w:id="817" w:name="xdx_904_eus-gaap--DebtInstrumentFaceAmou"/>
            <w:bookmarkEnd w:id="817"/>
            <w:r>
              <w:rPr/>
              <w:t>100,000 principal amount of convertible notes at a weighted-average conversion price of $</w:t>
            </w:r>
            <w:bookmarkStart w:id="818" w:name="xdx_900_eus-gaap--DebtInstrumentConverti"/>
            <w:bookmarkEnd w:id="818"/>
            <w:r>
              <w:rPr/>
              <w:t>9.13 per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bookmarkStart w:id="819" w:name="xdx_902_eus-gaap--StockIssuedDuringPerio"/>
            <w:bookmarkEnd w:id="819"/>
            <w:r>
              <w:rPr/>
              <w:t>20,680 shares for services to consultants;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bookmarkStart w:id="820" w:name="xdx_902_eus-gaap--StockIssuedDuringPerio"/>
            <w:bookmarkEnd w:id="820"/>
            <w:r>
              <w:rPr/>
              <w:t>42 shares were issued as round-up shares in connection with the reverse stock split that became effective on October 27,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2025, there were </w:t>
      </w:r>
      <w:bookmarkStart w:id="821" w:name="xdx_90F_eus-gaap--CommonStockSharesOutst"/>
      <w:bookmarkStart w:id="822" w:name="xdx_906_eus-gaap--CommonStockSharesIssue"/>
      <w:bookmarkEnd w:id="821"/>
      <w:bookmarkEnd w:id="822"/>
      <w:r>
        <w:rPr>
          <w:rFonts w:ascii="Times New Roman;Times;Serif" w:hAnsi="Times New Roman;Times;Serif"/>
          <w:b w:val="false"/>
          <w:i w:val="false"/>
          <w:caps w:val="false"/>
          <w:smallCaps w:val="false"/>
          <w:sz w:val="20"/>
        </w:rPr>
        <w:t xml:space="preserve">1,081,460 and </w:t>
      </w:r>
      <w:bookmarkStart w:id="823" w:name="xdx_908_eus-gaap--CommonStockSharesIssue"/>
      <w:bookmarkStart w:id="824" w:name="xdx_905_eus-gaap--CommonStockSharesOutst"/>
      <w:bookmarkEnd w:id="823"/>
      <w:bookmarkEnd w:id="824"/>
      <w:r>
        <w:rPr>
          <w:rFonts w:ascii="Times New Roman;Times;Serif" w:hAnsi="Times New Roman;Times;Serif"/>
          <w:b w:val="false"/>
          <w:i w:val="false"/>
          <w:caps w:val="false"/>
          <w:smallCaps w:val="false"/>
          <w:sz w:val="20"/>
        </w:rPr>
        <w:t>1,045,330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December 31, 2025 and June 30, 2025, respectively, there were </w:t>
      </w:r>
      <w:bookmarkStart w:id="825" w:name="xdx_90E_eus-gaap--PreferredStockSharesOu"/>
      <w:bookmarkStart w:id="826" w:name="xdx_902_eus-gaap--PreferredStockSharesIs"/>
      <w:bookmarkStart w:id="827" w:name="xdx_90F_eus-gaap--PreferredStockSharesOu"/>
      <w:bookmarkStart w:id="828" w:name="xdx_902_eus-gaap--PreferredStockSharesIs"/>
      <w:bookmarkEnd w:id="825"/>
      <w:bookmarkEnd w:id="826"/>
      <w:bookmarkEnd w:id="827"/>
      <w:bookmarkEnd w:id="828"/>
      <w:r>
        <w:rPr>
          <w:rFonts w:ascii="Times New Roman;Times;Serif" w:hAnsi="Times New Roman;Times;Serif"/>
          <w:b w:val="false"/>
          <w:i w:val="false"/>
          <w:caps w:val="false"/>
          <w:smallCaps w:val="false"/>
          <w:sz w:val="20"/>
        </w:rPr>
        <w:t>no shares of Preferred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5, 2021, the Company’s Board of Directors adopted, and its stockholders approved and ratified, the iPower Inc. Amended and Restated 2020 Equity Incentive Plan (the “Plan”). The Plan allows for the issuance of up to </w:t>
      </w:r>
      <w:bookmarkStart w:id="829" w:name="xdx_908_eus-gaap--ShareBasedCompensation"/>
      <w:bookmarkEnd w:id="829"/>
      <w:r>
        <w:rPr>
          <w:rFonts w:ascii="Times New Roman;Times;Serif" w:hAnsi="Times New Roman;Times;Serif"/>
          <w:b w:val="false"/>
          <w:i w:val="false"/>
          <w:caps w:val="false"/>
          <w:smallCaps w:val="false"/>
          <w:sz w:val="20"/>
        </w:rPr>
        <w:t>10,000,000 shares of Common Stock,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was subsequently amended on December 6, 2022 and September 15, 2023 and November 22, 2023.</w:t>
      </w:r>
    </w:p>
    <w:p>
      <w:pPr>
        <w:pStyle w:val="TextBody"/>
        <w:bidi w:val="0"/>
        <w:spacing w:before="0" w:after="0"/>
        <w:ind w:left="0" w:right="0" w:hanging="0"/>
        <w:jc w:val="both"/>
        <w:rPr>
          <w:caps w:val="false"/>
          <w:smallCaps w:val="false"/>
        </w:rPr>
      </w:pPr>
      <w:bookmarkStart w:id="830" w:name="xdx_230_zDOlbY5yxTla"/>
      <w:bookmarkEnd w:id="830"/>
      <w:r>
        <w:rPr>
          <w:caps w:val="false"/>
          <w:smallCaps w:val="false"/>
        </w:rPr>
        <w:t> </w:t>
      </w:r>
    </w:p>
    <w:p>
      <w:pPr>
        <w:pStyle w:val="TextBody"/>
        <w:bidi w:val="0"/>
        <w:spacing w:before="0" w:after="0"/>
        <w:ind w:left="0" w:right="0" w:hanging="0"/>
        <w:jc w:val="both"/>
        <w:rPr>
          <w:caps w:val="false"/>
          <w:smallCaps w:val="false"/>
        </w:rPr>
      </w:pPr>
      <w:bookmarkStart w:id="831" w:name="xdx_239_zKAsR5bCDdN3"/>
      <w:bookmarkEnd w:id="831"/>
      <w:r>
        <w:rPr>
          <w:caps w:val="false"/>
          <w:smallCaps w:val="false"/>
        </w:rPr>
        <w:t> </w:t>
      </w:r>
    </w:p>
    <w:p>
      <w:pPr>
        <w:pStyle w:val="TextBody"/>
        <w:bidi w:val="0"/>
        <w:spacing w:before="0" w:after="0"/>
        <w:ind w:left="0" w:right="0" w:hanging="0"/>
        <w:jc w:val="both"/>
        <w:rPr>
          <w:caps w:val="false"/>
          <w:smallCaps w:val="false"/>
        </w:rPr>
      </w:pPr>
      <w:bookmarkStart w:id="832" w:name="xdx_235_z0NZhqQbHcGl"/>
      <w:bookmarkEnd w:id="832"/>
      <w:r>
        <w:rPr>
          <w:caps w:val="false"/>
          <w:smallCaps w:val="false"/>
        </w:rPr>
        <w:t> </w:t>
      </w:r>
    </w:p>
    <w:p>
      <w:pPr>
        <w:pStyle w:val="TextBody"/>
        <w:bidi w:val="0"/>
        <w:spacing w:before="0" w:after="0"/>
        <w:ind w:left="0" w:right="0" w:hanging="0"/>
        <w:jc w:val="both"/>
        <w:rPr>
          <w:caps w:val="false"/>
          <w:smallCaps w:val="false"/>
        </w:rPr>
      </w:pPr>
      <w:bookmarkStart w:id="833" w:name="xdx_231_z3uIbbm72OYd"/>
      <w:bookmarkEnd w:id="83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granted $</w:t>
      </w:r>
      <w:bookmarkStart w:id="834" w:name="xdx_90E_eus-gaap--StockIssuedDuringPerio"/>
      <w:bookmarkEnd w:id="834"/>
      <w:r>
        <w:rPr>
          <w:rFonts w:ascii="Times New Roman;Times;Serif" w:hAnsi="Times New Roman;Times;Serif"/>
          <w:b w:val="false"/>
          <w:i w:val="false"/>
          <w:caps w:val="false"/>
          <w:smallCaps w:val="false"/>
          <w:sz w:val="20"/>
        </w:rPr>
        <w:t xml:space="preserve">800,000 in RSUs as bonus to Chenlong Tan, the CEO of the Company. As a result, </w:t>
      </w:r>
      <w:bookmarkStart w:id="835" w:name="xdx_905_eus-gaap--StockIssuedDuringPerio"/>
      <w:bookmarkEnd w:id="835"/>
      <w:r>
        <w:rPr>
          <w:rFonts w:ascii="Times New Roman;Times;Serif" w:hAnsi="Times New Roman;Times;Serif"/>
          <w:b w:val="false"/>
          <w:i w:val="false"/>
          <w:caps w:val="false"/>
          <w:smallCaps w:val="false"/>
          <w:sz w:val="20"/>
        </w:rPr>
        <w:t>81,136 RSUs, calculated based on the closing price, $</w:t>
      </w:r>
      <w:bookmarkStart w:id="836" w:name="xdx_903_ecustom--ClosingPrice_iI_c202511"/>
      <w:bookmarkEnd w:id="836"/>
      <w:r>
        <w:rPr>
          <w:rFonts w:ascii="Times New Roman;Times;Serif" w:hAnsi="Times New Roman;Times;Serif"/>
          <w:b w:val="false"/>
          <w:i w:val="false"/>
          <w:caps w:val="false"/>
          <w:smallCaps w:val="false"/>
          <w:sz w:val="20"/>
        </w:rPr>
        <w:t>9.86, on the grant date, were issued to Mr. Tan. The RSUs vested immediately but contained a deferred settlement provision. As a result, settlement of the vested RSUs shall occur on the earliest of the following Code Section 409A-permitted payment events: (1) change of control of the Company that qualifies as a “change in control event” as defined under Code Section 409A; (2) Reporting Person’s separation from service (subject to any required delay under the Amended and Restated 2020 Equity Incentive Plan; (3) upon the Reporting Person’s death or disability, or (4) in the event of an “unforeseeable financial emergency,” as defined under Code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December 31, 2025 and 2024, the Company granted an additional </w:t>
      </w:r>
      <w:bookmarkStart w:id="837" w:name="xdx_908_eus-gaap--StockIssuedDuringPerio"/>
      <w:bookmarkEnd w:id="837"/>
      <w:r>
        <w:rPr>
          <w:rFonts w:ascii="Times New Roman;Times;Serif" w:hAnsi="Times New Roman;Times;Serif"/>
          <w:b w:val="false"/>
          <w:i w:val="false"/>
          <w:caps w:val="false"/>
          <w:smallCaps w:val="false"/>
          <w:sz w:val="20"/>
        </w:rPr>
        <w:t xml:space="preserve">1,607 and </w:t>
      </w:r>
      <w:bookmarkStart w:id="838" w:name="xdx_90A_eus-gaap--StockIssuedDuringPerio"/>
      <w:bookmarkEnd w:id="838"/>
      <w:r>
        <w:rPr>
          <w:rFonts w:ascii="Times New Roman;Times;Serif" w:hAnsi="Times New Roman;Times;Serif"/>
          <w:b w:val="false"/>
          <w:i w:val="false"/>
          <w:caps w:val="false"/>
          <w:smallCaps w:val="false"/>
          <w:sz w:val="20"/>
        </w:rPr>
        <w:t>2,381 shares of RSUs to the Company’s directors,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December 31, 2025, the Company recorded stock-based compensation expense of $</w:t>
      </w:r>
      <w:bookmarkStart w:id="839" w:name="xdx_90C_eus-gaap--ShareBasedCompensation"/>
      <w:bookmarkEnd w:id="839"/>
      <w:r>
        <w:rPr>
          <w:rFonts w:ascii="Times New Roman;Times;Serif" w:hAnsi="Times New Roman;Times;Serif"/>
          <w:b w:val="false"/>
          <w:i w:val="false"/>
          <w:caps w:val="false"/>
          <w:smallCaps w:val="false"/>
          <w:sz w:val="20"/>
        </w:rPr>
        <w:t>810,000 and $</w:t>
      </w:r>
      <w:bookmarkStart w:id="840" w:name="xdx_908_eus-gaap--ShareBasedCompensation"/>
      <w:bookmarkEnd w:id="840"/>
      <w:r>
        <w:rPr>
          <w:rFonts w:ascii="Times New Roman;Times;Serif" w:hAnsi="Times New Roman;Times;Serif"/>
          <w:b w:val="false"/>
          <w:i w:val="false"/>
          <w:caps w:val="false"/>
          <w:smallCaps w:val="false"/>
          <w:sz w:val="20"/>
        </w:rPr>
        <w:t>820,000, respectively, related to the vesting of RSUs. For the three and six months ended December 31, 2024, the Company recorded $</w:t>
      </w:r>
      <w:bookmarkStart w:id="841" w:name="xdx_900_eus-gaap--ShareBasedCompensation"/>
      <w:bookmarkEnd w:id="841"/>
      <w:r>
        <w:rPr>
          <w:rFonts w:ascii="Times New Roman;Times;Serif" w:hAnsi="Times New Roman;Times;Serif"/>
          <w:b w:val="false"/>
          <w:i w:val="false"/>
          <w:caps w:val="false"/>
          <w:smallCaps w:val="false"/>
          <w:sz w:val="20"/>
        </w:rPr>
        <w:t>22,500 and $</w:t>
      </w:r>
      <w:bookmarkStart w:id="842" w:name="xdx_901_eus-gaap--ShareBasedCompensation"/>
      <w:bookmarkEnd w:id="842"/>
      <w:r>
        <w:rPr>
          <w:rFonts w:ascii="Times New Roman;Times;Serif" w:hAnsi="Times New Roman;Times;Serif"/>
          <w:b w:val="false"/>
          <w:i w:val="false"/>
          <w:caps w:val="false"/>
          <w:smallCaps w:val="false"/>
          <w:sz w:val="20"/>
        </w:rPr>
        <w:t xml:space="preserve">54,288 of stock-based compensation expense. There was no forfeiture of RSUs occurred during the six months ended December 31, 2025 and 2024. As of December 31, 2025 and June 30, 2025, the unvested number of RSUs was </w:t>
      </w:r>
      <w:bookmarkStart w:id="843" w:name="xdx_909_eus-gaap--ShareBasedCompensation"/>
      <w:bookmarkEnd w:id="843"/>
      <w:r>
        <w:rPr>
          <w:rFonts w:ascii="Times New Roman;Times;Serif" w:hAnsi="Times New Roman;Times;Serif"/>
          <w:b w:val="false"/>
          <w:i w:val="false"/>
          <w:caps w:val="false"/>
          <w:smallCaps w:val="false"/>
          <w:sz w:val="20"/>
        </w:rPr>
        <w:t xml:space="preserve">989 and </w:t>
      </w:r>
      <w:bookmarkStart w:id="844" w:name="xdx_905_eus-gaap--ShareBasedCompensation"/>
      <w:bookmarkEnd w:id="844"/>
      <w:r>
        <w:rPr>
          <w:rFonts w:ascii="Times New Roman;Times;Serif" w:hAnsi="Times New Roman;Times;Serif"/>
          <w:b w:val="false"/>
          <w:i w:val="false"/>
          <w:caps w:val="false"/>
          <w:smallCaps w:val="false"/>
          <w:sz w:val="20"/>
        </w:rPr>
        <w:t>463 and the unamortized expense was $</w:t>
      </w:r>
      <w:bookmarkStart w:id="845" w:name="xdx_905_eus-gaap--EmployeeServiceShareBa"/>
      <w:bookmarkEnd w:id="845"/>
      <w:r>
        <w:rPr>
          <w:rFonts w:ascii="Times New Roman;Times;Serif" w:hAnsi="Times New Roman;Times;Serif"/>
          <w:b w:val="false"/>
          <w:i w:val="false"/>
          <w:caps w:val="false"/>
          <w:smallCaps w:val="false"/>
          <w:sz w:val="20"/>
        </w:rPr>
        <w:t>18,333 and $</w:t>
      </w:r>
      <w:bookmarkStart w:id="846" w:name="xdx_90C_eus-gaap--EmployeeServiceShareBa"/>
      <w:bookmarkEnd w:id="846"/>
      <w:r>
        <w:rPr>
          <w:rFonts w:ascii="Times New Roman;Times;Serif" w:hAnsi="Times New Roman;Times;Serif"/>
          <w:b w:val="false"/>
          <w:i w:val="false"/>
          <w:caps w:val="false"/>
          <w:smallCaps w:val="false"/>
          <w:sz w:val="20"/>
        </w:rPr>
        <w:t>8,333,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RSU grants is summarized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December 31, 2025: </w:t>
      </w:r>
    </w:p>
    <w:p>
      <w:pPr>
        <w:pStyle w:val="Normal"/>
        <w:bidi w:val="0"/>
        <w:spacing w:before="0" w:after="0"/>
        <w:jc w:val="left"/>
        <w:rPr>
          <w:sz w:val="4"/>
          <w:szCs w:val="4"/>
        </w:rPr>
      </w:pPr>
      <w:r>
        <w:rPr>
          <w:sz w:val="4"/>
          <w:szCs w:val="4"/>
        </w:rPr>
      </w:r>
      <w:bookmarkStart w:id="847" w:name="xdx_891_eus-gaap--ScheduleOfShareBasedCo"/>
      <w:bookmarkStart w:id="848" w:name="xdx_891_eus-gaap--ScheduleOfShareBasedCo"/>
      <w:bookmarkEnd w:id="848"/>
    </w:p>
    <w:tbl>
      <w:tblPr>
        <w:tblW w:w="10205" w:type="dxa"/>
        <w:jc w:val="left"/>
        <w:tblInd w:w="0" w:type="dxa"/>
        <w:tblLayout w:type="fixed"/>
        <w:tblCellMar>
          <w:top w:w="0" w:type="dxa"/>
          <w:left w:w="0" w:type="dxa"/>
          <w:bottom w:w="0" w:type="dxa"/>
          <w:right w:w="0" w:type="dxa"/>
        </w:tblCellMar>
      </w:tblPr>
      <w:tblGrid>
        <w:gridCol w:w="3690"/>
        <w:gridCol w:w="60"/>
        <w:gridCol w:w="113"/>
        <w:gridCol w:w="1431"/>
        <w:gridCol w:w="95"/>
        <w:gridCol w:w="60"/>
        <w:gridCol w:w="693"/>
        <w:gridCol w:w="3986"/>
        <w:gridCol w:w="77"/>
      </w:tblGrid>
      <w:tr>
        <w:trPr/>
        <w:tc>
          <w:tcPr>
            <w:tcW w:w="3690" w:type="dxa"/>
            <w:tcBorders/>
            <w:vAlign w:val="center"/>
          </w:tcPr>
          <w:p>
            <w:pPr>
              <w:pStyle w:val="TableContents"/>
              <w:bidi w:val="0"/>
              <w:spacing w:before="0" w:after="283"/>
              <w:jc w:val="left"/>
              <w:rPr/>
            </w:pPr>
            <w:bookmarkStart w:id="849" w:name="xdx_8B3_zqaZybN8vrCa"/>
            <w:bookmarkEnd w:id="849"/>
            <w:r>
              <w:rPr/>
              <w:t>Schedule of RSU activity</w:t>
            </w:r>
          </w:p>
        </w:tc>
        <w:tc>
          <w:tcPr>
            <w:tcW w:w="60" w:type="dxa"/>
            <w:tcBorders/>
            <w:vAlign w:val="center"/>
          </w:tcPr>
          <w:p>
            <w:pPr>
              <w:pStyle w:val="TableContents"/>
              <w:bidi w:val="0"/>
              <w:spacing w:before="0" w:after="283"/>
              <w:jc w:val="left"/>
              <w:rPr/>
            </w:pPr>
            <w:r>
              <w:rPr/>
              <w:t> </w:t>
            </w:r>
          </w:p>
        </w:tc>
        <w:tc>
          <w:tcPr>
            <w:tcW w:w="15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9"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RSUs Issued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Fair Market Value of RSUs Issued as Compensation (1)</w:t>
            </w:r>
          </w:p>
        </w:tc>
        <w:tc>
          <w:tcPr>
            <w:tcW w:w="77" w:type="dxa"/>
            <w:tcBorders/>
            <w:vAlign w:val="center"/>
          </w:tcPr>
          <w:p>
            <w:pPr>
              <w:pStyle w:val="TableContents"/>
              <w:bidi w:val="0"/>
              <w:spacing w:before="0" w:after="283"/>
              <w:jc w:val="left"/>
              <w:rPr/>
            </w:pPr>
            <w:r>
              <w:rPr/>
              <w:t> </w:t>
            </w:r>
          </w:p>
        </w:tc>
      </w:tr>
      <w:tr>
        <w:trPr/>
        <w:tc>
          <w:tcPr>
            <w:tcW w:w="3690" w:type="dxa"/>
            <w:tcBorders/>
            <w:shd w:fill="EEEEEE" w:val="clear"/>
            <w:vAlign w:val="center"/>
          </w:tcPr>
          <w:p>
            <w:pPr>
              <w:pStyle w:val="TableContents"/>
              <w:bidi w:val="0"/>
              <w:spacing w:before="0" w:after="283"/>
              <w:jc w:val="left"/>
              <w:rPr/>
            </w:pPr>
            <w:r>
              <w:rPr/>
              <w:t>RSUs granted, but not vested, at June 30, 2025</w:t>
            </w:r>
          </w:p>
        </w:tc>
        <w:tc>
          <w:tcPr>
            <w:tcW w:w="60" w:type="dxa"/>
            <w:tcBorders/>
            <w:shd w:fill="EEEEEE" w:val="clear"/>
            <w:vAlign w:val="center"/>
          </w:tcPr>
          <w:p>
            <w:pPr>
              <w:pStyle w:val="TableContents"/>
              <w:bidi w:val="0"/>
              <w:spacing w:before="0" w:after="283"/>
              <w:jc w:val="left"/>
              <w:rPr/>
            </w:pPr>
            <w:r>
              <w:rPr/>
              <w:t> </w:t>
            </w:r>
          </w:p>
        </w:tc>
        <w:tc>
          <w:tcPr>
            <w:tcW w:w="113" w:type="dxa"/>
            <w:tcBorders/>
            <w:shd w:fill="EEEEEE" w:val="clear"/>
            <w:vAlign w:val="center"/>
          </w:tcPr>
          <w:p>
            <w:pPr>
              <w:pStyle w:val="TableContents"/>
              <w:bidi w:val="0"/>
              <w:spacing w:before="0" w:after="283"/>
              <w:jc w:val="left"/>
              <w:rPr/>
            </w:pPr>
            <w:r>
              <w:rPr/>
              <w:t> </w:t>
            </w:r>
            <w:bookmarkStart w:id="850" w:name="xdx_98E_eus-gaap--ShareBasedCompensation"/>
            <w:bookmarkEnd w:id="850"/>
          </w:p>
        </w:tc>
        <w:tc>
          <w:tcPr>
            <w:tcW w:w="1431" w:type="dxa"/>
            <w:tcBorders/>
            <w:shd w:fill="EEEEEE" w:val="clear"/>
            <w:vAlign w:val="center"/>
          </w:tcPr>
          <w:p>
            <w:pPr>
              <w:pStyle w:val="TableContents"/>
              <w:bidi w:val="0"/>
              <w:spacing w:before="0" w:after="283"/>
              <w:jc w:val="right"/>
              <w:rPr/>
            </w:pPr>
            <w:r>
              <w:rPr/>
              <w:t>463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93" w:type="dxa"/>
            <w:tcBorders/>
            <w:shd w:fill="EEEEEE" w:val="clear"/>
            <w:vAlign w:val="center"/>
          </w:tcPr>
          <w:p>
            <w:pPr>
              <w:pStyle w:val="TableContents"/>
              <w:bidi w:val="0"/>
              <w:spacing w:before="0" w:after="283"/>
              <w:jc w:val="left"/>
              <w:rPr/>
            </w:pPr>
            <w:r>
              <w:rPr/>
              <w:t> </w:t>
            </w:r>
          </w:p>
        </w:tc>
        <w:tc>
          <w:tcPr>
            <w:tcW w:w="3986" w:type="dxa"/>
            <w:tcBorders/>
            <w:shd w:fill="EEEEEE" w:val="clear"/>
            <w:vAlign w:val="center"/>
          </w:tcPr>
          <w:p>
            <w:pPr>
              <w:pStyle w:val="TableContents"/>
              <w:bidi w:val="0"/>
              <w:spacing w:before="0" w:after="283"/>
              <w:jc w:val="right"/>
              <w:rPr/>
            </w:pPr>
            <w:r>
              <w:rPr/>
              <w:t> </w:t>
            </w:r>
          </w:p>
        </w:tc>
        <w:tc>
          <w:tcPr>
            <w:tcW w:w="77" w:type="dxa"/>
            <w:tcBorders/>
            <w:shd w:fill="EEEEEE" w:val="clear"/>
            <w:vAlign w:val="center"/>
          </w:tcPr>
          <w:p>
            <w:pPr>
              <w:pStyle w:val="TableContents"/>
              <w:bidi w:val="0"/>
              <w:spacing w:before="0" w:after="283"/>
              <w:jc w:val="left"/>
              <w:rPr/>
            </w:pPr>
            <w:r>
              <w:rPr/>
              <w:t> </w:t>
            </w:r>
          </w:p>
        </w:tc>
      </w:tr>
      <w:tr>
        <w:trPr/>
        <w:tc>
          <w:tcPr>
            <w:tcW w:w="3690"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bookmarkStart w:id="851" w:name="xdx_982_eus-gaap--ShareBasedCompensation"/>
            <w:bookmarkEnd w:id="851"/>
          </w:p>
        </w:tc>
        <w:tc>
          <w:tcPr>
            <w:tcW w:w="1431" w:type="dxa"/>
            <w:tcBorders/>
            <w:shd w:fill="FFFFFF" w:val="clear"/>
            <w:vAlign w:val="center"/>
          </w:tcPr>
          <w:p>
            <w:pPr>
              <w:pStyle w:val="TableContents"/>
              <w:bidi w:val="0"/>
              <w:spacing w:before="0" w:after="283"/>
              <w:jc w:val="right"/>
              <w:rPr/>
            </w:pPr>
            <w:r>
              <w:rPr/>
              <w:t>82,743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w:t>
            </w:r>
            <w:bookmarkStart w:id="852" w:name="xdx_984_ecustom--ShareBasedCompensationA"/>
            <w:bookmarkEnd w:id="852"/>
          </w:p>
        </w:tc>
        <w:tc>
          <w:tcPr>
            <w:tcW w:w="3986" w:type="dxa"/>
            <w:tcBorders/>
            <w:shd w:fill="FFFFFF" w:val="clear"/>
            <w:vAlign w:val="center"/>
          </w:tcPr>
          <w:p>
            <w:pPr>
              <w:pStyle w:val="TableContents"/>
              <w:bidi w:val="0"/>
              <w:spacing w:before="0" w:after="283"/>
              <w:jc w:val="right"/>
              <w:rPr/>
            </w:pPr>
            <w:r>
              <w:rPr/>
              <w:t>830,000</w:t>
            </w:r>
          </w:p>
        </w:tc>
        <w:tc>
          <w:tcPr>
            <w:tcW w:w="77" w:type="dxa"/>
            <w:tcBorders/>
            <w:shd w:fill="FFFFFF" w:val="clear"/>
            <w:vAlign w:val="center"/>
          </w:tcPr>
          <w:p>
            <w:pPr>
              <w:pStyle w:val="TableContents"/>
              <w:bidi w:val="0"/>
              <w:spacing w:before="0" w:after="283"/>
              <w:jc w:val="left"/>
              <w:rPr/>
            </w:pPr>
            <w:r>
              <w:rPr/>
              <w:t> </w:t>
            </w:r>
          </w:p>
        </w:tc>
      </w:tr>
      <w:tr>
        <w:trPr/>
        <w:tc>
          <w:tcPr>
            <w:tcW w:w="3690" w:type="dxa"/>
            <w:tcBorders/>
            <w:shd w:fill="EEEEEE" w:val="clear"/>
            <w:vAlign w:val="center"/>
          </w:tcPr>
          <w:p>
            <w:pPr>
              <w:pStyle w:val="TableContents"/>
              <w:bidi w:val="0"/>
              <w:spacing w:before="0" w:after="283"/>
              <w:jc w:val="left"/>
              <w:rPr/>
            </w:pPr>
            <w:r>
              <w:rPr/>
              <w:t>RSUs forfeited</w:t>
            </w:r>
          </w:p>
        </w:tc>
        <w:tc>
          <w:tcPr>
            <w:tcW w:w="60" w:type="dxa"/>
            <w:tcBorders/>
            <w:shd w:fill="EEEEEE" w:val="clear"/>
            <w:vAlign w:val="center"/>
          </w:tcPr>
          <w:p>
            <w:pPr>
              <w:pStyle w:val="TableContents"/>
              <w:bidi w:val="0"/>
              <w:spacing w:before="0" w:after="283"/>
              <w:jc w:val="left"/>
              <w:rPr/>
            </w:pPr>
            <w:r>
              <w:rPr/>
              <w:t> </w:t>
            </w:r>
          </w:p>
        </w:tc>
        <w:tc>
          <w:tcPr>
            <w:tcW w:w="113" w:type="dxa"/>
            <w:tcBorders/>
            <w:shd w:fill="EEEEEE" w:val="clear"/>
            <w:vAlign w:val="center"/>
          </w:tcPr>
          <w:p>
            <w:pPr>
              <w:pStyle w:val="TableContents"/>
              <w:bidi w:val="0"/>
              <w:spacing w:before="0" w:after="283"/>
              <w:jc w:val="left"/>
              <w:rPr/>
            </w:pPr>
            <w:r>
              <w:rPr/>
              <w:t> </w:t>
            </w:r>
            <w:bookmarkStart w:id="853" w:name="xdx_98E_eus-gaap--ShareBasedCompensation"/>
            <w:bookmarkEnd w:id="853"/>
          </w:p>
        </w:tc>
        <w:tc>
          <w:tcPr>
            <w:tcW w:w="1431"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93" w:type="dxa"/>
            <w:tcBorders/>
            <w:shd w:fill="EEEEEE" w:val="clear"/>
            <w:vAlign w:val="center"/>
          </w:tcPr>
          <w:p>
            <w:pPr>
              <w:pStyle w:val="TableContents"/>
              <w:bidi w:val="0"/>
              <w:spacing w:before="0" w:after="283"/>
              <w:jc w:val="left"/>
              <w:rPr/>
            </w:pPr>
            <w:r>
              <w:rPr/>
              <w:t> </w:t>
            </w:r>
          </w:p>
        </w:tc>
        <w:tc>
          <w:tcPr>
            <w:tcW w:w="3986" w:type="dxa"/>
            <w:tcBorders/>
            <w:shd w:fill="EEEEEE" w:val="clear"/>
            <w:vAlign w:val="center"/>
          </w:tcPr>
          <w:p>
            <w:pPr>
              <w:pStyle w:val="TableContents"/>
              <w:bidi w:val="0"/>
              <w:spacing w:before="0" w:after="283"/>
              <w:jc w:val="right"/>
              <w:rPr/>
            </w:pPr>
            <w:r>
              <w:rPr/>
              <w:t> </w:t>
            </w:r>
          </w:p>
        </w:tc>
        <w:tc>
          <w:tcPr>
            <w:tcW w:w="77" w:type="dxa"/>
            <w:tcBorders/>
            <w:shd w:fill="EEEEEE" w:val="clear"/>
            <w:vAlign w:val="center"/>
          </w:tcPr>
          <w:p>
            <w:pPr>
              <w:pStyle w:val="TableContents"/>
              <w:bidi w:val="0"/>
              <w:spacing w:before="0" w:after="283"/>
              <w:jc w:val="left"/>
              <w:rPr/>
            </w:pPr>
            <w:r>
              <w:rPr/>
              <w:t> </w:t>
            </w:r>
          </w:p>
        </w:tc>
      </w:tr>
      <w:tr>
        <w:trPr/>
        <w:tc>
          <w:tcPr>
            <w:tcW w:w="3690" w:type="dxa"/>
            <w:tcBorders/>
            <w:shd w:fill="FFFFFF" w:val="clear"/>
            <w:vAlign w:val="center"/>
          </w:tcPr>
          <w:p>
            <w:pPr>
              <w:pStyle w:val="TableContents"/>
              <w:bidi w:val="0"/>
              <w:spacing w:before="0" w:after="283"/>
              <w:jc w:val="left"/>
              <w:rPr/>
            </w:pPr>
            <w:r>
              <w:rPr/>
              <w:t>RSUs vested</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54" w:name="xdx_982_eus-gaap--ShareBasedCompensation"/>
            <w:bookmarkEnd w:id="854"/>
          </w:p>
        </w:tc>
        <w:tc>
          <w:tcPr>
            <w:tcW w:w="1431" w:type="dxa"/>
            <w:tcBorders>
              <w:bottom w:val="single" w:sz="8" w:space="0" w:color="000000"/>
            </w:tcBorders>
            <w:shd w:fill="FFFFFF" w:val="clear"/>
            <w:tcMar>
              <w:bottom w:w="28" w:type="dxa"/>
            </w:tcMar>
            <w:vAlign w:val="center"/>
          </w:tcPr>
          <w:p>
            <w:pPr>
              <w:pStyle w:val="TableContents"/>
              <w:bidi w:val="0"/>
              <w:spacing w:before="0" w:after="283"/>
              <w:jc w:val="right"/>
              <w:rPr/>
            </w:pPr>
            <w:r>
              <w:rPr/>
              <w:t>(82,217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398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690" w:type="dxa"/>
            <w:tcBorders/>
            <w:shd w:fill="EEEEEE" w:val="clear"/>
            <w:vAlign w:val="center"/>
          </w:tcPr>
          <w:p>
            <w:pPr>
              <w:pStyle w:val="TableContents"/>
              <w:bidi w:val="0"/>
              <w:spacing w:before="0" w:after="283"/>
              <w:jc w:val="left"/>
              <w:rPr/>
            </w:pPr>
            <w:r>
              <w:rPr/>
              <w:t>RSUs granted, but not vested, at December 31, 2025</w:t>
            </w:r>
          </w:p>
        </w:tc>
        <w:tc>
          <w:tcPr>
            <w:tcW w:w="60" w:type="dxa"/>
            <w:tcBorders/>
            <w:shd w:fill="EEEEEE" w:val="clear"/>
            <w:vAlign w:val="center"/>
          </w:tcPr>
          <w:p>
            <w:pPr>
              <w:pStyle w:val="TableContents"/>
              <w:bidi w:val="0"/>
              <w:spacing w:before="0" w:after="283"/>
              <w:jc w:val="left"/>
              <w:rPr/>
            </w:pPr>
            <w:r>
              <w:rPr/>
              <w:t> </w:t>
            </w:r>
          </w:p>
        </w:tc>
        <w:tc>
          <w:tcPr>
            <w:tcW w:w="113"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855" w:name="xdx_98A_eus-gaap--ShareBasedCompensation"/>
            <w:bookmarkEnd w:id="855"/>
          </w:p>
        </w:tc>
        <w:tc>
          <w:tcPr>
            <w:tcW w:w="1431" w:type="dxa"/>
            <w:tcBorders>
              <w:bottom w:val="double" w:sz="6" w:space="0" w:color="000000"/>
            </w:tcBorders>
            <w:shd w:fill="EEEEEE" w:val="clear"/>
            <w:tcMar>
              <w:bottom w:w="28" w:type="dxa"/>
            </w:tcMar>
            <w:vAlign w:val="center"/>
          </w:tcPr>
          <w:p>
            <w:pPr>
              <w:pStyle w:val="TableContents"/>
              <w:bidi w:val="0"/>
              <w:spacing w:before="0" w:after="283"/>
              <w:jc w:val="right"/>
              <w:rPr/>
            </w:pPr>
            <w:r>
              <w:rPr/>
              <w:t>989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93" w:type="dxa"/>
            <w:tcBorders/>
            <w:shd w:fill="EEEEEE" w:val="clear"/>
            <w:vAlign w:val="center"/>
          </w:tcPr>
          <w:p>
            <w:pPr>
              <w:pStyle w:val="TableContents"/>
              <w:bidi w:val="0"/>
              <w:spacing w:before="0" w:after="283"/>
              <w:jc w:val="left"/>
              <w:rPr/>
            </w:pPr>
            <w:r>
              <w:rPr/>
              <w:t> </w:t>
            </w:r>
          </w:p>
        </w:tc>
        <w:tc>
          <w:tcPr>
            <w:tcW w:w="3986" w:type="dxa"/>
            <w:tcBorders/>
            <w:shd w:fill="EEEEEE" w:val="clear"/>
            <w:vAlign w:val="center"/>
          </w:tcPr>
          <w:p>
            <w:pPr>
              <w:pStyle w:val="TableContents"/>
              <w:bidi w:val="0"/>
              <w:spacing w:before="0" w:after="283"/>
              <w:jc w:val="right"/>
              <w:rPr/>
            </w:pPr>
            <w:r>
              <w:rPr/>
              <w:t> </w:t>
            </w:r>
          </w:p>
        </w:tc>
        <w:tc>
          <w:tcPr>
            <w:tcW w:w="77"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left"/>
              <w:rPr>
                <w:sz w:val="20"/>
              </w:rPr>
            </w:pPr>
            <w:r>
              <w:rPr>
                <w:sz w:val="20"/>
              </w:rPr>
              <w:t>(1)</w:t>
            </w:r>
          </w:p>
        </w:tc>
        <w:tc>
          <w:tcPr>
            <w:tcW w:w="5990" w:type="dxa"/>
            <w:tcBorders/>
            <w:vAlign w:val="center"/>
          </w:tcPr>
          <w:p>
            <w:pPr>
              <w:pStyle w:val="TableContents"/>
              <w:bidi w:val="0"/>
              <w:spacing w:before="0" w:after="283"/>
              <w:jc w:val="left"/>
              <w:rPr>
                <w:sz w:val="20"/>
              </w:rPr>
            </w:pPr>
            <w:r>
              <w:rPr>
                <w:sz w:val="20"/>
              </w:rPr>
              <w:t>The total fair value was based on the current stock price on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of </w:t>
      </w:r>
      <w:bookmarkStart w:id="856" w:name="xdx_90F_eus-gaap--ConversionOfStockShare"/>
      <w:bookmarkEnd w:id="856"/>
      <w:r>
        <w:rPr>
          <w:rFonts w:ascii="Times New Roman;Times;Serif" w:hAnsi="Times New Roman;Times;Serif"/>
          <w:b w:val="false"/>
          <w:i w:val="false"/>
          <w:caps w:val="false"/>
          <w:smallCaps w:val="false"/>
          <w:sz w:val="20"/>
        </w:rPr>
        <w:t xml:space="preserve">95,804 vested RSUs, </w:t>
      </w:r>
      <w:bookmarkStart w:id="857" w:name="xdx_903_eus-gaap--ConversionOfStockShare"/>
      <w:bookmarkEnd w:id="857"/>
      <w:r>
        <w:rPr>
          <w:rFonts w:ascii="Times New Roman;Times;Serif" w:hAnsi="Times New Roman;Times;Serif"/>
          <w:b w:val="false"/>
          <w:i w:val="false"/>
          <w:caps w:val="false"/>
          <w:smallCaps w:val="false"/>
          <w:sz w:val="20"/>
        </w:rPr>
        <w:t xml:space="preserve">13,989 shares of Common Stock were issued, and </w:t>
      </w:r>
      <w:bookmarkStart w:id="858" w:name="xdx_90A_ecustom--ConversionOfStockShares"/>
      <w:bookmarkEnd w:id="858"/>
      <w:r>
        <w:rPr>
          <w:rFonts w:ascii="Times New Roman;Times;Serif" w:hAnsi="Times New Roman;Times;Serif"/>
          <w:b w:val="false"/>
          <w:i w:val="false"/>
          <w:caps w:val="false"/>
          <w:smallCaps w:val="false"/>
          <w:sz w:val="20"/>
        </w:rPr>
        <w:t xml:space="preserve">81,815 shares were to be issued in the future. As of June 30, 2025, of the </w:t>
      </w:r>
      <w:bookmarkStart w:id="859" w:name="xdx_90F_eus-gaap--ConversionOfStockShare"/>
      <w:bookmarkEnd w:id="859"/>
      <w:r>
        <w:rPr>
          <w:rFonts w:ascii="Times New Roman;Times;Serif" w:hAnsi="Times New Roman;Times;Serif"/>
          <w:b w:val="false"/>
          <w:i w:val="false"/>
          <w:caps w:val="false"/>
          <w:smallCaps w:val="false"/>
          <w:sz w:val="20"/>
        </w:rPr>
        <w:t xml:space="preserve">13,587 vested RSUs, </w:t>
      </w:r>
      <w:bookmarkStart w:id="860" w:name="xdx_90D_eus-gaap--ConversionOfStockShare"/>
      <w:bookmarkEnd w:id="860"/>
      <w:r>
        <w:rPr>
          <w:rFonts w:ascii="Times New Roman;Times;Serif" w:hAnsi="Times New Roman;Times;Serif"/>
          <w:b w:val="false"/>
          <w:i w:val="false"/>
          <w:caps w:val="false"/>
          <w:smallCaps w:val="false"/>
          <w:sz w:val="20"/>
        </w:rPr>
        <w:t xml:space="preserve">9,529 shares of Common Stock were issued, and </w:t>
      </w:r>
      <w:bookmarkStart w:id="861" w:name="xdx_90D_ecustom--ConversionOfStockShares"/>
      <w:bookmarkEnd w:id="861"/>
      <w:r>
        <w:rPr>
          <w:rFonts w:ascii="Times New Roman;Times;Serif" w:hAnsi="Times New Roman;Times;Serif"/>
          <w:b w:val="false"/>
          <w:i w:val="false"/>
          <w:caps w:val="false"/>
          <w:smallCaps w:val="false"/>
          <w:sz w:val="20"/>
        </w:rPr>
        <w:t>4,058 shares were to be issued in the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December 31, 2024: </w:t>
      </w:r>
    </w:p>
    <w:tbl>
      <w:tblPr>
        <w:tblW w:w="10205" w:type="dxa"/>
        <w:jc w:val="left"/>
        <w:tblInd w:w="0" w:type="dxa"/>
        <w:tblLayout w:type="fixed"/>
        <w:tblCellMar>
          <w:top w:w="0" w:type="dxa"/>
          <w:left w:w="0" w:type="dxa"/>
          <w:bottom w:w="0" w:type="dxa"/>
          <w:right w:w="0" w:type="dxa"/>
        </w:tblCellMar>
      </w:tblPr>
      <w:tblGrid>
        <w:gridCol w:w="3706"/>
        <w:gridCol w:w="60"/>
        <w:gridCol w:w="129"/>
        <w:gridCol w:w="1379"/>
        <w:gridCol w:w="95"/>
        <w:gridCol w:w="60"/>
        <w:gridCol w:w="800"/>
        <w:gridCol w:w="3898"/>
        <w:gridCol w:w="78"/>
      </w:tblGrid>
      <w:tr>
        <w:trPr/>
        <w:tc>
          <w:tcPr>
            <w:tcW w:w="3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RSUs Issued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Fair Market Value of RSUs Issued as Compensation (1)</w:t>
            </w:r>
          </w:p>
        </w:tc>
        <w:tc>
          <w:tcPr>
            <w:tcW w:w="78" w:type="dxa"/>
            <w:tcBorders/>
            <w:vAlign w:val="center"/>
          </w:tcPr>
          <w:p>
            <w:pPr>
              <w:pStyle w:val="TableContents"/>
              <w:bidi w:val="0"/>
              <w:spacing w:before="0" w:after="283"/>
              <w:jc w:val="left"/>
              <w:rPr/>
            </w:pPr>
            <w:r>
              <w:rPr/>
              <w:t> </w:t>
            </w:r>
          </w:p>
        </w:tc>
      </w:tr>
      <w:tr>
        <w:trPr/>
        <w:tc>
          <w:tcPr>
            <w:tcW w:w="3706" w:type="dxa"/>
            <w:tcBorders/>
            <w:shd w:fill="EEEEEE" w:val="clear"/>
            <w:vAlign w:val="center"/>
          </w:tcPr>
          <w:p>
            <w:pPr>
              <w:pStyle w:val="TableContents"/>
              <w:bidi w:val="0"/>
              <w:spacing w:before="0" w:after="283"/>
              <w:jc w:val="both"/>
              <w:rPr/>
            </w:pPr>
            <w:r>
              <w:rPr/>
              <w:t>RSUs granted, but not vested, at June 30, 2024</w:t>
            </w:r>
          </w:p>
        </w:tc>
        <w:tc>
          <w:tcPr>
            <w:tcW w:w="60" w:type="dxa"/>
            <w:tcBorders/>
            <w:shd w:fill="EEEEEE" w:val="clear"/>
            <w:vAlign w:val="center"/>
          </w:tcPr>
          <w:p>
            <w:pPr>
              <w:pStyle w:val="TableContents"/>
              <w:bidi w:val="0"/>
              <w:spacing w:before="0" w:after="283"/>
              <w:jc w:val="left"/>
              <w:rPr/>
            </w:pPr>
            <w:r>
              <w:rPr/>
              <w:t> </w:t>
            </w:r>
          </w:p>
        </w:tc>
        <w:tc>
          <w:tcPr>
            <w:tcW w:w="129" w:type="dxa"/>
            <w:tcBorders/>
            <w:shd w:fill="EEEEEE" w:val="clear"/>
            <w:vAlign w:val="center"/>
          </w:tcPr>
          <w:p>
            <w:pPr>
              <w:pStyle w:val="TableContents"/>
              <w:bidi w:val="0"/>
              <w:spacing w:before="0" w:after="283"/>
              <w:jc w:val="left"/>
              <w:rPr/>
            </w:pPr>
            <w:r>
              <w:rPr/>
              <w:t> </w:t>
            </w:r>
            <w:bookmarkStart w:id="862" w:name="xdx_980_eus-gaap--ShareBasedCompensation"/>
            <w:bookmarkEnd w:id="862"/>
          </w:p>
        </w:tc>
        <w:tc>
          <w:tcPr>
            <w:tcW w:w="1379" w:type="dxa"/>
            <w:tcBorders/>
            <w:shd w:fill="EEEEEE" w:val="clear"/>
            <w:vAlign w:val="center"/>
          </w:tcPr>
          <w:p>
            <w:pPr>
              <w:pStyle w:val="TableContents"/>
              <w:bidi w:val="0"/>
              <w:spacing w:before="0" w:after="283"/>
              <w:jc w:val="right"/>
              <w:rPr/>
            </w:pPr>
            <w:r>
              <w:rPr/>
              <w:t>109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left"/>
              <w:rPr/>
            </w:pPr>
            <w:r>
              <w:rPr/>
              <w:t> </w:t>
            </w:r>
          </w:p>
        </w:tc>
        <w:tc>
          <w:tcPr>
            <w:tcW w:w="389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both"/>
              <w:rPr/>
            </w:pPr>
            <w:r>
              <w:rPr/>
              <w:t>RSUs granted</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bookmarkStart w:id="863" w:name="xdx_987_eus-gaap--ShareBasedCompensation"/>
            <w:bookmarkEnd w:id="863"/>
          </w:p>
        </w:tc>
        <w:tc>
          <w:tcPr>
            <w:tcW w:w="1379" w:type="dxa"/>
            <w:tcBorders/>
            <w:shd w:fill="FFFFFF" w:val="clear"/>
            <w:vAlign w:val="center"/>
          </w:tcPr>
          <w:p>
            <w:pPr>
              <w:pStyle w:val="TableContents"/>
              <w:bidi w:val="0"/>
              <w:spacing w:before="0" w:after="283"/>
              <w:jc w:val="right"/>
              <w:rPr/>
            </w:pPr>
            <w:r>
              <w:rPr/>
              <w:t>2,381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w:t>
            </w:r>
            <w:bookmarkStart w:id="864" w:name="xdx_98C_ecustom--ShareBasedCompensationA"/>
            <w:bookmarkEnd w:id="864"/>
          </w:p>
        </w:tc>
        <w:tc>
          <w:tcPr>
            <w:tcW w:w="3898" w:type="dxa"/>
            <w:tcBorders/>
            <w:shd w:fill="FFFFFF" w:val="clear"/>
            <w:vAlign w:val="center"/>
          </w:tcPr>
          <w:p>
            <w:pPr>
              <w:pStyle w:val="TableContents"/>
              <w:bidi w:val="0"/>
              <w:spacing w:before="0" w:after="283"/>
              <w:jc w:val="right"/>
              <w:rPr/>
            </w:pPr>
            <w:r>
              <w:rPr/>
              <w:t>90,000</w:t>
            </w:r>
          </w:p>
        </w:tc>
        <w:tc>
          <w:tcPr>
            <w:tcW w:w="78" w:type="dxa"/>
            <w:tcBorders/>
            <w:shd w:fill="FFFFFF" w:val="clear"/>
            <w:vAlign w:val="center"/>
          </w:tcPr>
          <w:p>
            <w:pPr>
              <w:pStyle w:val="TableContents"/>
              <w:bidi w:val="0"/>
              <w:spacing w:before="0" w:after="283"/>
              <w:jc w:val="left"/>
              <w:rPr/>
            </w:pPr>
            <w:r>
              <w:rPr/>
              <w:t> </w:t>
            </w:r>
          </w:p>
        </w:tc>
      </w:tr>
      <w:tr>
        <w:trPr/>
        <w:tc>
          <w:tcPr>
            <w:tcW w:w="3706" w:type="dxa"/>
            <w:tcBorders/>
            <w:shd w:fill="EEEEEE" w:val="clear"/>
            <w:vAlign w:val="center"/>
          </w:tcPr>
          <w:p>
            <w:pPr>
              <w:pStyle w:val="TableContents"/>
              <w:bidi w:val="0"/>
              <w:spacing w:before="0" w:after="283"/>
              <w:jc w:val="both"/>
              <w:rPr/>
            </w:pPr>
            <w:r>
              <w:rPr/>
              <w:t>RSUs forfeited</w:t>
            </w:r>
          </w:p>
        </w:tc>
        <w:tc>
          <w:tcPr>
            <w:tcW w:w="60" w:type="dxa"/>
            <w:tcBorders/>
            <w:shd w:fill="EEEEEE" w:val="clear"/>
            <w:vAlign w:val="center"/>
          </w:tcPr>
          <w:p>
            <w:pPr>
              <w:pStyle w:val="TableContents"/>
              <w:bidi w:val="0"/>
              <w:spacing w:before="0" w:after="283"/>
              <w:jc w:val="left"/>
              <w:rPr/>
            </w:pPr>
            <w:r>
              <w:rPr/>
              <w:t> </w:t>
            </w:r>
          </w:p>
        </w:tc>
        <w:tc>
          <w:tcPr>
            <w:tcW w:w="129" w:type="dxa"/>
            <w:tcBorders/>
            <w:shd w:fill="EEEEEE" w:val="clear"/>
            <w:vAlign w:val="center"/>
          </w:tcPr>
          <w:p>
            <w:pPr>
              <w:pStyle w:val="TableContents"/>
              <w:bidi w:val="0"/>
              <w:spacing w:before="0" w:after="283"/>
              <w:jc w:val="left"/>
              <w:rPr/>
            </w:pPr>
            <w:r>
              <w:rPr/>
              <w:t> </w:t>
            </w:r>
            <w:bookmarkStart w:id="865" w:name="xdx_982_eus-gaap--ShareBasedCompensation"/>
            <w:bookmarkEnd w:id="865"/>
          </w:p>
        </w:tc>
        <w:tc>
          <w:tcPr>
            <w:tcW w:w="1379"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left"/>
              <w:rPr/>
            </w:pPr>
            <w:r>
              <w:rPr/>
              <w:t> </w:t>
            </w:r>
          </w:p>
        </w:tc>
        <w:tc>
          <w:tcPr>
            <w:tcW w:w="389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both"/>
              <w:rPr/>
            </w:pPr>
            <w:r>
              <w:rPr/>
              <w:t>RSUs vested</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6" w:name="xdx_98B_eus-gaap--ShareBasedCompensation"/>
            <w:bookmarkEnd w:id="866"/>
          </w:p>
        </w:tc>
        <w:tc>
          <w:tcPr>
            <w:tcW w:w="1379" w:type="dxa"/>
            <w:tcBorders>
              <w:bottom w:val="single" w:sz="8" w:space="0" w:color="000000"/>
            </w:tcBorders>
            <w:shd w:fill="FFFFFF" w:val="clear"/>
            <w:tcMar>
              <w:bottom w:w="28" w:type="dxa"/>
            </w:tcMar>
            <w:vAlign w:val="center"/>
          </w:tcPr>
          <w:p>
            <w:pPr>
              <w:pStyle w:val="TableContents"/>
              <w:bidi w:val="0"/>
              <w:spacing w:before="0" w:after="283"/>
              <w:jc w:val="right"/>
              <w:rPr/>
            </w:pPr>
            <w:r>
              <w:rPr/>
              <w:t>(1,497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389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706" w:type="dxa"/>
            <w:tcBorders/>
            <w:shd w:fill="EEEEEE" w:val="clear"/>
            <w:vAlign w:val="center"/>
          </w:tcPr>
          <w:p>
            <w:pPr>
              <w:pStyle w:val="TableContents"/>
              <w:bidi w:val="0"/>
              <w:spacing w:before="0" w:after="283"/>
              <w:jc w:val="both"/>
              <w:rPr/>
            </w:pPr>
            <w:r>
              <w:rPr/>
              <w:t>RSUs granted, but not vested, at December 31, 2024</w:t>
            </w:r>
          </w:p>
        </w:tc>
        <w:tc>
          <w:tcPr>
            <w:tcW w:w="60" w:type="dxa"/>
            <w:tcBorders/>
            <w:shd w:fill="EEEEEE" w:val="clear"/>
            <w:vAlign w:val="center"/>
          </w:tcPr>
          <w:p>
            <w:pPr>
              <w:pStyle w:val="TableContents"/>
              <w:bidi w:val="0"/>
              <w:spacing w:before="0" w:after="283"/>
              <w:jc w:val="left"/>
              <w:rPr/>
            </w:pPr>
            <w:r>
              <w:rPr/>
              <w:t> </w:t>
            </w:r>
          </w:p>
        </w:tc>
        <w:tc>
          <w:tcPr>
            <w:tcW w:w="129"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867" w:name="xdx_98E_eus-gaap--ShareBasedCompensation"/>
            <w:bookmarkEnd w:id="867"/>
          </w:p>
        </w:tc>
        <w:tc>
          <w:tcPr>
            <w:tcW w:w="1379" w:type="dxa"/>
            <w:tcBorders>
              <w:bottom w:val="double" w:sz="6" w:space="0" w:color="000000"/>
            </w:tcBorders>
            <w:shd w:fill="EEEEEE" w:val="clear"/>
            <w:tcMar>
              <w:bottom w:w="28" w:type="dxa"/>
            </w:tcMar>
            <w:vAlign w:val="center"/>
          </w:tcPr>
          <w:p>
            <w:pPr>
              <w:pStyle w:val="TableContents"/>
              <w:bidi w:val="0"/>
              <w:spacing w:before="0" w:after="283"/>
              <w:jc w:val="right"/>
              <w:rPr/>
            </w:pPr>
            <w:r>
              <w:rPr/>
              <w:t>993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left"/>
              <w:rPr/>
            </w:pPr>
            <w:r>
              <w:rPr/>
              <w:t> </w:t>
            </w:r>
          </w:p>
        </w:tc>
        <w:tc>
          <w:tcPr>
            <w:tcW w:w="389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both"/>
              <w:rPr>
                <w:sz w:val="20"/>
              </w:rPr>
            </w:pPr>
            <w:r>
              <w:rPr>
                <w:sz w:val="20"/>
              </w:rPr>
              <w:t>(1)</w:t>
            </w:r>
          </w:p>
        </w:tc>
        <w:tc>
          <w:tcPr>
            <w:tcW w:w="5990" w:type="dxa"/>
            <w:tcBorders/>
            <w:vAlign w:val="center"/>
          </w:tcPr>
          <w:p>
            <w:pPr>
              <w:pStyle w:val="TableContents"/>
              <w:bidi w:val="0"/>
              <w:spacing w:before="0" w:after="283"/>
              <w:jc w:val="both"/>
              <w:rPr>
                <w:sz w:val="20"/>
              </w:rPr>
            </w:pPr>
            <w:r>
              <w:rPr>
                <w:sz w:val="20"/>
              </w:rPr>
              <w:t>The total fair value was based on the current stock price on the grant date.</w:t>
            </w:r>
          </w:p>
        </w:tc>
      </w:tr>
    </w:tbl>
    <w:p>
      <w:pPr>
        <w:pStyle w:val="TextBody"/>
        <w:bidi w:val="0"/>
        <w:spacing w:before="0" w:after="0"/>
        <w:ind w:left="0" w:right="0" w:hanging="0"/>
        <w:jc w:val="left"/>
        <w:rPr>
          <w:caps w:val="false"/>
          <w:smallCaps w:val="false"/>
        </w:rPr>
      </w:pPr>
      <w:bookmarkStart w:id="868" w:name="xdx_8A7_zcRpXUSNFdRc"/>
      <w:bookmarkEnd w:id="868"/>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of the </w:t>
      </w:r>
      <w:bookmarkStart w:id="869" w:name="xdx_90A_eus-gaap--ConversionOfStockShare"/>
      <w:bookmarkEnd w:id="869"/>
      <w:r>
        <w:rPr>
          <w:rFonts w:ascii="Times New Roman;Times;Serif" w:hAnsi="Times New Roman;Times;Serif"/>
          <w:b w:val="false"/>
          <w:i w:val="false"/>
          <w:caps w:val="false"/>
          <w:smallCaps w:val="false"/>
          <w:sz w:val="20"/>
        </w:rPr>
        <w:t xml:space="preserve">10,124 vested RSUs, </w:t>
      </w:r>
      <w:bookmarkStart w:id="870" w:name="xdx_90E_eus-gaap--ConversionOfStockShare"/>
      <w:bookmarkEnd w:id="870"/>
      <w:r>
        <w:rPr>
          <w:rFonts w:ascii="Times New Roman;Times;Serif" w:hAnsi="Times New Roman;Times;Serif"/>
          <w:b w:val="false"/>
          <w:i w:val="false"/>
          <w:caps w:val="false"/>
          <w:smallCaps w:val="false"/>
          <w:sz w:val="20"/>
        </w:rPr>
        <w:t xml:space="preserve">9,529 shares of Common Stock were issued, and </w:t>
      </w:r>
      <w:bookmarkStart w:id="871" w:name="xdx_901_ecustom--ConversionOfStockShares"/>
      <w:bookmarkEnd w:id="871"/>
      <w:r>
        <w:rPr>
          <w:rFonts w:ascii="Times New Roman;Times;Serif" w:hAnsi="Times New Roman;Times;Serif"/>
          <w:b w:val="false"/>
          <w:i w:val="false"/>
          <w:caps w:val="false"/>
          <w:smallCaps w:val="false"/>
          <w:sz w:val="20"/>
        </w:rPr>
        <w:t>2,974 shares were to be issued in the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72" w:name="xdx_239_zOleL3t8J80f"/>
      <w:bookmarkEnd w:id="872"/>
      <w:r>
        <w:rPr>
          <w:caps w:val="false"/>
          <w:smallCaps w:val="false"/>
        </w:rPr>
        <w:t> </w:t>
      </w:r>
    </w:p>
    <w:p>
      <w:pPr>
        <w:pStyle w:val="TextBody"/>
        <w:bidi w:val="0"/>
        <w:spacing w:before="0" w:after="0"/>
        <w:ind w:left="0" w:right="0" w:hanging="0"/>
        <w:jc w:val="left"/>
        <w:rPr>
          <w:caps w:val="false"/>
          <w:smallCaps w:val="false"/>
        </w:rPr>
      </w:pPr>
      <w:bookmarkStart w:id="873" w:name="xdx_235_zXHBUFg6BXR4"/>
      <w:bookmarkEnd w:id="87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74" w:name="xdx_237_zqgQGALJr4j8"/>
      <w:bookmarkEnd w:id="87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2022, the Compensation Committee of the Board of Directors approved an incentive plan for the Company’s executive officers consisting of a cash performance bonus of $</w:t>
      </w:r>
      <w:bookmarkStart w:id="875" w:name="xdx_906_eus-gaap--OfficersCompensation_p"/>
      <w:bookmarkEnd w:id="875"/>
      <w:r>
        <w:rPr>
          <w:rFonts w:ascii="Times New Roman;Times;Serif" w:hAnsi="Times New Roman;Times;Serif"/>
          <w:b w:val="false"/>
          <w:i w:val="false"/>
          <w:caps w:val="false"/>
          <w:smallCaps w:val="false"/>
          <w:sz w:val="20"/>
        </w:rPr>
        <w:t xml:space="preserve">60,000 to be awarded to Kevin Vassily, CFO of the Company, and grants of stock option (the “Option Grants”) exercisable to purchase (i) </w:t>
      </w:r>
      <w:bookmarkStart w:id="876" w:name="xdx_901_eus-gaap--ShareBasedCompensation"/>
      <w:bookmarkEnd w:id="876"/>
      <w:r>
        <w:rPr>
          <w:rFonts w:ascii="Times New Roman;Times;Serif" w:hAnsi="Times New Roman;Times;Serif"/>
          <w:b w:val="false"/>
          <w:i w:val="false"/>
          <w:caps w:val="false"/>
          <w:smallCaps w:val="false"/>
          <w:sz w:val="20"/>
        </w:rPr>
        <w:t xml:space="preserve">100,000 shares of Common Stock to Chenlong Tan, CEO and (ii) </w:t>
      </w:r>
      <w:bookmarkStart w:id="877" w:name="xdx_905_eus-gaap--ShareBasedCompensation"/>
      <w:bookmarkEnd w:id="877"/>
      <w:r>
        <w:rPr>
          <w:rFonts w:ascii="Times New Roman;Times;Serif" w:hAnsi="Times New Roman;Times;Serif"/>
          <w:b w:val="false"/>
          <w:i w:val="false"/>
          <w:caps w:val="false"/>
          <w:smallCaps w:val="false"/>
          <w:sz w:val="20"/>
        </w:rPr>
        <w:t>11,000 shares of Common Stock to Mr. Vassily. The Option Grants, which were issued on May 13, 2022, have an exercise price of $</w:t>
      </w:r>
      <w:bookmarkStart w:id="878" w:name="xdx_90D_eus-gaap--ShareBasedCompensation"/>
      <w:bookmarkEnd w:id="878"/>
      <w:r>
        <w:rPr>
          <w:rFonts w:ascii="Times New Roman;Times;Serif" w:hAnsi="Times New Roman;Times;Serif"/>
          <w:b w:val="false"/>
          <w:i w:val="false"/>
          <w:caps w:val="false"/>
          <w:smallCaps w:val="false"/>
          <w:sz w:val="20"/>
        </w:rPr>
        <w:t>33.6,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achievement status of the operational milestones as of December 31, 2025 was as follows:</w:t>
      </w:r>
    </w:p>
    <w:p>
      <w:pPr>
        <w:pStyle w:val="TextBody"/>
        <w:bidi w:val="0"/>
        <w:spacing w:before="0" w:after="0"/>
        <w:ind w:left="0" w:right="0" w:hanging="0"/>
        <w:jc w:val="left"/>
        <w:rPr>
          <w:caps w:val="false"/>
          <w:smallCaps w:val="false"/>
        </w:rPr>
      </w:pPr>
      <w:r>
        <w:rPr>
          <w:caps w:val="false"/>
          <w:smallCaps w:val="false"/>
        </w:rPr>
        <w:t> </w:t>
      </w:r>
    </w:p>
    <w:tbl>
      <w:tblPr>
        <w:tblW w:w="6277" w:type="dxa"/>
        <w:jc w:val="left"/>
        <w:tblInd w:w="0" w:type="dxa"/>
        <w:tblLayout w:type="fixed"/>
        <w:tblCellMar>
          <w:top w:w="0" w:type="dxa"/>
          <w:left w:w="0" w:type="dxa"/>
          <w:bottom w:w="28" w:type="dxa"/>
          <w:right w:w="0" w:type="dxa"/>
        </w:tblCellMar>
      </w:tblPr>
      <w:tblGrid>
        <w:gridCol w:w="348"/>
        <w:gridCol w:w="856"/>
        <w:gridCol w:w="92"/>
        <w:gridCol w:w="92"/>
        <w:gridCol w:w="100"/>
        <w:gridCol w:w="1239"/>
        <w:gridCol w:w="60"/>
        <w:gridCol w:w="60"/>
        <w:gridCol w:w="415"/>
        <w:gridCol w:w="774"/>
        <w:gridCol w:w="141"/>
        <w:gridCol w:w="141"/>
        <w:gridCol w:w="141"/>
        <w:gridCol w:w="1743"/>
        <w:gridCol w:w="75"/>
      </w:tblGrid>
      <w:tr>
        <w:trPr/>
        <w:tc>
          <w:tcPr>
            <w:tcW w:w="2727" w:type="dxa"/>
            <w:gridSpan w:val="6"/>
            <w:tcBorders>
              <w:bottom w:val="single" w:sz="8" w:space="0" w:color="000000"/>
            </w:tcBorders>
            <w:vAlign w:val="center"/>
          </w:tcPr>
          <w:p>
            <w:pPr>
              <w:pStyle w:val="TableContents"/>
              <w:bidi w:val="0"/>
              <w:spacing w:before="0" w:after="283"/>
              <w:jc w:val="center"/>
              <w:rPr/>
            </w:pPr>
            <w:r>
              <w:rPr/>
              <w:t>Revenue in Fiscal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55" w:type="dxa"/>
            <w:gridSpan w:val="6"/>
            <w:tcBorders>
              <w:bottom w:val="single" w:sz="8" w:space="0" w:color="000000"/>
            </w:tcBorders>
            <w:vAlign w:val="center"/>
          </w:tcPr>
          <w:p>
            <w:pPr>
              <w:pStyle w:val="TableContents"/>
              <w:bidi w:val="0"/>
              <w:spacing w:before="0" w:after="283"/>
              <w:jc w:val="center"/>
              <w:rPr/>
            </w:pPr>
            <w:r>
              <w:rPr/>
              <w:t>Operating Income in Fiscal Year</w:t>
            </w:r>
          </w:p>
        </w:tc>
        <w:tc>
          <w:tcPr>
            <w:tcW w:w="75" w:type="dxa"/>
            <w:tcBorders/>
            <w:tcMar>
              <w:bottom w:w="0" w:type="dxa"/>
            </w:tcMar>
            <w:vAlign w:val="center"/>
          </w:tcPr>
          <w:p>
            <w:pPr>
              <w:pStyle w:val="TableContents"/>
              <w:bidi w:val="0"/>
              <w:spacing w:before="0" w:after="283"/>
              <w:jc w:val="left"/>
              <w:rPr/>
            </w:pPr>
            <w:r>
              <w:rPr/>
              <w:t> </w:t>
            </w:r>
          </w:p>
        </w:tc>
      </w:tr>
      <w:tr>
        <w:trPr/>
        <w:tc>
          <w:tcPr>
            <w:tcW w:w="1204" w:type="dxa"/>
            <w:gridSpan w:val="2"/>
            <w:tcBorders>
              <w:bottom w:val="single" w:sz="8" w:space="0" w:color="000000"/>
            </w:tcBorders>
            <w:vAlign w:val="center"/>
          </w:tcPr>
          <w:p>
            <w:pPr>
              <w:pStyle w:val="TableContents"/>
              <w:bidi w:val="0"/>
              <w:spacing w:before="0" w:after="283"/>
              <w:jc w:val="center"/>
              <w:rPr/>
            </w:pPr>
            <w:r>
              <w:rPr/>
              <w:t xml:space="preserve">Milestone </w:t>
              <w:br/>
              <w:t>(in Millions)</w:t>
            </w:r>
          </w:p>
        </w:tc>
        <w:tc>
          <w:tcPr>
            <w:tcW w:w="92"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8" w:space="0" w:color="000000"/>
            </w:tcBorders>
            <w:vAlign w:val="center"/>
          </w:tcPr>
          <w:p>
            <w:pPr>
              <w:pStyle w:val="TableContents"/>
              <w:bidi w:val="0"/>
              <w:spacing w:before="0" w:after="283"/>
              <w:jc w:val="center"/>
              <w:rPr/>
            </w:pPr>
            <w:r>
              <w:rPr/>
              <w:t xml:space="preserve">Achievement </w:t>
              <w:br/>
              <w:t>Status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pPr>
            <w:r>
              <w:rPr/>
              <w:t xml:space="preserve">Milestone </w:t>
              <w:br/>
              <w:t>(in Millions)</w:t>
            </w:r>
          </w:p>
        </w:tc>
        <w:tc>
          <w:tcPr>
            <w:tcW w:w="141"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1884" w:type="dxa"/>
            <w:gridSpan w:val="2"/>
            <w:tcBorders>
              <w:bottom w:val="single" w:sz="8" w:space="0" w:color="000000"/>
            </w:tcBorders>
            <w:vAlign w:val="center"/>
          </w:tcPr>
          <w:p>
            <w:pPr>
              <w:pStyle w:val="TableContents"/>
              <w:bidi w:val="0"/>
              <w:spacing w:before="0" w:after="283"/>
              <w:jc w:val="center"/>
              <w:rPr/>
            </w:pPr>
            <w:r>
              <w:rPr/>
              <w:t xml:space="preserve">Achievement </w:t>
              <w:br/>
              <w:t>Status</w:t>
            </w:r>
          </w:p>
        </w:tc>
        <w:tc>
          <w:tcPr>
            <w:tcW w:w="75" w:type="dxa"/>
            <w:tcBorders/>
            <w:tcMar>
              <w:bottom w:w="0" w:type="dxa"/>
            </w:tcMar>
            <w:vAlign w:val="center"/>
          </w:tcPr>
          <w:p>
            <w:pPr>
              <w:pStyle w:val="TableContents"/>
              <w:bidi w:val="0"/>
              <w:spacing w:before="0" w:after="283"/>
              <w:jc w:val="left"/>
              <w:rPr/>
            </w:pPr>
            <w:r>
              <w:rPr/>
              <w:t> </w:t>
            </w:r>
          </w:p>
        </w:tc>
      </w:tr>
      <w:tr>
        <w:trPr/>
        <w:tc>
          <w:tcPr>
            <w:tcW w:w="1204" w:type="dxa"/>
            <w:gridSpan w:val="2"/>
            <w:tcBorders/>
            <w:tcMar>
              <w:bottom w:w="0" w:type="dxa"/>
            </w:tcMar>
            <w:vAlign w:val="center"/>
          </w:tcPr>
          <w:p>
            <w:pPr>
              <w:pStyle w:val="TableContents"/>
              <w:bidi w:val="0"/>
              <w:spacing w:before="0" w:after="283"/>
              <w:jc w:val="right"/>
              <w:rPr/>
            </w:pPr>
            <w:r>
              <w:rPr/>
              <w:t> </w:t>
            </w:r>
          </w:p>
        </w:tc>
        <w:tc>
          <w:tcPr>
            <w:tcW w:w="92"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133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right"/>
              <w:rPr/>
            </w:pPr>
            <w:r>
              <w:rPr/>
              <w:t> </w:t>
            </w:r>
          </w:p>
        </w:tc>
        <w:tc>
          <w:tcPr>
            <w:tcW w:w="141"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188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48" w:type="dxa"/>
            <w:tcBorders/>
            <w:shd w:fill="EEEEEE" w:val="clear"/>
            <w:tcMar>
              <w:bottom w:w="0" w:type="dxa"/>
            </w:tcMar>
            <w:vAlign w:val="center"/>
          </w:tcPr>
          <w:p>
            <w:pPr>
              <w:pStyle w:val="TableContents"/>
              <w:bidi w:val="0"/>
              <w:spacing w:before="0" w:after="283"/>
              <w:jc w:val="left"/>
              <w:rPr/>
            </w:pPr>
            <w:r>
              <w:rPr/>
              <w:t>$</w:t>
            </w:r>
          </w:p>
        </w:tc>
        <w:tc>
          <w:tcPr>
            <w:tcW w:w="856" w:type="dxa"/>
            <w:tcBorders/>
            <w:shd w:fill="EEEEEE" w:val="clear"/>
            <w:tcMar>
              <w:bottom w:w="0" w:type="dxa"/>
            </w:tcMar>
            <w:vAlign w:val="center"/>
          </w:tcPr>
          <w:p>
            <w:pPr>
              <w:pStyle w:val="TableContents"/>
              <w:bidi w:val="0"/>
              <w:spacing w:before="0" w:after="283"/>
              <w:jc w:val="right"/>
              <w:rPr/>
            </w:pPr>
            <w:r>
              <w:rPr/>
              <w:t>90</w:t>
            </w:r>
          </w:p>
        </w:tc>
        <w:tc>
          <w:tcPr>
            <w:tcW w:w="92" w:type="dxa"/>
            <w:tcBorders/>
            <w:shd w:fill="EEEEEE" w:val="clear"/>
            <w:tcMar>
              <w:bottom w:w="0" w:type="dxa"/>
            </w:tcMar>
            <w:vAlign w:val="center"/>
          </w:tcPr>
          <w:p>
            <w:pPr>
              <w:pStyle w:val="TableContents"/>
              <w:bidi w:val="0"/>
              <w:spacing w:before="0" w:after="283"/>
              <w:jc w:val="left"/>
              <w:rPr/>
            </w:pPr>
            <w:r>
              <w:rPr/>
              <w:t> </w:t>
            </w:r>
          </w:p>
        </w:tc>
        <w:tc>
          <w:tcPr>
            <w:tcW w:w="92" w:type="dxa"/>
            <w:tcBorders/>
            <w:shd w:fill="EEEEEE" w:val="clear"/>
            <w:tcMar>
              <w:bottom w:w="0" w:type="dxa"/>
            </w:tcMar>
            <w:vAlign w:val="center"/>
          </w:tcPr>
          <w:p>
            <w:pPr>
              <w:pStyle w:val="TableContents"/>
              <w:bidi w:val="0"/>
              <w:spacing w:before="0" w:after="283"/>
              <w:jc w:val="left"/>
              <w:rPr/>
            </w:pPr>
            <w:r>
              <w:rPr/>
              <w:t> </w:t>
            </w:r>
          </w:p>
        </w:tc>
        <w:tc>
          <w:tcPr>
            <w:tcW w:w="100" w:type="dxa"/>
            <w:tcBorders/>
            <w:shd w:fill="EEEEEE" w:val="clear"/>
            <w:tcMar>
              <w:bottom w:w="0" w:type="dxa"/>
            </w:tcMar>
            <w:vAlign w:val="center"/>
          </w:tcPr>
          <w:p>
            <w:pPr>
              <w:pStyle w:val="TableContents"/>
              <w:bidi w:val="0"/>
              <w:spacing w:before="0" w:after="283"/>
              <w:jc w:val="left"/>
              <w:rPr/>
            </w:pPr>
            <w:r>
              <w:rPr/>
              <w:t> </w:t>
            </w:r>
          </w:p>
        </w:tc>
        <w:tc>
          <w:tcPr>
            <w:tcW w:w="1239" w:type="dxa"/>
            <w:tcBorders/>
            <w:shd w:fill="EEEEEE" w:val="clear"/>
            <w:tcMar>
              <w:bottom w:w="0" w:type="dxa"/>
            </w:tcMar>
            <w:vAlign w:val="center"/>
          </w:tcPr>
          <w:p>
            <w:pPr>
              <w:pStyle w:val="TableContents"/>
              <w:bidi w:val="0"/>
              <w:spacing w:before="0" w:after="283"/>
              <w:jc w:val="center"/>
              <w:rPr>
                <w:sz w:val="20"/>
              </w:rPr>
            </w:pPr>
            <w:r>
              <w:rPr>
                <w:sz w:val="20"/>
              </w:rPr>
              <w:t>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w:t>
            </w:r>
          </w:p>
        </w:tc>
        <w:tc>
          <w:tcPr>
            <w:tcW w:w="774" w:type="dxa"/>
            <w:tcBorders/>
            <w:shd w:fill="EEEEEE" w:val="clear"/>
            <w:tcMar>
              <w:bottom w:w="0" w:type="dxa"/>
            </w:tcMar>
            <w:vAlign w:val="center"/>
          </w:tcPr>
          <w:p>
            <w:pPr>
              <w:pStyle w:val="TableContents"/>
              <w:bidi w:val="0"/>
              <w:spacing w:before="0" w:after="283"/>
              <w:jc w:val="right"/>
              <w:rPr/>
            </w:pPr>
            <w:r>
              <w:rPr/>
              <w:t>6</w:t>
            </w:r>
          </w:p>
        </w:tc>
        <w:tc>
          <w:tcPr>
            <w:tcW w:w="141" w:type="dxa"/>
            <w:tcBorders/>
            <w:shd w:fill="EEEEEE" w:val="clear"/>
            <w:tcMar>
              <w:bottom w:w="0" w:type="dxa"/>
            </w:tcMar>
            <w:vAlign w:val="center"/>
          </w:tcPr>
          <w:p>
            <w:pPr>
              <w:pStyle w:val="TableContents"/>
              <w:bidi w:val="0"/>
              <w:spacing w:before="0" w:after="283"/>
              <w:jc w:val="left"/>
              <w:rPr/>
            </w:pPr>
            <w:r>
              <w:rPr/>
              <w:t> </w:t>
            </w:r>
          </w:p>
        </w:tc>
        <w:tc>
          <w:tcPr>
            <w:tcW w:w="141" w:type="dxa"/>
            <w:tcBorders/>
            <w:shd w:fill="EEEEEE" w:val="clear"/>
            <w:tcMar>
              <w:bottom w:w="0" w:type="dxa"/>
            </w:tcMar>
            <w:vAlign w:val="center"/>
          </w:tcPr>
          <w:p>
            <w:pPr>
              <w:pStyle w:val="TableContents"/>
              <w:bidi w:val="0"/>
              <w:spacing w:before="0" w:after="283"/>
              <w:jc w:val="left"/>
              <w:rPr/>
            </w:pPr>
            <w:r>
              <w:rPr/>
              <w:t> </w:t>
            </w:r>
          </w:p>
        </w:tc>
        <w:tc>
          <w:tcPr>
            <w:tcW w:w="141" w:type="dxa"/>
            <w:tcBorders/>
            <w:shd w:fill="EEEEEE" w:val="clear"/>
            <w:tcMar>
              <w:bottom w:w="0" w:type="dxa"/>
            </w:tcMar>
            <w:vAlign w:val="center"/>
          </w:tcPr>
          <w:p>
            <w:pPr>
              <w:pStyle w:val="TableContents"/>
              <w:bidi w:val="0"/>
              <w:spacing w:before="0" w:after="283"/>
              <w:jc w:val="left"/>
              <w:rPr/>
            </w:pPr>
            <w:r>
              <w:rPr/>
              <w:t> </w:t>
            </w:r>
          </w:p>
        </w:tc>
        <w:tc>
          <w:tcPr>
            <w:tcW w:w="1743" w:type="dxa"/>
            <w:tcBorders/>
            <w:shd w:fill="EEEEEE" w:val="clear"/>
            <w:tcMar>
              <w:bottom w:w="0" w:type="dxa"/>
            </w:tcMar>
            <w:vAlign w:val="center"/>
          </w:tcPr>
          <w:p>
            <w:pPr>
              <w:pStyle w:val="TableContents"/>
              <w:bidi w:val="0"/>
              <w:spacing w:before="0" w:after="283"/>
              <w:jc w:val="center"/>
              <w:rPr>
                <w:sz w:val="20"/>
              </w:rPr>
            </w:pPr>
            <w:r>
              <w:rPr>
                <w:sz w:val="20"/>
              </w:rPr>
              <w:t>Probable</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348"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100</w:t>
            </w:r>
          </w:p>
        </w:tc>
        <w:tc>
          <w:tcPr>
            <w:tcW w:w="92"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center"/>
              <w:rPr>
                <w:sz w:val="20"/>
              </w:rPr>
            </w:pPr>
            <w:r>
              <w:rPr>
                <w:sz w:val="20"/>
              </w:rPr>
              <w:t>Probable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774" w:type="dxa"/>
            <w:tcBorders/>
            <w:shd w:fill="FFFFFF" w:val="clear"/>
            <w:tcMar>
              <w:bottom w:w="0" w:type="dxa"/>
            </w:tcMar>
            <w:vAlign w:val="center"/>
          </w:tcPr>
          <w:p>
            <w:pPr>
              <w:pStyle w:val="TableContents"/>
              <w:bidi w:val="0"/>
              <w:spacing w:before="0" w:after="283"/>
              <w:jc w:val="right"/>
              <w:rPr/>
            </w:pPr>
            <w:r>
              <w:rPr/>
              <w:t>8</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743" w:type="dxa"/>
            <w:tcBorders/>
            <w:shd w:fill="FFFFFF" w:val="clear"/>
            <w:tcMar>
              <w:bottom w:w="0" w:type="dxa"/>
            </w:tcMar>
            <w:vAlign w:val="center"/>
          </w:tcPr>
          <w:p>
            <w:pPr>
              <w:pStyle w:val="TableContents"/>
              <w:bidi w:val="0"/>
              <w:spacing w:before="0" w:after="283"/>
              <w:jc w:val="center"/>
              <w:rPr>
                <w:sz w:val="20"/>
              </w:rPr>
            </w:pPr>
            <w:r>
              <w:rPr>
                <w:sz w:val="20"/>
              </w:rPr>
              <w:t>Probable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 w:type="dxa"/>
            <w:tcBorders/>
            <w:shd w:fill="EEEEEE" w:val="clear"/>
            <w:tcMar>
              <w:bottom w:w="0" w:type="dxa"/>
            </w:tcMar>
            <w:vAlign w:val="center"/>
          </w:tcPr>
          <w:p>
            <w:pPr>
              <w:pStyle w:val="TableContents"/>
              <w:bidi w:val="0"/>
              <w:spacing w:before="0" w:after="283"/>
              <w:jc w:val="left"/>
              <w:rPr/>
            </w:pPr>
            <w:r>
              <w:rPr/>
              <w:t>$</w:t>
            </w:r>
          </w:p>
        </w:tc>
        <w:tc>
          <w:tcPr>
            <w:tcW w:w="856" w:type="dxa"/>
            <w:tcBorders/>
            <w:shd w:fill="EEEEEE" w:val="clear"/>
            <w:tcMar>
              <w:bottom w:w="0" w:type="dxa"/>
            </w:tcMar>
            <w:vAlign w:val="center"/>
          </w:tcPr>
          <w:p>
            <w:pPr>
              <w:pStyle w:val="TableContents"/>
              <w:bidi w:val="0"/>
              <w:spacing w:before="0" w:after="283"/>
              <w:jc w:val="right"/>
              <w:rPr/>
            </w:pPr>
            <w:r>
              <w:rPr/>
              <w:t>125</w:t>
            </w:r>
          </w:p>
        </w:tc>
        <w:tc>
          <w:tcPr>
            <w:tcW w:w="92" w:type="dxa"/>
            <w:tcBorders/>
            <w:shd w:fill="EEEEEE" w:val="clear"/>
            <w:tcMar>
              <w:bottom w:w="0" w:type="dxa"/>
            </w:tcMar>
            <w:vAlign w:val="center"/>
          </w:tcPr>
          <w:p>
            <w:pPr>
              <w:pStyle w:val="TableContents"/>
              <w:bidi w:val="0"/>
              <w:spacing w:before="0" w:after="283"/>
              <w:jc w:val="left"/>
              <w:rPr/>
            </w:pPr>
            <w:r>
              <w:rPr/>
              <w:t> </w:t>
            </w:r>
          </w:p>
        </w:tc>
        <w:tc>
          <w:tcPr>
            <w:tcW w:w="92" w:type="dxa"/>
            <w:tcBorders/>
            <w:shd w:fill="EEEEEE" w:val="clear"/>
            <w:tcMar>
              <w:bottom w:w="0" w:type="dxa"/>
            </w:tcMar>
            <w:vAlign w:val="center"/>
          </w:tcPr>
          <w:p>
            <w:pPr>
              <w:pStyle w:val="TableContents"/>
              <w:bidi w:val="0"/>
              <w:spacing w:before="0" w:after="283"/>
              <w:jc w:val="left"/>
              <w:rPr/>
            </w:pPr>
            <w:r>
              <w:rPr/>
              <w:t> </w:t>
            </w:r>
          </w:p>
        </w:tc>
        <w:tc>
          <w:tcPr>
            <w:tcW w:w="100" w:type="dxa"/>
            <w:tcBorders/>
            <w:shd w:fill="EEEEEE" w:val="clear"/>
            <w:tcMar>
              <w:bottom w:w="0" w:type="dxa"/>
            </w:tcMar>
            <w:vAlign w:val="center"/>
          </w:tcPr>
          <w:p>
            <w:pPr>
              <w:pStyle w:val="TableContents"/>
              <w:bidi w:val="0"/>
              <w:spacing w:before="0" w:after="283"/>
              <w:jc w:val="left"/>
              <w:rPr/>
            </w:pPr>
            <w:r>
              <w:rPr/>
              <w:t> </w:t>
            </w:r>
          </w:p>
        </w:tc>
        <w:tc>
          <w:tcPr>
            <w:tcW w:w="1239" w:type="dxa"/>
            <w:tcBorders/>
            <w:shd w:fill="EEEEEE" w:val="clear"/>
            <w:tcMar>
              <w:bottom w:w="0" w:type="dxa"/>
            </w:tcMar>
            <w:vAlign w:val="center"/>
          </w:tcPr>
          <w:p>
            <w:pPr>
              <w:pStyle w:val="TableContents"/>
              <w:bidi w:val="0"/>
              <w:spacing w:before="0" w:after="283"/>
              <w:jc w:val="center"/>
              <w:rPr>
                <w:sz w:val="20"/>
              </w:rPr>
            </w:pPr>
            <w:r>
              <w:rPr>
                <w:sz w:val="20"/>
              </w:rPr>
              <w:t>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w:t>
            </w:r>
          </w:p>
        </w:tc>
        <w:tc>
          <w:tcPr>
            <w:tcW w:w="774" w:type="dxa"/>
            <w:tcBorders/>
            <w:shd w:fill="EEEEEE" w:val="clear"/>
            <w:tcMar>
              <w:bottom w:w="0" w:type="dxa"/>
            </w:tcMar>
            <w:vAlign w:val="center"/>
          </w:tcPr>
          <w:p>
            <w:pPr>
              <w:pStyle w:val="TableContents"/>
              <w:bidi w:val="0"/>
              <w:spacing w:before="0" w:after="283"/>
              <w:jc w:val="right"/>
              <w:rPr/>
            </w:pPr>
            <w:r>
              <w:rPr/>
              <w:t>10</w:t>
            </w:r>
          </w:p>
        </w:tc>
        <w:tc>
          <w:tcPr>
            <w:tcW w:w="141" w:type="dxa"/>
            <w:tcBorders/>
            <w:shd w:fill="EEEEEE" w:val="clear"/>
            <w:tcMar>
              <w:bottom w:w="0" w:type="dxa"/>
            </w:tcMar>
            <w:vAlign w:val="center"/>
          </w:tcPr>
          <w:p>
            <w:pPr>
              <w:pStyle w:val="TableContents"/>
              <w:bidi w:val="0"/>
              <w:spacing w:before="0" w:after="283"/>
              <w:jc w:val="left"/>
              <w:rPr/>
            </w:pPr>
            <w:r>
              <w:rPr/>
              <w:t> </w:t>
            </w:r>
          </w:p>
        </w:tc>
        <w:tc>
          <w:tcPr>
            <w:tcW w:w="141" w:type="dxa"/>
            <w:tcBorders/>
            <w:shd w:fill="EEEEEE" w:val="clear"/>
            <w:tcMar>
              <w:bottom w:w="0" w:type="dxa"/>
            </w:tcMar>
            <w:vAlign w:val="center"/>
          </w:tcPr>
          <w:p>
            <w:pPr>
              <w:pStyle w:val="TableContents"/>
              <w:bidi w:val="0"/>
              <w:spacing w:before="0" w:after="283"/>
              <w:jc w:val="left"/>
              <w:rPr/>
            </w:pPr>
            <w:r>
              <w:rPr/>
              <w:t> </w:t>
            </w:r>
          </w:p>
        </w:tc>
        <w:tc>
          <w:tcPr>
            <w:tcW w:w="141" w:type="dxa"/>
            <w:tcBorders/>
            <w:shd w:fill="EEEEEE" w:val="clear"/>
            <w:tcMar>
              <w:bottom w:w="0" w:type="dxa"/>
            </w:tcMar>
            <w:vAlign w:val="center"/>
          </w:tcPr>
          <w:p>
            <w:pPr>
              <w:pStyle w:val="TableContents"/>
              <w:bidi w:val="0"/>
              <w:spacing w:before="0" w:after="283"/>
              <w:jc w:val="left"/>
              <w:rPr/>
            </w:pPr>
            <w:r>
              <w:rPr/>
              <w:t> </w:t>
            </w:r>
          </w:p>
        </w:tc>
        <w:tc>
          <w:tcPr>
            <w:tcW w:w="1743" w:type="dxa"/>
            <w:tcBorders/>
            <w:shd w:fill="EEEEEE" w:val="clear"/>
            <w:tcMar>
              <w:bottom w:w="0" w:type="dxa"/>
            </w:tcMar>
            <w:vAlign w:val="center"/>
          </w:tcPr>
          <w:p>
            <w:pPr>
              <w:pStyle w:val="TableContents"/>
              <w:bidi w:val="0"/>
              <w:spacing w:before="0" w:after="283"/>
              <w:jc w:val="center"/>
              <w:rPr>
                <w:sz w:val="20"/>
              </w:rPr>
            </w:pPr>
            <w:r>
              <w:rPr>
                <w:sz w:val="20"/>
              </w:rPr>
              <w:t>Probable</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348"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150</w:t>
            </w:r>
          </w:p>
        </w:tc>
        <w:tc>
          <w:tcPr>
            <w:tcW w:w="92"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center"/>
              <w:rPr>
                <w:sz w:val="20"/>
              </w:rPr>
            </w:pPr>
            <w:r>
              <w:rPr>
                <w:sz w:val="20"/>
              </w:rPr>
              <w:t>Probable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774" w:type="dxa"/>
            <w:tcBorders/>
            <w:shd w:fill="FFFFFF" w:val="clear"/>
            <w:tcMar>
              <w:bottom w:w="0" w:type="dxa"/>
            </w:tcMar>
            <w:vAlign w:val="center"/>
          </w:tcPr>
          <w:p>
            <w:pPr>
              <w:pStyle w:val="TableContents"/>
              <w:bidi w:val="0"/>
              <w:spacing w:before="0" w:after="283"/>
              <w:jc w:val="right"/>
              <w:rPr/>
            </w:pPr>
            <w:r>
              <w:rPr/>
              <w:t>12</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743" w:type="dxa"/>
            <w:tcBorders/>
            <w:shd w:fill="FFFFFF" w:val="clear"/>
            <w:tcMar>
              <w:bottom w:w="0" w:type="dxa"/>
            </w:tcMar>
            <w:vAlign w:val="center"/>
          </w:tcPr>
          <w:p>
            <w:pPr>
              <w:pStyle w:val="TableContents"/>
              <w:bidi w:val="0"/>
              <w:spacing w:before="0" w:after="283"/>
              <w:jc w:val="center"/>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 w:type="dxa"/>
            <w:tcBorders/>
            <w:shd w:fill="EEEEEE" w:val="clear"/>
            <w:tcMar>
              <w:bottom w:w="0" w:type="dxa"/>
            </w:tcMar>
            <w:vAlign w:val="center"/>
          </w:tcPr>
          <w:p>
            <w:pPr>
              <w:pStyle w:val="TableContents"/>
              <w:bidi w:val="0"/>
              <w:spacing w:before="0" w:after="283"/>
              <w:jc w:val="left"/>
              <w:rPr/>
            </w:pPr>
            <w:r>
              <w:rPr/>
              <w:t>$</w:t>
            </w:r>
          </w:p>
        </w:tc>
        <w:tc>
          <w:tcPr>
            <w:tcW w:w="856" w:type="dxa"/>
            <w:tcBorders/>
            <w:shd w:fill="EEEEEE" w:val="clear"/>
            <w:tcMar>
              <w:bottom w:w="0" w:type="dxa"/>
            </w:tcMar>
            <w:vAlign w:val="center"/>
          </w:tcPr>
          <w:p>
            <w:pPr>
              <w:pStyle w:val="TableContents"/>
              <w:bidi w:val="0"/>
              <w:spacing w:before="0" w:after="283"/>
              <w:jc w:val="right"/>
              <w:rPr/>
            </w:pPr>
            <w:r>
              <w:rPr/>
              <w:t>200</w:t>
            </w:r>
          </w:p>
        </w:tc>
        <w:tc>
          <w:tcPr>
            <w:tcW w:w="92" w:type="dxa"/>
            <w:tcBorders/>
            <w:shd w:fill="EEEEEE" w:val="clear"/>
            <w:tcMar>
              <w:bottom w:w="0" w:type="dxa"/>
            </w:tcMar>
            <w:vAlign w:val="center"/>
          </w:tcPr>
          <w:p>
            <w:pPr>
              <w:pStyle w:val="TableContents"/>
              <w:bidi w:val="0"/>
              <w:spacing w:before="0" w:after="283"/>
              <w:jc w:val="left"/>
              <w:rPr/>
            </w:pPr>
            <w:r>
              <w:rPr/>
              <w:t> </w:t>
            </w:r>
          </w:p>
        </w:tc>
        <w:tc>
          <w:tcPr>
            <w:tcW w:w="92" w:type="dxa"/>
            <w:tcBorders/>
            <w:shd w:fill="EEEEEE" w:val="clear"/>
            <w:tcMar>
              <w:bottom w:w="0" w:type="dxa"/>
            </w:tcMar>
            <w:vAlign w:val="center"/>
          </w:tcPr>
          <w:p>
            <w:pPr>
              <w:pStyle w:val="TableContents"/>
              <w:bidi w:val="0"/>
              <w:spacing w:before="0" w:after="283"/>
              <w:jc w:val="left"/>
              <w:rPr/>
            </w:pPr>
            <w:r>
              <w:rPr/>
              <w:t> </w:t>
            </w:r>
          </w:p>
        </w:tc>
        <w:tc>
          <w:tcPr>
            <w:tcW w:w="100" w:type="dxa"/>
            <w:tcBorders/>
            <w:shd w:fill="EEEEEE" w:val="clear"/>
            <w:tcMar>
              <w:bottom w:w="0" w:type="dxa"/>
            </w:tcMar>
            <w:vAlign w:val="center"/>
          </w:tcPr>
          <w:p>
            <w:pPr>
              <w:pStyle w:val="TableContents"/>
              <w:bidi w:val="0"/>
              <w:spacing w:before="0" w:after="283"/>
              <w:jc w:val="left"/>
              <w:rPr/>
            </w:pPr>
            <w:r>
              <w:rPr/>
              <w:t> </w:t>
            </w:r>
          </w:p>
        </w:tc>
        <w:tc>
          <w:tcPr>
            <w:tcW w:w="1239" w:type="dxa"/>
            <w:tcBorders/>
            <w:shd w:fill="EEEEEE" w:val="clear"/>
            <w:tcMar>
              <w:bottom w:w="0" w:type="dxa"/>
            </w:tcMar>
            <w:vAlign w:val="center"/>
          </w:tcPr>
          <w:p>
            <w:pPr>
              <w:pStyle w:val="TableContents"/>
              <w:bidi w:val="0"/>
              <w:spacing w:before="0" w:after="283"/>
              <w:jc w:val="center"/>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w:t>
            </w:r>
          </w:p>
        </w:tc>
        <w:tc>
          <w:tcPr>
            <w:tcW w:w="774" w:type="dxa"/>
            <w:tcBorders/>
            <w:shd w:fill="EEEEEE" w:val="clear"/>
            <w:tcMar>
              <w:bottom w:w="0" w:type="dxa"/>
            </w:tcMar>
            <w:vAlign w:val="center"/>
          </w:tcPr>
          <w:p>
            <w:pPr>
              <w:pStyle w:val="TableContents"/>
              <w:bidi w:val="0"/>
              <w:spacing w:before="0" w:after="283"/>
              <w:jc w:val="right"/>
              <w:rPr/>
            </w:pPr>
            <w:r>
              <w:rPr/>
              <w:t>16</w:t>
            </w:r>
          </w:p>
        </w:tc>
        <w:tc>
          <w:tcPr>
            <w:tcW w:w="141" w:type="dxa"/>
            <w:tcBorders/>
            <w:shd w:fill="EEEEEE" w:val="clear"/>
            <w:tcMar>
              <w:bottom w:w="0" w:type="dxa"/>
            </w:tcMar>
            <w:vAlign w:val="center"/>
          </w:tcPr>
          <w:p>
            <w:pPr>
              <w:pStyle w:val="TableContents"/>
              <w:bidi w:val="0"/>
              <w:spacing w:before="0" w:after="283"/>
              <w:jc w:val="left"/>
              <w:rPr/>
            </w:pPr>
            <w:r>
              <w:rPr/>
              <w:t> </w:t>
            </w:r>
          </w:p>
        </w:tc>
        <w:tc>
          <w:tcPr>
            <w:tcW w:w="141" w:type="dxa"/>
            <w:tcBorders/>
            <w:shd w:fill="EEEEEE" w:val="clear"/>
            <w:tcMar>
              <w:bottom w:w="0" w:type="dxa"/>
            </w:tcMar>
            <w:vAlign w:val="center"/>
          </w:tcPr>
          <w:p>
            <w:pPr>
              <w:pStyle w:val="TableContents"/>
              <w:bidi w:val="0"/>
              <w:spacing w:before="0" w:after="283"/>
              <w:jc w:val="left"/>
              <w:rPr/>
            </w:pPr>
            <w:r>
              <w:rPr/>
              <w:t> </w:t>
            </w:r>
          </w:p>
        </w:tc>
        <w:tc>
          <w:tcPr>
            <w:tcW w:w="141" w:type="dxa"/>
            <w:tcBorders/>
            <w:shd w:fill="EEEEEE" w:val="clear"/>
            <w:tcMar>
              <w:bottom w:w="0" w:type="dxa"/>
            </w:tcMar>
            <w:vAlign w:val="center"/>
          </w:tcPr>
          <w:p>
            <w:pPr>
              <w:pStyle w:val="TableContents"/>
              <w:bidi w:val="0"/>
              <w:spacing w:before="0" w:after="283"/>
              <w:jc w:val="left"/>
              <w:rPr/>
            </w:pPr>
            <w:r>
              <w:rPr/>
              <w:t> </w:t>
            </w:r>
          </w:p>
        </w:tc>
        <w:tc>
          <w:tcPr>
            <w:tcW w:w="1743" w:type="dxa"/>
            <w:tcBorders/>
            <w:shd w:fill="EEEEEE" w:val="clear"/>
            <w:tcMar>
              <w:bottom w:w="0" w:type="dxa"/>
            </w:tcMar>
            <w:vAlign w:val="center"/>
          </w:tcPr>
          <w:p>
            <w:pPr>
              <w:pStyle w:val="TableContents"/>
              <w:bidi w:val="0"/>
              <w:spacing w:before="0" w:after="283"/>
              <w:jc w:val="center"/>
              <w:rPr/>
            </w:pPr>
            <w:r>
              <w:rPr/>
              <w:t>–</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348"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250</w:t>
            </w:r>
          </w:p>
        </w:tc>
        <w:tc>
          <w:tcPr>
            <w:tcW w:w="92"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774" w:type="dxa"/>
            <w:tcBorders/>
            <w:shd w:fill="FFFFFF" w:val="clear"/>
            <w:tcMar>
              <w:bottom w:w="0" w:type="dxa"/>
            </w:tcMar>
            <w:vAlign w:val="center"/>
          </w:tcPr>
          <w:p>
            <w:pPr>
              <w:pStyle w:val="TableContents"/>
              <w:bidi w:val="0"/>
              <w:spacing w:before="0" w:after="283"/>
              <w:jc w:val="right"/>
              <w:rPr/>
            </w:pPr>
            <w:r>
              <w:rPr/>
              <w:t>20</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743" w:type="dxa"/>
            <w:tcBorders/>
            <w:shd w:fill="FFFFFF" w:val="clear"/>
            <w:tcMar>
              <w:bottom w:w="0" w:type="dxa"/>
            </w:tcMar>
            <w:vAlign w:val="center"/>
          </w:tcPr>
          <w:p>
            <w:pPr>
              <w:pStyle w:val="TableContents"/>
              <w:bidi w:val="0"/>
              <w:spacing w:before="0" w:after="283"/>
              <w:jc w:val="center"/>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compensation cost is recognized over the requisite service period, which is based on the implied service period derived from valuation model and one of the performance conditions probable achievement. In relation to the five awards deemed probable to vest, the recognition period ranges from three to ten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the Company will achieve each operational milestone that has not previously been achieved or deemed probable of achievement and, if so, the future time when the Company expects to achieve that operational milestone. The Monte Carlo simulation utilized the following inputs:</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95"/>
        <w:gridCol w:w="348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both"/>
              <w:rPr>
                <w:sz w:val="20"/>
              </w:rPr>
            </w:pPr>
            <w:r>
              <w:rPr>
                <w:sz w:val="20"/>
              </w:rPr>
              <w:t>Stock Price - $</w:t>
            </w:r>
            <w:bookmarkStart w:id="879" w:name="xdx_90A_eus-gaap--SharePrice_iI_c2022051"/>
            <w:bookmarkEnd w:id="879"/>
            <w:r>
              <w:rPr>
                <w:sz w:val="20"/>
              </w:rPr>
              <w:t>1.12 (pre-reverse-split price)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both"/>
              <w:rPr>
                <w:sz w:val="20"/>
              </w:rPr>
            </w:pPr>
            <w:r>
              <w:rPr>
                <w:sz w:val="20"/>
              </w:rPr>
              <w:t xml:space="preserve">Volatility – </w:t>
            </w:r>
            <w:bookmarkStart w:id="880" w:name="xdx_909_eus-gaap--ShareBasedCompensation"/>
            <w:bookmarkEnd w:id="880"/>
            <w:r>
              <w:rPr>
                <w:sz w:val="20"/>
              </w:rPr>
              <w:t xml:space="preserve">95.65%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both"/>
              <w:rPr>
                <w:sz w:val="20"/>
              </w:rPr>
            </w:pPr>
            <w:r>
              <w:rPr>
                <w:sz w:val="20"/>
              </w:rPr>
              <w:t>Term –</w:t>
            </w:r>
            <w:bookmarkStart w:id="881" w:name="xdx_905_eus-gaap--SharebasedCompensation"/>
            <w:bookmarkEnd w:id="881"/>
            <w:r>
              <w:rPr>
                <w:sz w:val="20"/>
              </w:rPr>
              <w:t>10 years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both"/>
              <w:rPr>
                <w:sz w:val="20"/>
              </w:rPr>
            </w:pPr>
            <w:r>
              <w:rPr>
                <w:sz w:val="20"/>
              </w:rPr>
              <w:t xml:space="preserve">Risk Free Rate of Return – </w:t>
            </w:r>
            <w:bookmarkStart w:id="882" w:name="xdx_90A_eus-gaap--ShareBasedCompensation"/>
            <w:bookmarkEnd w:id="882"/>
            <w:r>
              <w:rPr>
                <w:sz w:val="20"/>
              </w:rPr>
              <w:t xml:space="preserve">2.93%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both"/>
              <w:rPr>
                <w:sz w:val="20"/>
              </w:rPr>
            </w:pPr>
            <w:r>
              <w:rPr>
                <w:sz w:val="20"/>
              </w:rPr>
              <w:t xml:space="preserve">Dividend Yield – </w:t>
            </w:r>
            <w:bookmarkStart w:id="883" w:name="xdx_900_eus-gaap--ShareBasedCompensation"/>
            <w:bookmarkEnd w:id="883"/>
            <w:r>
              <w:rPr>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84" w:name="xdx_23A_zQwfdbfbhYDd"/>
      <w:bookmarkEnd w:id="884"/>
      <w:r>
        <w:rPr>
          <w:caps w:val="false"/>
          <w:smallCaps w:val="false"/>
        </w:rPr>
        <w:t> </w:t>
      </w:r>
    </w:p>
    <w:p>
      <w:pPr>
        <w:pStyle w:val="TextBody"/>
        <w:bidi w:val="0"/>
        <w:spacing w:before="0" w:after="0"/>
        <w:ind w:left="0" w:right="0" w:hanging="0"/>
        <w:jc w:val="both"/>
        <w:rPr>
          <w:caps w:val="false"/>
          <w:smallCaps w:val="false"/>
        </w:rPr>
      </w:pPr>
      <w:bookmarkStart w:id="885" w:name="xdx_231_zxG6pNTfNKCl"/>
      <w:bookmarkEnd w:id="88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886" w:name="xdx_239_zwDvEa35cjGj"/>
      <w:bookmarkEnd w:id="88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the Option Grants was $</w:t>
      </w:r>
      <w:bookmarkStart w:id="887" w:name="xdx_90B_ecustom--FairValueOfOptionsGrant"/>
      <w:bookmarkEnd w:id="887"/>
      <w:r>
        <w:rPr>
          <w:rFonts w:ascii="Times New Roman;Times;Serif" w:hAnsi="Times New Roman;Times;Serif"/>
          <w:b w:val="false"/>
          <w:i w:val="false"/>
          <w:caps w:val="false"/>
          <w:smallCaps w:val="false"/>
          <w:sz w:val="20"/>
        </w:rPr>
        <w:t>3.2 million of which, at December 31, 2025, $1.0 million is deemed probable of vesting.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June 30, 2025, the Company reassessed the expected timing of meeting the performance conditions. According to ASC 718-10-55-78, since the number of awards expected to vest and the fair value had changed with the new estimate, the adjustment affected the recognition value and years to vest. Therefore, the Company had reversed $701,807 of the expenses recorded for non-vesting tranches and applied the prospective approach to record adjustment on tranches expected to be vested in future periods. As of December 31, 2025, none of the options had vested. For the three and six months ended December 31, 2025, the Company recorded $</w:t>
      </w:r>
      <w:bookmarkStart w:id="888" w:name="xdx_909_eus-gaap--ShareBasedCompensation"/>
      <w:bookmarkEnd w:id="888"/>
      <w:r>
        <w:rPr>
          <w:rFonts w:ascii="Times New Roman;Times;Serif" w:hAnsi="Times New Roman;Times;Serif"/>
          <w:b w:val="false"/>
          <w:i w:val="false"/>
          <w:caps w:val="false"/>
          <w:smallCaps w:val="false"/>
          <w:sz w:val="20"/>
        </w:rPr>
        <w:t>40,691 and $</w:t>
      </w:r>
      <w:bookmarkStart w:id="889" w:name="xdx_909_eus-gaap--ShareBasedCompensation"/>
      <w:bookmarkEnd w:id="889"/>
      <w:r>
        <w:rPr>
          <w:rFonts w:ascii="Times New Roman;Times;Serif" w:hAnsi="Times New Roman;Times;Serif"/>
          <w:b w:val="false"/>
          <w:i w:val="false"/>
          <w:caps w:val="false"/>
          <w:smallCaps w:val="false"/>
          <w:sz w:val="20"/>
        </w:rPr>
        <w:t>81,382, respectively, of stock-based compensation expense related to the Option Grants. For the three and six months ended December 31, 2024, the Company recorded $</w:t>
      </w:r>
      <w:bookmarkStart w:id="890" w:name="xdx_908_eus-gaap--ShareBasedCompensation"/>
      <w:bookmarkEnd w:id="890"/>
      <w:r>
        <w:rPr>
          <w:rFonts w:ascii="Times New Roman;Times;Serif" w:hAnsi="Times New Roman;Times;Serif"/>
          <w:b w:val="false"/>
          <w:i w:val="false"/>
          <w:caps w:val="false"/>
          <w:smallCaps w:val="false"/>
          <w:sz w:val="20"/>
        </w:rPr>
        <w:t>75,302 and $</w:t>
      </w:r>
      <w:bookmarkStart w:id="891" w:name="xdx_903_eus-gaap--ShareBasedCompensation"/>
      <w:bookmarkEnd w:id="891"/>
      <w:r>
        <w:rPr>
          <w:rFonts w:ascii="Times New Roman;Times;Serif" w:hAnsi="Times New Roman;Times;Serif"/>
          <w:b w:val="false"/>
          <w:i w:val="false"/>
          <w:caps w:val="false"/>
          <w:smallCaps w:val="false"/>
          <w:sz w:val="20"/>
        </w:rPr>
        <w:t>185,684, respectively, of stock-based compensation expense related to the Option Grants. As of December 31, 2025, unrecognized compensation cost related to tranches probable of vesting is approximately $</w:t>
      </w:r>
      <w:bookmarkStart w:id="892" w:name="xdx_909_eus-gaap--EmployeeServiceShareBa"/>
      <w:bookmarkEnd w:id="892"/>
      <w:r>
        <w:rPr>
          <w:rFonts w:ascii="Times New Roman;Times;Serif" w:hAnsi="Times New Roman;Times;Serif"/>
          <w:b w:val="false"/>
          <w:i w:val="false"/>
          <w:caps w:val="false"/>
          <w:smallCaps w:val="false"/>
          <w:sz w:val="20"/>
        </w:rPr>
        <w:t>951,354 and will be recognized over five to six years, depending on the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29, 2024, the board of directors (the “Board”) of the Company, based on the recommendation of the compensation committee of the Board, approved a grant of </w:t>
      </w:r>
      <w:bookmarkStart w:id="893" w:name="xdx_90D_eus-gaap--ShareBasedCompensation"/>
      <w:bookmarkEnd w:id="893"/>
      <w:r>
        <w:rPr>
          <w:rFonts w:ascii="Times New Roman;Times;Serif" w:hAnsi="Times New Roman;Times;Serif"/>
          <w:b w:val="false"/>
          <w:i w:val="false"/>
          <w:caps w:val="false"/>
          <w:smallCaps w:val="false"/>
          <w:sz w:val="20"/>
        </w:rPr>
        <w:t>40,000 stock options (the “2024 Stock Options”) issuable to Chenlong Tan, the Company’s Chief Executive Officer, pursuant to the terms of the iPower Inc. Amended and Restated 2020 Equity Incentive Plan (the “Plan”). Following the Board’s approval, Mr. Tan and the Company entered into a stock option award agreement (the “Stock Option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Stock Option Award Agreement, and subject to the terms and conditions of the Stock Option Award Agreement and the Plan, upon vesting of the 2024 Stock Options, Mr. Tan will have the option to purchase the Company’s Common Stock at an exercise price of $</w:t>
      </w:r>
      <w:bookmarkStart w:id="894" w:name="xdx_906_eus-gaap--DeferredCompensationAr"/>
      <w:bookmarkEnd w:id="894"/>
      <w:r>
        <w:rPr>
          <w:rFonts w:ascii="Times New Roman;Times;Serif" w:hAnsi="Times New Roman;Times;Serif"/>
          <w:b w:val="false"/>
          <w:i w:val="false"/>
          <w:caps w:val="false"/>
          <w:smallCaps w:val="false"/>
          <w:sz w:val="20"/>
        </w:rPr>
        <w:t xml:space="preserve">42.9 per share (which is 110% of the Fair Market Value of the stock on the grant date). The 2024 Stock Options have a term of </w:t>
      </w:r>
      <w:bookmarkStart w:id="895" w:name="xdx_902_eus-gaap--SharebasedCompensation"/>
      <w:bookmarkEnd w:id="895"/>
      <w:r>
        <w:rPr>
          <w:rFonts w:ascii="Times New Roman;Times;Serif" w:hAnsi="Times New Roman;Times;Serif"/>
          <w:b w:val="false"/>
          <w:i w:val="false"/>
          <w:caps w:val="false"/>
          <w:smallCaps w:val="false"/>
          <w:sz w:val="20"/>
        </w:rPr>
        <w:t xml:space="preserve">10 years and will vest as follows: </w:t>
      </w:r>
      <w:bookmarkStart w:id="896" w:name="xdx_90D_eus-gaap--SharebasedCompensation"/>
      <w:bookmarkEnd w:id="896"/>
      <w:r>
        <w:rPr>
          <w:rFonts w:ascii="Times New Roman;Times;Serif" w:hAnsi="Times New Roman;Times;Serif"/>
          <w:b w:val="false"/>
          <w:i w:val="false"/>
          <w:caps w:val="false"/>
          <w:smallCaps w:val="false"/>
          <w:sz w:val="20"/>
        </w:rPr>
        <w:t xml:space="preserve">1,000 2024 Stock Options vested on the grant date (August 29, 2024), and </w:t>
      </w:r>
      <w:bookmarkStart w:id="897" w:name="xdx_909_eus-gaap--ShareBasedCompensation"/>
      <w:bookmarkEnd w:id="897"/>
      <w:r>
        <w:rPr>
          <w:rFonts w:ascii="Times New Roman;Times;Serif" w:hAnsi="Times New Roman;Times;Serif"/>
          <w:b w:val="false"/>
          <w:i w:val="false"/>
          <w:caps w:val="false"/>
          <w:smallCaps w:val="false"/>
          <w:sz w:val="20"/>
        </w:rPr>
        <w:t>1,084 2024 Stock Options will vest on the first day of each month from September 1, 2024, to August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grant date, a Black-Scholes Model was used to determine the fair value of the 2024 Stock Options with the following inputs:</w:t>
      </w:r>
    </w:p>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95"/>
        <w:gridCol w:w="371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Stock Price - $</w:t>
            </w:r>
            <w:bookmarkStart w:id="898" w:name="xdx_904_eus-gaap--SharePrice_iI_c2024082"/>
            <w:bookmarkEnd w:id="898"/>
            <w:r>
              <w:rPr>
                <w:sz w:val="20"/>
              </w:rPr>
              <w:t>1.30 (pre-reverse-split price)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Exercise Price - $</w:t>
            </w:r>
            <w:bookmarkStart w:id="899" w:name="xdx_905_eus-gaap--ShareBasedCompensation"/>
            <w:bookmarkEnd w:id="899"/>
            <w:r>
              <w:rPr>
                <w:sz w:val="20"/>
              </w:rPr>
              <w:t>1.43 (pre-reverse-split price)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 xml:space="preserve">Volatility – </w:t>
            </w:r>
            <w:bookmarkStart w:id="900" w:name="xdx_907_eus-gaap--ShareBasedCompensation"/>
            <w:bookmarkEnd w:id="900"/>
            <w:r>
              <w:rPr>
                <w:sz w:val="20"/>
              </w:rPr>
              <w:t xml:space="preserve">101%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Expected Term –</w:t>
            </w:r>
            <w:bookmarkStart w:id="901" w:name="xdx_900_eus-gaap--SharebasedCompensation"/>
            <w:bookmarkEnd w:id="901"/>
            <w:r>
              <w:rPr>
                <w:sz w:val="20"/>
              </w:rPr>
              <w:t>5.71 years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 xml:space="preserve">Risk Free Rate of Return – </w:t>
            </w:r>
            <w:bookmarkStart w:id="902" w:name="xdx_90C_eus-gaap--ShareBasedCompensation"/>
            <w:bookmarkEnd w:id="902"/>
            <w:r>
              <w:rPr>
                <w:sz w:val="20"/>
              </w:rPr>
              <w:t xml:space="preserve">3.66%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10" w:type="dxa"/>
            <w:tcBorders/>
            <w:vAlign w:val="center"/>
          </w:tcPr>
          <w:p>
            <w:pPr>
              <w:pStyle w:val="TableContents"/>
              <w:bidi w:val="0"/>
              <w:spacing w:before="0" w:after="283"/>
              <w:jc w:val="both"/>
              <w:rPr>
                <w:sz w:val="20"/>
              </w:rPr>
            </w:pPr>
            <w:r>
              <w:rPr>
                <w:sz w:val="20"/>
              </w:rPr>
              <w:t xml:space="preserve">Dividend Yield – </w:t>
            </w:r>
            <w:bookmarkStart w:id="903" w:name="xdx_904_eus-gaap--ShareBasedCompensation"/>
            <w:bookmarkEnd w:id="903"/>
            <w:r>
              <w:rPr>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the 2024 Stock Options was $</w:t>
      </w:r>
      <w:bookmarkStart w:id="904" w:name="xdx_90E_ecustom--FairValueOfOptionsGrant"/>
      <w:bookmarkEnd w:id="904"/>
      <w:r>
        <w:rPr>
          <w:rFonts w:ascii="Times New Roman;Times;Serif" w:hAnsi="Times New Roman;Times;Serif"/>
          <w:b w:val="false"/>
          <w:i w:val="false"/>
          <w:caps w:val="false"/>
          <w:smallCaps w:val="false"/>
          <w:sz w:val="20"/>
        </w:rPr>
        <w:t xml:space="preserve">1.22 million as of the grant date. For the three and six months ended December 31, 2025, </w:t>
      </w:r>
      <w:bookmarkStart w:id="905" w:name="xdx_900_eus-gaap--SharebasedCompensation"/>
      <w:bookmarkEnd w:id="905"/>
      <w:r>
        <w:rPr>
          <w:rFonts w:ascii="Times New Roman;Times;Serif" w:hAnsi="Times New Roman;Times;Serif"/>
          <w:b w:val="false"/>
          <w:i w:val="false"/>
          <w:caps w:val="false"/>
          <w:smallCaps w:val="false"/>
          <w:sz w:val="20"/>
        </w:rPr>
        <w:t xml:space="preserve">3,250 and </w:t>
      </w:r>
      <w:bookmarkStart w:id="906" w:name="xdx_900_eus-gaap--SharebasedCompensation"/>
      <w:bookmarkEnd w:id="906"/>
      <w:r>
        <w:rPr>
          <w:rFonts w:ascii="Times New Roman;Times;Serif" w:hAnsi="Times New Roman;Times;Serif"/>
          <w:b w:val="false"/>
          <w:i w:val="false"/>
          <w:caps w:val="false"/>
          <w:smallCaps w:val="false"/>
          <w:sz w:val="20"/>
        </w:rPr>
        <w:t>6,500 stock options were vested and the Company recorded $</w:t>
      </w:r>
      <w:bookmarkStart w:id="907" w:name="xdx_903_eus-gaap--ShareBasedCompensation"/>
      <w:bookmarkEnd w:id="907"/>
      <w:r>
        <w:rPr>
          <w:rFonts w:ascii="Times New Roman;Times;Serif" w:hAnsi="Times New Roman;Times;Serif"/>
          <w:b w:val="false"/>
          <w:i w:val="false"/>
          <w:caps w:val="false"/>
          <w:smallCaps w:val="false"/>
          <w:sz w:val="20"/>
        </w:rPr>
        <w:t>99,512 and $</w:t>
      </w:r>
      <w:bookmarkStart w:id="908" w:name="xdx_908_eus-gaap--ShareBasedCompensation"/>
      <w:bookmarkEnd w:id="908"/>
      <w:r>
        <w:rPr>
          <w:rFonts w:ascii="Times New Roman;Times;Serif" w:hAnsi="Times New Roman;Times;Serif"/>
          <w:b w:val="false"/>
          <w:i w:val="false"/>
          <w:caps w:val="false"/>
          <w:smallCaps w:val="false"/>
          <w:sz w:val="20"/>
        </w:rPr>
        <w:t xml:space="preserve">199,024 as stock compensation expense, respectively. For the three and six months ended December 31, 2024, </w:t>
      </w:r>
      <w:bookmarkStart w:id="909" w:name="xdx_901_eus-gaap--SharebasedCompensation"/>
      <w:bookmarkEnd w:id="909"/>
      <w:r>
        <w:rPr>
          <w:rFonts w:ascii="Times New Roman;Times;Serif" w:hAnsi="Times New Roman;Times;Serif"/>
          <w:b w:val="false"/>
          <w:i w:val="false"/>
          <w:caps w:val="false"/>
          <w:smallCaps w:val="false"/>
          <w:sz w:val="20"/>
        </w:rPr>
        <w:t xml:space="preserve">97,500 and </w:t>
      </w:r>
      <w:bookmarkStart w:id="910" w:name="xdx_900_eus-gaap--SharebasedCompensation"/>
      <w:bookmarkEnd w:id="910"/>
      <w:r>
        <w:rPr>
          <w:rFonts w:ascii="Times New Roman;Times;Serif" w:hAnsi="Times New Roman;Times;Serif"/>
          <w:b w:val="false"/>
          <w:i w:val="false"/>
          <w:caps w:val="false"/>
          <w:smallCaps w:val="false"/>
          <w:sz w:val="20"/>
        </w:rPr>
        <w:t>160,000 stock options were vested and the Company recorded $</w:t>
      </w:r>
      <w:bookmarkStart w:id="911" w:name="xdx_906_eus-gaap--ShareBasedCompensation"/>
      <w:bookmarkEnd w:id="911"/>
      <w:r>
        <w:rPr>
          <w:rFonts w:ascii="Times New Roman;Times;Serif" w:hAnsi="Times New Roman;Times;Serif"/>
          <w:b w:val="false"/>
          <w:i w:val="false"/>
          <w:caps w:val="false"/>
          <w:smallCaps w:val="false"/>
          <w:sz w:val="20"/>
        </w:rPr>
        <w:t>99,512 and $</w:t>
      </w:r>
      <w:bookmarkStart w:id="912" w:name="xdx_90A_eus-gaap--ShareBasedCompensation"/>
      <w:bookmarkEnd w:id="912"/>
      <w:r>
        <w:rPr>
          <w:rFonts w:ascii="Times New Roman;Times;Serif" w:hAnsi="Times New Roman;Times;Serif"/>
          <w:b w:val="false"/>
          <w:i w:val="false"/>
          <w:caps w:val="false"/>
          <w:smallCaps w:val="false"/>
          <w:sz w:val="20"/>
        </w:rPr>
        <w:t>163,302 as stock compensation expense. As of December 31, 2025, the unrecognized compensation cost of the 2024 Stock Options was approximately $</w:t>
      </w:r>
      <w:bookmarkStart w:id="913" w:name="xdx_908_eus-gaap--EmployeeServiceShareBa"/>
      <w:bookmarkEnd w:id="913"/>
      <w:r>
        <w:rPr>
          <w:rFonts w:ascii="Times New Roman;Times;Serif" w:hAnsi="Times New Roman;Times;Serif"/>
          <w:b w:val="false"/>
          <w:i w:val="false"/>
          <w:caps w:val="false"/>
          <w:smallCaps w:val="false"/>
          <w:sz w:val="20"/>
        </w:rPr>
        <w:t>0.66 million and will be recognized monthly through August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14" w:name="xdx_234_zasYvlHScJ46"/>
      <w:bookmarkEnd w:id="914"/>
      <w:r>
        <w:rPr>
          <w:caps w:val="false"/>
          <w:smallCaps w:val="false"/>
        </w:rPr>
        <w:t> </w:t>
      </w:r>
    </w:p>
    <w:p>
      <w:pPr>
        <w:pStyle w:val="TextBody"/>
        <w:bidi w:val="0"/>
        <w:spacing w:before="0" w:after="0"/>
        <w:ind w:left="0" w:right="0" w:hanging="0"/>
        <w:jc w:val="both"/>
        <w:rPr>
          <w:caps w:val="false"/>
          <w:smallCaps w:val="false"/>
        </w:rPr>
      </w:pPr>
      <w:bookmarkStart w:id="915" w:name="xdx_234_zSn9agbiYwma"/>
      <w:bookmarkEnd w:id="91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916" w:name="xdx_23B_zoDjkj6bgxs9"/>
      <w:bookmarkEnd w:id="91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7" w:name="xdx_806_eus-gaap--ConcentrationRiskDiscl"/>
      <w:bookmarkEnd w:id="917"/>
      <w:r>
        <w:rPr>
          <w:rFonts w:ascii="Times New Roman;Times;Serif" w:hAnsi="Times New Roman;Times;Serif"/>
          <w:b/>
          <w:i w:val="false"/>
          <w:caps w:val="false"/>
          <w:smallCaps w:val="false"/>
          <w:sz w:val="20"/>
        </w:rPr>
        <w:t xml:space="preserve">Note 16 - </w:t>
      </w:r>
      <w:bookmarkStart w:id="918" w:name="xdx_820_zkixue2uzxP9"/>
      <w:bookmarkEnd w:id="918"/>
      <w:r>
        <w:rPr>
          <w:rFonts w:ascii="Times New Roman;Times;Serif" w:hAnsi="Times New Roman;Times;Serif"/>
          <w:b/>
          <w:i w:val="false"/>
          <w:caps w:val="false"/>
          <w:smallCaps w:val="false"/>
          <w:sz w:val="20"/>
        </w:rPr>
        <w:t>Concentration of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concentrations of credit risk consist primarily of cash and cash equivalents and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2025, $</w:t>
      </w:r>
      <w:bookmarkStart w:id="919" w:name="xdx_901_eus-gaap--CashAndCashEquivalents"/>
      <w:bookmarkEnd w:id="919"/>
      <w:r>
        <w:rPr>
          <w:rFonts w:ascii="Times New Roman;Times;Serif" w:hAnsi="Times New Roman;Times;Serif"/>
          <w:b w:val="false"/>
          <w:i w:val="false"/>
          <w:caps w:val="false"/>
          <w:smallCaps w:val="false"/>
          <w:sz w:val="20"/>
        </w:rPr>
        <w:t>2,011,738 and $</w:t>
      </w:r>
      <w:bookmarkStart w:id="920" w:name="xdx_908_eus-gaap--CashAndCashEquivalents"/>
      <w:bookmarkEnd w:id="920"/>
      <w:r>
        <w:rPr>
          <w:rFonts w:ascii="Times New Roman;Times;Serif" w:hAnsi="Times New Roman;Times;Serif"/>
          <w:b w:val="false"/>
          <w:i w:val="false"/>
          <w:caps w:val="false"/>
          <w:smallCaps w:val="false"/>
          <w:sz w:val="20"/>
        </w:rPr>
        <w:t>2,007,890, respectively, were deposited with various financial institutions and financial services companies in the United States and PRC. Accounts at each institution in the United States are insured by the Federal Deposit Insurance Corporation (FDIC) for up to $250,000. The Company had approximately $</w:t>
      </w:r>
      <w:bookmarkStart w:id="921" w:name="xdx_90B_eus-gaap--CashUninsuredAmount_iI"/>
      <w:bookmarkEnd w:id="921"/>
      <w:r>
        <w:rPr>
          <w:rFonts w:ascii="Times New Roman;Times;Serif" w:hAnsi="Times New Roman;Times;Serif"/>
          <w:b w:val="false"/>
          <w:i w:val="false"/>
          <w:caps w:val="false"/>
          <w:smallCaps w:val="false"/>
          <w:sz w:val="20"/>
        </w:rPr>
        <w:t>1.5 million and $</w:t>
      </w:r>
      <w:bookmarkStart w:id="922" w:name="xdx_909_eus-gaap--CashUninsuredAmount_iI"/>
      <w:bookmarkEnd w:id="922"/>
      <w:r>
        <w:rPr>
          <w:rFonts w:ascii="Times New Roman;Times;Serif" w:hAnsi="Times New Roman;Times;Serif"/>
          <w:b w:val="false"/>
          <w:i w:val="false"/>
          <w:caps w:val="false"/>
          <w:smallCaps w:val="false"/>
          <w:sz w:val="20"/>
        </w:rPr>
        <w:t>1.4 million, respectively, in excess of the FDIC insurance limit, as of December 31, 2025 and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WFOE in China may be impacted by Chinese economic conditions, changes in regulations and laws, and other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Customer and vendor concentration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December 31, 2025 and 2024, Amazon Vendor and Amazon Seller customers accounted for </w:t>
      </w:r>
      <w:bookmarkStart w:id="923" w:name="xdx_90C_eus-gaap--ConcentrationRiskPerce"/>
      <w:bookmarkEnd w:id="923"/>
      <w:r>
        <w:rPr>
          <w:rFonts w:ascii="Times New Roman;Times;Serif" w:hAnsi="Times New Roman;Times;Serif"/>
          <w:b w:val="false"/>
          <w:i w:val="false"/>
          <w:caps w:val="false"/>
          <w:smallCaps w:val="false"/>
          <w:sz w:val="20"/>
        </w:rPr>
        <w:t xml:space="preserve">75% and </w:t>
      </w:r>
      <w:bookmarkStart w:id="924" w:name="xdx_90C_eus-gaap--ConcentrationRiskPerce"/>
      <w:bookmarkEnd w:id="924"/>
      <w:r>
        <w:rPr>
          <w:rFonts w:ascii="Times New Roman;Times;Serif" w:hAnsi="Times New Roman;Times;Serif"/>
          <w:b w:val="false"/>
          <w:i w:val="false"/>
          <w:caps w:val="false"/>
          <w:smallCaps w:val="false"/>
          <w:sz w:val="20"/>
        </w:rPr>
        <w:t xml:space="preserve">91% of the Company's total revenues, respectively. As of December 31, 2025 and June 30, 2025, respectively, accounts receivable from Amazon Vendor and Amazon Seller accounted for </w:t>
      </w:r>
      <w:bookmarkStart w:id="925" w:name="xdx_901_eus-gaap--ConcentrationRiskPerce"/>
      <w:bookmarkEnd w:id="925"/>
      <w:r>
        <w:rPr>
          <w:rFonts w:ascii="Times New Roman;Times;Serif" w:hAnsi="Times New Roman;Times;Serif"/>
          <w:b w:val="false"/>
          <w:i w:val="false"/>
          <w:caps w:val="false"/>
          <w:smallCaps w:val="false"/>
          <w:sz w:val="20"/>
        </w:rPr>
        <w:t xml:space="preserve">78% and </w:t>
      </w:r>
      <w:bookmarkStart w:id="926" w:name="xdx_90B_eus-gaap--ConcentrationRiskPerce"/>
      <w:bookmarkEnd w:id="926"/>
      <w:r>
        <w:rPr>
          <w:rFonts w:ascii="Times New Roman;Times;Serif" w:hAnsi="Times New Roman;Times;Serif"/>
          <w:b w:val="false"/>
          <w:i w:val="false"/>
          <w:caps w:val="false"/>
          <w:smallCaps w:val="false"/>
          <w:sz w:val="20"/>
        </w:rPr>
        <w:t>72% of the Company’s total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December 31, 2025 and 2024, one supplier accounted for </w:t>
      </w:r>
      <w:bookmarkStart w:id="927" w:name="xdx_90C_eus-gaap--ConcentrationRiskPerce"/>
      <w:bookmarkEnd w:id="927"/>
      <w:r>
        <w:rPr>
          <w:rFonts w:ascii="Times New Roman;Times;Serif" w:hAnsi="Times New Roman;Times;Serif"/>
          <w:b w:val="false"/>
          <w:i w:val="false"/>
          <w:caps w:val="false"/>
          <w:smallCaps w:val="false"/>
          <w:sz w:val="20"/>
        </w:rPr>
        <w:t xml:space="preserve">64% and </w:t>
      </w:r>
      <w:bookmarkStart w:id="928" w:name="xdx_90B_eus-gaap--ConcentrationRiskPerce"/>
      <w:bookmarkEnd w:id="928"/>
      <w:r>
        <w:rPr>
          <w:rFonts w:ascii="Times New Roman;Times;Serif" w:hAnsi="Times New Roman;Times;Serif"/>
          <w:b w:val="false"/>
          <w:i w:val="false"/>
          <w:caps w:val="false"/>
          <w:smallCaps w:val="false"/>
          <w:sz w:val="20"/>
        </w:rPr>
        <w:t xml:space="preserve">8% of the Company's total purchases, respectively. As of December 31, 2025 and June 30, 2025, accounts payable to one supplier accounted for </w:t>
      </w:r>
      <w:bookmarkStart w:id="929" w:name="xdx_90D_eus-gaap--ConcentrationRiskPerce"/>
      <w:bookmarkEnd w:id="929"/>
      <w:r>
        <w:rPr>
          <w:rFonts w:ascii="Times New Roman;Times;Serif" w:hAnsi="Times New Roman;Times;Serif"/>
          <w:b w:val="false"/>
          <w:i w:val="false"/>
          <w:caps w:val="false"/>
          <w:smallCaps w:val="false"/>
          <w:sz w:val="20"/>
        </w:rPr>
        <w:t xml:space="preserve">21% and </w:t>
      </w:r>
      <w:bookmarkStart w:id="930" w:name="xdx_901_eus-gaap--ConcentrationRiskPerce"/>
      <w:bookmarkEnd w:id="930"/>
      <w:r>
        <w:rPr>
          <w:rFonts w:ascii="Times New Roman;Times;Serif" w:hAnsi="Times New Roman;Times;Serif"/>
          <w:b w:val="false"/>
          <w:i w:val="false"/>
          <w:caps w:val="false"/>
          <w:smallCaps w:val="false"/>
          <w:sz w:val="20"/>
        </w:rPr>
        <w:t>10% of the Company’s total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1" w:name="xdx_806_eus-gaap--LesseeOperatingLeasesT"/>
      <w:bookmarkEnd w:id="931"/>
      <w:r>
        <w:rPr>
          <w:rFonts w:ascii="Times New Roman;Times;Serif" w:hAnsi="Times New Roman;Times;Serif"/>
          <w:b/>
          <w:i w:val="false"/>
          <w:caps w:val="false"/>
          <w:smallCaps w:val="false"/>
          <w:sz w:val="20"/>
        </w:rPr>
        <w:t xml:space="preserve">Note 17 - </w:t>
      </w:r>
      <w:bookmarkStart w:id="932" w:name="xdx_826_zeoHzgO6v0Uc"/>
      <w:bookmarkEnd w:id="932"/>
      <w:r>
        <w:rPr>
          <w:rFonts w:ascii="Times New Roman;Times;Serif" w:hAnsi="Times New Roman;Times;Serif"/>
          <w:b/>
          <w:i w:val="false"/>
          <w:caps w:val="false"/>
          <w:smallCaps w:val="false"/>
          <w:sz w:val="20"/>
        </w:rPr>
        <w:t>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upon completion of the acquisition of Anivia Limited, the Company assumed an operating lease for offices located in the People’s Republic of China. In July 2023, the Company renewed the lease contract for its existing office plus additional office space. The lease term is for three years expiring on July 14, 2026. The total base rental fee for these offices is approximately $19,406 per month. In September 2024, the Company terminated the lease contract of the office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the first two months of the Base Rent were abated.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33" w:name="xdx_23F_zlu4RJ9qIcm6"/>
      <w:bookmarkEnd w:id="933"/>
      <w:r>
        <w:rPr>
          <w:caps w:val="false"/>
          <w:smallCaps w:val="false"/>
        </w:rPr>
        <w:t> </w:t>
      </w:r>
    </w:p>
    <w:p>
      <w:pPr>
        <w:pStyle w:val="TextBody"/>
        <w:bidi w:val="0"/>
        <w:spacing w:before="0" w:after="0"/>
        <w:ind w:left="0" w:right="0" w:hanging="0"/>
        <w:jc w:val="both"/>
        <w:rPr>
          <w:caps w:val="false"/>
          <w:smallCaps w:val="false"/>
        </w:rPr>
      </w:pPr>
      <w:bookmarkStart w:id="934" w:name="xdx_23F_zmr5HvxNejff"/>
      <w:bookmarkEnd w:id="93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935" w:name="xdx_236_zyls4qUjYOad"/>
      <w:bookmarkEnd w:id="9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did not start under the original agreement as the construction was not completed. On February 23, 2022, the Company entered into an amended agreement to extend the lease term to 74 months. Under the amended agreement, the lease commenced on February 10, 2022, with rent payments commencing May 11, 2022 and the lease expiring on May 31, 2028. The base rental fee is $114,249, increasing gradually over time to $140,079 per month through the expiration date of May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2022, the Company leased another fulfillment center in Duarte, California. The base rental fee is $56,000 to $59,410 per month through April 30, 2025. The lease had been expired without renewal since May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DHS entered into a sublease agreement with a third-party entity for office space in Shenzhen. The lease term is for one year from October 1, 2024 to September 30, 2025. The lease is treated as short-term lease and the base rental fee is approximately $10,000 per month.</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36" w:name="xdx_892_eus-gaap--LeaseCostTableTextBloc"/>
      <w:bookmarkStart w:id="937" w:name="xdx_892_eus-gaap--LeaseCostTableTextBloc"/>
      <w:bookmarkEnd w:id="937"/>
    </w:p>
    <w:tbl>
      <w:tblPr>
        <w:tblW w:w="10205" w:type="dxa"/>
        <w:jc w:val="left"/>
        <w:tblInd w:w="0" w:type="dxa"/>
        <w:tblLayout w:type="fixed"/>
        <w:tblCellMar>
          <w:top w:w="0" w:type="dxa"/>
          <w:left w:w="0" w:type="dxa"/>
          <w:bottom w:w="0" w:type="dxa"/>
          <w:right w:w="0" w:type="dxa"/>
        </w:tblCellMar>
      </w:tblPr>
      <w:tblGrid>
        <w:gridCol w:w="7354"/>
        <w:gridCol w:w="60"/>
        <w:gridCol w:w="178"/>
        <w:gridCol w:w="1021"/>
        <w:gridCol w:w="75"/>
        <w:gridCol w:w="75"/>
        <w:gridCol w:w="178"/>
        <w:gridCol w:w="1185"/>
        <w:gridCol w:w="79"/>
      </w:tblGrid>
      <w:tr>
        <w:trPr/>
        <w:tc>
          <w:tcPr>
            <w:tcW w:w="7354" w:type="dxa"/>
            <w:tcBorders/>
            <w:shd w:fill="FFFFFF" w:val="clear"/>
            <w:vAlign w:val="center"/>
          </w:tcPr>
          <w:p>
            <w:pPr>
              <w:pStyle w:val="TableContents"/>
              <w:bidi w:val="0"/>
              <w:spacing w:before="0" w:after="283"/>
              <w:jc w:val="left"/>
              <w:rPr/>
            </w:pPr>
            <w:bookmarkStart w:id="938" w:name="xdx_8B8_zIFEwL3Cwy8e"/>
            <w:bookmarkEnd w:id="938"/>
            <w:r>
              <w:rPr/>
              <w:t>Schedule of lease cost and other information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7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2" w:type="dxa"/>
            <w:gridSpan w:val="6"/>
            <w:tcBorders/>
            <w:vAlign w:val="center"/>
          </w:tcPr>
          <w:p>
            <w:pPr>
              <w:pStyle w:val="TableContents"/>
              <w:bidi w:val="0"/>
              <w:spacing w:before="0" w:after="283"/>
              <w:jc w:val="center"/>
              <w:rPr/>
            </w:pPr>
            <w:r>
              <w:rPr/>
              <w:t>For the Three Months Ended</w:t>
              <w:br/>
              <w:t>December 31,</w:t>
            </w:r>
          </w:p>
        </w:tc>
        <w:tc>
          <w:tcPr>
            <w:tcW w:w="79" w:type="dxa"/>
            <w:tcBorders/>
            <w:vAlign w:val="center"/>
          </w:tcPr>
          <w:p>
            <w:pPr>
              <w:pStyle w:val="TableContents"/>
              <w:bidi w:val="0"/>
              <w:spacing w:before="0" w:after="283"/>
              <w:jc w:val="left"/>
              <w:rPr/>
            </w:pPr>
            <w:r>
              <w:rPr/>
              <w:t> </w:t>
            </w:r>
          </w:p>
        </w:tc>
      </w:tr>
      <w:tr>
        <w:trPr/>
        <w:tc>
          <w:tcPr>
            <w:tcW w:w="7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9" w:type="dxa"/>
            <w:tcBorders/>
            <w:vAlign w:val="center"/>
          </w:tcPr>
          <w:p>
            <w:pPr>
              <w:pStyle w:val="TableContents"/>
              <w:bidi w:val="0"/>
              <w:spacing w:before="0" w:after="283"/>
              <w:jc w:val="left"/>
              <w:rPr/>
            </w:pPr>
            <w:r>
              <w:rPr/>
              <w:t> </w:t>
            </w:r>
          </w:p>
        </w:tc>
      </w:tr>
      <w:tr>
        <w:trPr/>
        <w:tc>
          <w:tcPr>
            <w:tcW w:w="7354" w:type="dxa"/>
            <w:tcBorders/>
            <w:shd w:fill="EEEEEE" w:val="clear"/>
            <w:vAlign w:val="center"/>
          </w:tcPr>
          <w:p>
            <w:pPr>
              <w:pStyle w:val="TableContents"/>
              <w:bidi w:val="0"/>
              <w:spacing w:before="0" w:after="283"/>
              <w:jc w:val="left"/>
              <w:rPr>
                <w:u w:val="single"/>
              </w:rPr>
            </w:pPr>
            <w:r>
              <w:rPr>
                <w:u w:val="single"/>
              </w:rPr>
              <w:t>Lease cost</w:t>
            </w:r>
          </w:p>
        </w:tc>
        <w:tc>
          <w:tcPr>
            <w:tcW w:w="60"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pPr>
            <w:r>
              <w:rPr/>
              <w:t> </w:t>
            </w:r>
          </w:p>
        </w:tc>
        <w:tc>
          <w:tcPr>
            <w:tcW w:w="79" w:type="dxa"/>
            <w:tcBorders/>
            <w:shd w:fill="EEEEEE" w:val="clear"/>
            <w:vAlign w:val="center"/>
          </w:tcPr>
          <w:p>
            <w:pPr>
              <w:pStyle w:val="TableContents"/>
              <w:bidi w:val="0"/>
              <w:spacing w:before="0" w:after="283"/>
              <w:jc w:val="left"/>
              <w:rPr/>
            </w:pPr>
            <w:r>
              <w:rPr/>
              <w:t> </w:t>
            </w:r>
          </w:p>
        </w:tc>
      </w:tr>
      <w:tr>
        <w:trPr/>
        <w:tc>
          <w:tcPr>
            <w:tcW w:w="7354" w:type="dxa"/>
            <w:tcBorders/>
            <w:shd w:fill="FFFFFF" w:val="clear"/>
            <w:vAlign w:val="center"/>
          </w:tcPr>
          <w:p>
            <w:pPr>
              <w:pStyle w:val="TableContents"/>
              <w:bidi w:val="0"/>
              <w:spacing w:before="0" w:after="283"/>
              <w:jc w:val="left"/>
              <w:rPr/>
            </w:pPr>
            <w:r>
              <w:rPr/>
              <w:t>Operating lease cost (included in G&amp;A in the Company's statement of operations)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bookmarkStart w:id="939" w:name="xdx_984_eus-gaap--OperatingLeaseCost_c20"/>
            <w:bookmarkEnd w:id="939"/>
          </w:p>
        </w:tc>
        <w:tc>
          <w:tcPr>
            <w:tcW w:w="1021" w:type="dxa"/>
            <w:tcBorders/>
            <w:shd w:fill="FFFFFF" w:val="clear"/>
            <w:vAlign w:val="center"/>
          </w:tcPr>
          <w:p>
            <w:pPr>
              <w:pStyle w:val="TableContents"/>
              <w:bidi w:val="0"/>
              <w:spacing w:before="0" w:after="283"/>
              <w:jc w:val="right"/>
              <w:rPr/>
            </w:pPr>
            <w:r>
              <w:rPr/>
              <w:t>361,746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bookmarkStart w:id="940" w:name="xdx_987_eus-gaap--OperatingLeaseCost_c20"/>
            <w:bookmarkEnd w:id="940"/>
          </w:p>
        </w:tc>
        <w:tc>
          <w:tcPr>
            <w:tcW w:w="1185" w:type="dxa"/>
            <w:tcBorders/>
            <w:shd w:fill="FFFFFF" w:val="clear"/>
            <w:vAlign w:val="center"/>
          </w:tcPr>
          <w:p>
            <w:pPr>
              <w:pStyle w:val="TableContents"/>
              <w:bidi w:val="0"/>
              <w:spacing w:before="0" w:after="283"/>
              <w:jc w:val="right"/>
              <w:rPr/>
            </w:pPr>
            <w:r>
              <w:rPr/>
              <w:t>534,836</w:t>
            </w:r>
          </w:p>
        </w:tc>
        <w:tc>
          <w:tcPr>
            <w:tcW w:w="79" w:type="dxa"/>
            <w:tcBorders/>
            <w:shd w:fill="FFFFFF" w:val="clear"/>
            <w:vAlign w:val="center"/>
          </w:tcPr>
          <w:p>
            <w:pPr>
              <w:pStyle w:val="TableContents"/>
              <w:bidi w:val="0"/>
              <w:spacing w:before="0" w:after="283"/>
              <w:jc w:val="left"/>
              <w:rPr/>
            </w:pPr>
            <w:r>
              <w:rPr/>
              <w:t> </w:t>
            </w:r>
          </w:p>
        </w:tc>
      </w:tr>
      <w:tr>
        <w:trPr/>
        <w:tc>
          <w:tcPr>
            <w:tcW w:w="7354" w:type="dxa"/>
            <w:tcBorders/>
            <w:shd w:fill="EEEEEE" w:val="clear"/>
            <w:vAlign w:val="center"/>
          </w:tcPr>
          <w:p>
            <w:pPr>
              <w:pStyle w:val="TableContents"/>
              <w:bidi w:val="0"/>
              <w:spacing w:before="0" w:after="283"/>
              <w:jc w:val="left"/>
              <w:rPr/>
            </w:pPr>
            <w:r>
              <w:rPr/>
              <w:t>Short-term lease expenses</w:t>
            </w:r>
          </w:p>
        </w:tc>
        <w:tc>
          <w:tcPr>
            <w:tcW w:w="60"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bookmarkStart w:id="941" w:name="xdx_987_eus-gaap--ShortTermLeaseCost_d0_"/>
            <w:bookmarkEnd w:id="941"/>
          </w:p>
        </w:tc>
        <w:tc>
          <w:tcPr>
            <w:tcW w:w="1021" w:type="dxa"/>
            <w:tcBorders/>
            <w:shd w:fill="EEEEEE" w:val="cle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bookmarkStart w:id="942" w:name="xdx_989_eus-gaap--ShortTermLeaseCost_c20"/>
            <w:bookmarkEnd w:id="942"/>
          </w:p>
        </w:tc>
        <w:tc>
          <w:tcPr>
            <w:tcW w:w="1185" w:type="dxa"/>
            <w:tcBorders/>
            <w:shd w:fill="EEEEEE" w:val="clear"/>
            <w:vAlign w:val="center"/>
          </w:tcPr>
          <w:p>
            <w:pPr>
              <w:pStyle w:val="TableContents"/>
              <w:bidi w:val="0"/>
              <w:spacing w:before="0" w:after="283"/>
              <w:jc w:val="right"/>
              <w:rPr/>
            </w:pPr>
            <w:r>
              <w:rPr/>
              <w:t>28,880</w:t>
            </w:r>
          </w:p>
        </w:tc>
        <w:tc>
          <w:tcPr>
            <w:tcW w:w="79" w:type="dxa"/>
            <w:tcBorders/>
            <w:shd w:fill="EEEEEE" w:val="clear"/>
            <w:vAlign w:val="center"/>
          </w:tcPr>
          <w:p>
            <w:pPr>
              <w:pStyle w:val="TableContents"/>
              <w:bidi w:val="0"/>
              <w:spacing w:before="0" w:after="283"/>
              <w:jc w:val="left"/>
              <w:rPr/>
            </w:pPr>
            <w:r>
              <w:rPr/>
              <w:t> </w:t>
            </w:r>
          </w:p>
        </w:tc>
      </w:tr>
      <w:tr>
        <w:trPr/>
        <w:tc>
          <w:tcPr>
            <w:tcW w:w="73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7354" w:type="dxa"/>
            <w:tcBorders/>
            <w:shd w:fill="EEEEEE" w:val="clear"/>
            <w:vAlign w:val="center"/>
          </w:tcPr>
          <w:p>
            <w:pPr>
              <w:pStyle w:val="TableContents"/>
              <w:bidi w:val="0"/>
              <w:spacing w:before="0" w:after="283"/>
              <w:jc w:val="left"/>
              <w:rPr>
                <w:u w:val="single"/>
              </w:rPr>
            </w:pPr>
            <w:r>
              <w:rPr>
                <w:u w:val="single"/>
              </w:rPr>
              <w:t>Other information</w:t>
            </w:r>
          </w:p>
        </w:tc>
        <w:tc>
          <w:tcPr>
            <w:tcW w:w="60"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pPr>
            <w:r>
              <w:rPr/>
              <w:t> </w:t>
            </w:r>
          </w:p>
        </w:tc>
        <w:tc>
          <w:tcPr>
            <w:tcW w:w="79" w:type="dxa"/>
            <w:tcBorders/>
            <w:shd w:fill="EEEEEE" w:val="clear"/>
            <w:vAlign w:val="center"/>
          </w:tcPr>
          <w:p>
            <w:pPr>
              <w:pStyle w:val="TableContents"/>
              <w:bidi w:val="0"/>
              <w:spacing w:before="0" w:after="283"/>
              <w:jc w:val="left"/>
              <w:rPr/>
            </w:pPr>
            <w:r>
              <w:rPr/>
              <w:t> </w:t>
            </w:r>
          </w:p>
        </w:tc>
      </w:tr>
      <w:tr>
        <w:trPr/>
        <w:tc>
          <w:tcPr>
            <w:tcW w:w="7354" w:type="dxa"/>
            <w:tcBorders/>
            <w:shd w:fill="FFFFFF" w:val="clear"/>
            <w:vAlign w:val="center"/>
          </w:tcPr>
          <w:p>
            <w:pPr>
              <w:pStyle w:val="TableContents"/>
              <w:bidi w:val="0"/>
              <w:spacing w:before="0" w:after="283"/>
              <w:jc w:val="left"/>
              <w:rPr/>
            </w:pPr>
            <w:r>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bookmarkStart w:id="943" w:name="xdx_98F_eus-gaap--OperatingLeasePayments"/>
            <w:bookmarkEnd w:id="943"/>
          </w:p>
        </w:tc>
        <w:tc>
          <w:tcPr>
            <w:tcW w:w="1021" w:type="dxa"/>
            <w:tcBorders/>
            <w:shd w:fill="FFFFFF" w:val="clear"/>
            <w:vAlign w:val="center"/>
          </w:tcPr>
          <w:p>
            <w:pPr>
              <w:pStyle w:val="TableContents"/>
              <w:bidi w:val="0"/>
              <w:spacing w:before="0" w:after="283"/>
              <w:jc w:val="right"/>
              <w:rPr/>
            </w:pPr>
            <w:r>
              <w:rPr/>
              <w:t>378,512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bookmarkStart w:id="944" w:name="xdx_988_eus-gaap--OperatingLeasePayments"/>
            <w:bookmarkEnd w:id="944"/>
          </w:p>
        </w:tc>
        <w:tc>
          <w:tcPr>
            <w:tcW w:w="1185" w:type="dxa"/>
            <w:tcBorders/>
            <w:shd w:fill="FFFFFF" w:val="clear"/>
            <w:vAlign w:val="center"/>
          </w:tcPr>
          <w:p>
            <w:pPr>
              <w:pStyle w:val="TableContents"/>
              <w:bidi w:val="0"/>
              <w:spacing w:before="0" w:after="283"/>
              <w:jc w:val="right"/>
              <w:rPr/>
            </w:pPr>
            <w:r>
              <w:rPr/>
              <w:t>544,820</w:t>
            </w:r>
          </w:p>
        </w:tc>
        <w:tc>
          <w:tcPr>
            <w:tcW w:w="79" w:type="dxa"/>
            <w:tcBorders/>
            <w:shd w:fill="FFFFFF" w:val="clear"/>
            <w:vAlign w:val="center"/>
          </w:tcPr>
          <w:p>
            <w:pPr>
              <w:pStyle w:val="TableContents"/>
              <w:bidi w:val="0"/>
              <w:spacing w:before="0" w:after="283"/>
              <w:jc w:val="left"/>
              <w:rPr/>
            </w:pPr>
            <w:r>
              <w:rPr/>
              <w:t> </w:t>
            </w:r>
          </w:p>
        </w:tc>
      </w:tr>
      <w:tr>
        <w:trPr/>
        <w:tc>
          <w:tcPr>
            <w:tcW w:w="7354" w:type="dxa"/>
            <w:tcBorders/>
            <w:shd w:fill="EEEEEE" w:val="clear"/>
            <w:vAlign w:val="center"/>
          </w:tcPr>
          <w:p>
            <w:pPr>
              <w:pStyle w:val="TableContents"/>
              <w:bidi w:val="0"/>
              <w:spacing w:before="0" w:after="283"/>
              <w:jc w:val="left"/>
              <w:rPr/>
            </w:pPr>
            <w:r>
              <w:rPr/>
              <w:t>Remaining term in years</w:t>
            </w:r>
          </w:p>
        </w:tc>
        <w:tc>
          <w:tcPr>
            <w:tcW w:w="60"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bookmarkStart w:id="945" w:name="xdx_901_eus-gaap--LesseeOperatingLeaseRe"/>
            <w:bookmarkEnd w:id="945"/>
            <w:r>
              <w:rPr/>
              <w:t>2.42</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sz w:val="20"/>
              </w:rPr>
            </w:pPr>
            <w:bookmarkStart w:id="946" w:name="xdx_907_eus-gaap--LesseeOperatingLeaseRe"/>
            <w:bookmarkEnd w:id="946"/>
            <w:r>
              <w:rPr>
                <w:sz w:val="20"/>
              </w:rPr>
              <w:t xml:space="preserve">0.33 – </w:t>
            </w:r>
            <w:bookmarkStart w:id="947" w:name="xdx_906_eus-gaap--LesseeOperatingLeaseRe"/>
            <w:bookmarkEnd w:id="947"/>
            <w:r>
              <w:rPr>
                <w:sz w:val="20"/>
              </w:rPr>
              <w:t>3.42</w:t>
            </w:r>
          </w:p>
        </w:tc>
        <w:tc>
          <w:tcPr>
            <w:tcW w:w="79" w:type="dxa"/>
            <w:tcBorders/>
            <w:shd w:fill="EEEEEE" w:val="clear"/>
            <w:vAlign w:val="center"/>
          </w:tcPr>
          <w:p>
            <w:pPr>
              <w:pStyle w:val="TableContents"/>
              <w:bidi w:val="0"/>
              <w:spacing w:before="0" w:after="283"/>
              <w:jc w:val="left"/>
              <w:rPr/>
            </w:pPr>
            <w:r>
              <w:rPr/>
              <w:t> </w:t>
            </w:r>
          </w:p>
        </w:tc>
      </w:tr>
      <w:tr>
        <w:trPr/>
        <w:tc>
          <w:tcPr>
            <w:tcW w:w="7354" w:type="dxa"/>
            <w:tcBorders/>
            <w:shd w:fill="FFFFFF" w:val="clear"/>
            <w:vAlign w:val="center"/>
          </w:tcPr>
          <w:p>
            <w:pPr>
              <w:pStyle w:val="TableContents"/>
              <w:bidi w:val="0"/>
              <w:spacing w:before="0" w:after="283"/>
              <w:jc w:val="left"/>
              <w:rPr/>
            </w:pPr>
            <w:r>
              <w:rPr/>
              <w:t>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bookmarkStart w:id="948" w:name="xdx_908_eus-gaap--LesseeOperatingLeaseDi"/>
            <w:bookmarkEnd w:id="948"/>
            <w:r>
              <w:rPr/>
              <w:t>5%</w:t>
            </w:r>
          </w:p>
        </w:tc>
        <w:tc>
          <w:tcPr>
            <w:tcW w:w="75"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sz w:val="20"/>
              </w:rPr>
            </w:pPr>
            <w:bookmarkStart w:id="949" w:name="xdx_909_eus-gaap--LesseeOperatingLeaseDi"/>
            <w:bookmarkEnd w:id="949"/>
            <w:r>
              <w:rPr>
                <w:sz w:val="20"/>
              </w:rPr>
              <w:t xml:space="preserve">5 - </w:t>
            </w:r>
            <w:bookmarkStart w:id="950" w:name="xdx_901_eus-gaap--LesseeOperatingLeaseDi"/>
            <w:bookmarkEnd w:id="950"/>
            <w:r>
              <w:rPr>
                <w:sz w:val="20"/>
              </w:rPr>
              <w:t>6%</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6"/>
        <w:gridCol w:w="60"/>
        <w:gridCol w:w="161"/>
        <w:gridCol w:w="922"/>
        <w:gridCol w:w="68"/>
        <w:gridCol w:w="68"/>
        <w:gridCol w:w="161"/>
        <w:gridCol w:w="1130"/>
        <w:gridCol w:w="79"/>
      </w:tblGrid>
      <w:tr>
        <w:trPr/>
        <w:tc>
          <w:tcPr>
            <w:tcW w:w="7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vAlign w:val="center"/>
          </w:tcPr>
          <w:p>
            <w:pPr>
              <w:pStyle w:val="TableContents"/>
              <w:bidi w:val="0"/>
              <w:spacing w:before="0" w:after="283"/>
              <w:jc w:val="center"/>
              <w:rPr/>
            </w:pPr>
            <w:r>
              <w:rPr/>
              <w:t>For the Six Months Ended</w:t>
              <w:br/>
              <w:t>December 31,</w:t>
            </w:r>
          </w:p>
        </w:tc>
        <w:tc>
          <w:tcPr>
            <w:tcW w:w="79" w:type="dxa"/>
            <w:tcBorders/>
            <w:vAlign w:val="center"/>
          </w:tcPr>
          <w:p>
            <w:pPr>
              <w:pStyle w:val="TableContents"/>
              <w:bidi w:val="0"/>
              <w:spacing w:before="0" w:after="283"/>
              <w:jc w:val="left"/>
              <w:rPr/>
            </w:pPr>
            <w:r>
              <w:rPr/>
              <w:t> </w:t>
            </w:r>
          </w:p>
        </w:tc>
      </w:tr>
      <w:tr>
        <w:trPr/>
        <w:tc>
          <w:tcPr>
            <w:tcW w:w="7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9" w:type="dxa"/>
            <w:tcBorders/>
            <w:vAlign w:val="center"/>
          </w:tcPr>
          <w:p>
            <w:pPr>
              <w:pStyle w:val="TableContents"/>
              <w:bidi w:val="0"/>
              <w:spacing w:before="0" w:after="283"/>
              <w:jc w:val="left"/>
              <w:rPr/>
            </w:pPr>
            <w:r>
              <w:rPr/>
              <w:t> </w:t>
            </w:r>
          </w:p>
        </w:tc>
      </w:tr>
      <w:tr>
        <w:trPr/>
        <w:tc>
          <w:tcPr>
            <w:tcW w:w="7556" w:type="dxa"/>
            <w:tcBorders/>
            <w:shd w:fill="EEEEEE" w:val="clear"/>
            <w:vAlign w:val="center"/>
          </w:tcPr>
          <w:p>
            <w:pPr>
              <w:pStyle w:val="TableContents"/>
              <w:bidi w:val="0"/>
              <w:spacing w:before="0" w:after="283"/>
              <w:jc w:val="left"/>
              <w:rPr>
                <w:u w:val="single"/>
              </w:rPr>
            </w:pPr>
            <w:r>
              <w:rPr>
                <w:u w:val="single"/>
              </w:rPr>
              <w:t>Lease cost</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2" w:type="dxa"/>
            <w:tcBorders/>
            <w:shd w:fill="EEEEEE" w:val="clear"/>
            <w:vAlign w:val="center"/>
          </w:tcPr>
          <w:p>
            <w:pPr>
              <w:pStyle w:val="TableContents"/>
              <w:bidi w:val="0"/>
              <w:spacing w:before="0" w:after="283"/>
              <w:jc w:val="right"/>
              <w:rPr/>
            </w:pPr>
            <w:r>
              <w:rPr/>
              <w:t> </w:t>
            </w:r>
          </w:p>
        </w:tc>
        <w:tc>
          <w:tcPr>
            <w:tcW w:w="6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1130" w:type="dxa"/>
            <w:tcBorders/>
            <w:shd w:fill="EEEEEE" w:val="clear"/>
            <w:vAlign w:val="center"/>
          </w:tcPr>
          <w:p>
            <w:pPr>
              <w:pStyle w:val="TableContents"/>
              <w:bidi w:val="0"/>
              <w:spacing w:before="0" w:after="283"/>
              <w:jc w:val="right"/>
              <w:rPr/>
            </w:pPr>
            <w:r>
              <w:rPr/>
              <w:t> </w:t>
            </w:r>
          </w:p>
        </w:tc>
        <w:tc>
          <w:tcPr>
            <w:tcW w:w="79" w:type="dxa"/>
            <w:tcBorders/>
            <w:shd w:fill="EEEEEE"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283"/>
              <w:jc w:val="left"/>
              <w:rPr/>
            </w:pPr>
            <w:r>
              <w:rPr/>
              <w:t>Operating lease cost (included in G&amp;A in the Company's statement of operations)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bookmarkStart w:id="951" w:name="xdx_98D_eus-gaap--OperatingLeaseCost_c20"/>
            <w:bookmarkEnd w:id="951"/>
          </w:p>
        </w:tc>
        <w:tc>
          <w:tcPr>
            <w:tcW w:w="922" w:type="dxa"/>
            <w:tcBorders/>
            <w:shd w:fill="FFFFFF" w:val="clear"/>
            <w:vAlign w:val="center"/>
          </w:tcPr>
          <w:p>
            <w:pPr>
              <w:pStyle w:val="TableContents"/>
              <w:bidi w:val="0"/>
              <w:spacing w:before="0" w:after="283"/>
              <w:jc w:val="right"/>
              <w:rPr/>
            </w:pPr>
            <w:r>
              <w:rPr/>
              <w:t>723,491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bookmarkStart w:id="952" w:name="xdx_98E_eus-gaap--OperatingLeaseCost_c20"/>
            <w:bookmarkEnd w:id="952"/>
          </w:p>
        </w:tc>
        <w:tc>
          <w:tcPr>
            <w:tcW w:w="1130" w:type="dxa"/>
            <w:tcBorders/>
            <w:shd w:fill="FFFFFF" w:val="clear"/>
            <w:vAlign w:val="center"/>
          </w:tcPr>
          <w:p>
            <w:pPr>
              <w:pStyle w:val="TableContents"/>
              <w:bidi w:val="0"/>
              <w:spacing w:before="0" w:after="283"/>
              <w:jc w:val="right"/>
              <w:rPr/>
            </w:pPr>
            <w:r>
              <w:rPr/>
              <w:t>1,264,477</w:t>
            </w:r>
          </w:p>
        </w:tc>
        <w:tc>
          <w:tcPr>
            <w:tcW w:w="79" w:type="dxa"/>
            <w:tcBorders/>
            <w:shd w:fill="FFFFFF" w:val="clear"/>
            <w:vAlign w:val="center"/>
          </w:tcPr>
          <w:p>
            <w:pPr>
              <w:pStyle w:val="TableContents"/>
              <w:bidi w:val="0"/>
              <w:spacing w:before="0" w:after="283"/>
              <w:jc w:val="left"/>
              <w:rPr/>
            </w:pPr>
            <w:r>
              <w:rPr/>
              <w:t> </w:t>
            </w:r>
          </w:p>
        </w:tc>
      </w:tr>
      <w:tr>
        <w:trPr/>
        <w:tc>
          <w:tcPr>
            <w:tcW w:w="7556" w:type="dxa"/>
            <w:tcBorders/>
            <w:shd w:fill="EEEEEE" w:val="clear"/>
            <w:vAlign w:val="center"/>
          </w:tcPr>
          <w:p>
            <w:pPr>
              <w:pStyle w:val="TableContents"/>
              <w:bidi w:val="0"/>
              <w:spacing w:before="0" w:after="283"/>
              <w:jc w:val="left"/>
              <w:rPr/>
            </w:pPr>
            <w:r>
              <w:rPr/>
              <w:t>Short-term lease expenses</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bookmarkStart w:id="953" w:name="xdx_98A_eus-gaap--ShortTermLeaseCost_c20"/>
            <w:bookmarkEnd w:id="953"/>
          </w:p>
        </w:tc>
        <w:tc>
          <w:tcPr>
            <w:tcW w:w="922" w:type="dxa"/>
            <w:tcBorders/>
            <w:shd w:fill="EEEEEE" w:val="clear"/>
            <w:vAlign w:val="center"/>
          </w:tcPr>
          <w:p>
            <w:pPr>
              <w:pStyle w:val="TableContents"/>
              <w:bidi w:val="0"/>
              <w:spacing w:before="0" w:after="283"/>
              <w:jc w:val="right"/>
              <w:rPr/>
            </w:pPr>
            <w:r>
              <w:rPr/>
              <w:t>9,781</w:t>
            </w:r>
          </w:p>
        </w:tc>
        <w:tc>
          <w:tcPr>
            <w:tcW w:w="6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bookmarkStart w:id="954" w:name="xdx_98F_eus-gaap--ShortTermLeaseCost_c20"/>
            <w:bookmarkEnd w:id="954"/>
          </w:p>
        </w:tc>
        <w:tc>
          <w:tcPr>
            <w:tcW w:w="1130" w:type="dxa"/>
            <w:tcBorders/>
            <w:shd w:fill="EEEEEE" w:val="clear"/>
            <w:vAlign w:val="center"/>
          </w:tcPr>
          <w:p>
            <w:pPr>
              <w:pStyle w:val="TableContents"/>
              <w:bidi w:val="0"/>
              <w:spacing w:before="0" w:after="283"/>
              <w:jc w:val="right"/>
              <w:rPr/>
            </w:pPr>
            <w:r>
              <w:rPr/>
              <w:t>224,068</w:t>
            </w:r>
          </w:p>
        </w:tc>
        <w:tc>
          <w:tcPr>
            <w:tcW w:w="79" w:type="dxa"/>
            <w:tcBorders/>
            <w:shd w:fill="EEEEEE"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7556" w:type="dxa"/>
            <w:tcBorders/>
            <w:shd w:fill="EEEEEE" w:val="clear"/>
            <w:vAlign w:val="center"/>
          </w:tcPr>
          <w:p>
            <w:pPr>
              <w:pStyle w:val="TableContents"/>
              <w:bidi w:val="0"/>
              <w:spacing w:before="0" w:after="283"/>
              <w:jc w:val="left"/>
              <w:rPr>
                <w:u w:val="single"/>
              </w:rPr>
            </w:pPr>
            <w:r>
              <w:rPr>
                <w:u w:val="single"/>
              </w:rPr>
              <w:t>Other information</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2" w:type="dxa"/>
            <w:tcBorders/>
            <w:shd w:fill="EEEEEE" w:val="clear"/>
            <w:vAlign w:val="center"/>
          </w:tcPr>
          <w:p>
            <w:pPr>
              <w:pStyle w:val="TableContents"/>
              <w:bidi w:val="0"/>
              <w:spacing w:before="0" w:after="283"/>
              <w:jc w:val="right"/>
              <w:rPr/>
            </w:pPr>
            <w:r>
              <w:rPr/>
              <w:t> </w:t>
            </w:r>
          </w:p>
        </w:tc>
        <w:tc>
          <w:tcPr>
            <w:tcW w:w="6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1130" w:type="dxa"/>
            <w:tcBorders/>
            <w:shd w:fill="EEEEEE" w:val="clear"/>
            <w:vAlign w:val="center"/>
          </w:tcPr>
          <w:p>
            <w:pPr>
              <w:pStyle w:val="TableContents"/>
              <w:bidi w:val="0"/>
              <w:spacing w:before="0" w:after="283"/>
              <w:jc w:val="right"/>
              <w:rPr/>
            </w:pPr>
            <w:r>
              <w:rPr/>
              <w:t> </w:t>
            </w:r>
          </w:p>
        </w:tc>
        <w:tc>
          <w:tcPr>
            <w:tcW w:w="79" w:type="dxa"/>
            <w:tcBorders/>
            <w:shd w:fill="EEEEEE"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283"/>
              <w:jc w:val="left"/>
              <w:rPr/>
            </w:pPr>
            <w:r>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bookmarkStart w:id="955" w:name="xdx_989_eus-gaap--OperatingLeasePayments"/>
            <w:bookmarkEnd w:id="955"/>
          </w:p>
        </w:tc>
        <w:tc>
          <w:tcPr>
            <w:tcW w:w="922" w:type="dxa"/>
            <w:tcBorders/>
            <w:shd w:fill="FFFFFF" w:val="clear"/>
            <w:vAlign w:val="center"/>
          </w:tcPr>
          <w:p>
            <w:pPr>
              <w:pStyle w:val="TableContents"/>
              <w:bidi w:val="0"/>
              <w:spacing w:before="0" w:after="283"/>
              <w:jc w:val="right"/>
              <w:rPr/>
            </w:pPr>
            <w:r>
              <w:rPr/>
              <w:t>757,024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bookmarkStart w:id="956" w:name="xdx_988_eus-gaap--OperatingLeasePayments"/>
            <w:bookmarkEnd w:id="956"/>
          </w:p>
        </w:tc>
        <w:tc>
          <w:tcPr>
            <w:tcW w:w="1130" w:type="dxa"/>
            <w:tcBorders/>
            <w:shd w:fill="FFFFFF" w:val="clear"/>
            <w:vAlign w:val="center"/>
          </w:tcPr>
          <w:p>
            <w:pPr>
              <w:pStyle w:val="TableContents"/>
              <w:bidi w:val="0"/>
              <w:spacing w:before="0" w:after="283"/>
              <w:jc w:val="right"/>
              <w:rPr/>
            </w:pPr>
            <w:r>
              <w:rPr/>
              <w:t>1,285,143</w:t>
            </w:r>
          </w:p>
        </w:tc>
        <w:tc>
          <w:tcPr>
            <w:tcW w:w="79" w:type="dxa"/>
            <w:tcBorders/>
            <w:shd w:fill="FFFFFF" w:val="clear"/>
            <w:vAlign w:val="center"/>
          </w:tcPr>
          <w:p>
            <w:pPr>
              <w:pStyle w:val="TableContents"/>
              <w:bidi w:val="0"/>
              <w:spacing w:before="0" w:after="283"/>
              <w:jc w:val="left"/>
              <w:rPr/>
            </w:pPr>
            <w:r>
              <w:rPr/>
              <w:t> </w:t>
            </w:r>
          </w:p>
        </w:tc>
      </w:tr>
      <w:tr>
        <w:trPr/>
        <w:tc>
          <w:tcPr>
            <w:tcW w:w="7556" w:type="dxa"/>
            <w:tcBorders/>
            <w:shd w:fill="EEEEEE" w:val="clear"/>
            <w:vAlign w:val="center"/>
          </w:tcPr>
          <w:p>
            <w:pPr>
              <w:pStyle w:val="TableContents"/>
              <w:bidi w:val="0"/>
              <w:spacing w:before="0" w:after="283"/>
              <w:jc w:val="left"/>
              <w:rPr/>
            </w:pPr>
            <w:r>
              <w:rPr/>
              <w:t>Remaining term in years</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2" w:type="dxa"/>
            <w:tcBorders/>
            <w:shd w:fill="EEEEEE" w:val="clear"/>
            <w:vAlign w:val="center"/>
          </w:tcPr>
          <w:p>
            <w:pPr>
              <w:pStyle w:val="TableContents"/>
              <w:bidi w:val="0"/>
              <w:spacing w:before="0" w:after="283"/>
              <w:jc w:val="right"/>
              <w:rPr/>
            </w:pPr>
            <w:bookmarkStart w:id="957" w:name="xdx_901_eus-gaap--LesseeOperatingLeaseRe"/>
            <w:bookmarkEnd w:id="957"/>
            <w:r>
              <w:rPr/>
              <w:t>2.42</w:t>
            </w:r>
          </w:p>
        </w:tc>
        <w:tc>
          <w:tcPr>
            <w:tcW w:w="6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1130" w:type="dxa"/>
            <w:tcBorders/>
            <w:shd w:fill="EEEEEE" w:val="clear"/>
            <w:vAlign w:val="center"/>
          </w:tcPr>
          <w:p>
            <w:pPr>
              <w:pStyle w:val="TableContents"/>
              <w:bidi w:val="0"/>
              <w:spacing w:before="0" w:after="283"/>
              <w:jc w:val="right"/>
              <w:rPr>
                <w:sz w:val="20"/>
              </w:rPr>
            </w:pPr>
            <w:bookmarkStart w:id="958" w:name="xdx_907_eus-gaap--LesseeOperatingLeaseRe"/>
            <w:bookmarkEnd w:id="958"/>
            <w:r>
              <w:rPr>
                <w:sz w:val="20"/>
              </w:rPr>
              <w:t xml:space="preserve">0.33 – </w:t>
            </w:r>
            <w:bookmarkStart w:id="959" w:name="xdx_906_eus-gaap--LesseeOperatingLeaseRe"/>
            <w:bookmarkEnd w:id="959"/>
            <w:r>
              <w:rPr>
                <w:sz w:val="20"/>
              </w:rPr>
              <w:t>3.42</w:t>
            </w:r>
          </w:p>
        </w:tc>
        <w:tc>
          <w:tcPr>
            <w:tcW w:w="79" w:type="dxa"/>
            <w:tcBorders/>
            <w:shd w:fill="EEEEEE"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283"/>
              <w:jc w:val="left"/>
              <w:rPr/>
            </w:pPr>
            <w:r>
              <w:rPr/>
              <w:t>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bookmarkStart w:id="960" w:name="xdx_908_eus-gaap--LesseeOperatingLeaseDi"/>
            <w:bookmarkEnd w:id="960"/>
            <w:r>
              <w:rPr/>
              <w:t>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sz w:val="20"/>
              </w:rPr>
            </w:pPr>
            <w:bookmarkStart w:id="961" w:name="xdx_909_eus-gaap--LesseeOperatingLeaseDi"/>
            <w:bookmarkEnd w:id="961"/>
            <w:r>
              <w:rPr>
                <w:sz w:val="20"/>
              </w:rPr>
              <w:t xml:space="preserve">5 - </w:t>
            </w:r>
            <w:bookmarkStart w:id="962" w:name="xdx_901_eus-gaap--LesseeOperatingLeaseDi"/>
            <w:bookmarkEnd w:id="962"/>
            <w:r>
              <w:rPr>
                <w:sz w:val="20"/>
              </w:rPr>
              <w:t>6%</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63" w:name="xdx_8A3_z3w2OmmKumj2"/>
      <w:bookmarkEnd w:id="963"/>
      <w:r>
        <w:rPr>
          <w:caps w:val="false"/>
          <w:smallCaps w:val="false"/>
        </w:rPr>
        <w:t> </w:t>
      </w:r>
    </w:p>
    <w:p>
      <w:pPr>
        <w:pStyle w:val="TextBody"/>
        <w:bidi w:val="0"/>
        <w:spacing w:before="0" w:after="0"/>
        <w:ind w:left="0" w:right="0" w:hanging="0"/>
        <w:jc w:val="left"/>
        <w:rPr>
          <w:caps w:val="false"/>
          <w:smallCaps w:val="false"/>
        </w:rPr>
      </w:pPr>
      <w:bookmarkStart w:id="964" w:name="xdx_23B_zUsXvYtJgIUc"/>
      <w:bookmarkEnd w:id="964"/>
      <w:r>
        <w:rPr>
          <w:caps w:val="false"/>
          <w:smallCaps w:val="false"/>
        </w:rPr>
        <w:t> </w:t>
      </w:r>
    </w:p>
    <w:p>
      <w:pPr>
        <w:pStyle w:val="TextBody"/>
        <w:bidi w:val="0"/>
        <w:spacing w:before="0" w:after="0"/>
        <w:ind w:left="0" w:right="0" w:hanging="0"/>
        <w:jc w:val="left"/>
        <w:rPr>
          <w:caps w:val="false"/>
          <w:smallCaps w:val="false"/>
        </w:rPr>
      </w:pPr>
      <w:bookmarkStart w:id="965" w:name="xdx_23C_z4rAw2gdiYHd"/>
      <w:bookmarkEnd w:id="96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966" w:name="xdx_233_zk2RPH8XPys8"/>
      <w:bookmarkEnd w:id="966"/>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balance sheet information related to leases for the period is as follows: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67" w:name="xdx_89B_eus-gaap--ScheduleOfCashFlowSupp"/>
      <w:bookmarkStart w:id="968" w:name="xdx_89B_eus-gaap--ScheduleOfCashFlowSupp"/>
      <w:bookmarkEnd w:id="968"/>
    </w:p>
    <w:tbl>
      <w:tblPr>
        <w:tblW w:w="8980" w:type="dxa"/>
        <w:jc w:val="left"/>
        <w:tblInd w:w="0" w:type="dxa"/>
        <w:tblLayout w:type="fixed"/>
        <w:tblCellMar>
          <w:top w:w="0" w:type="dxa"/>
          <w:left w:w="0" w:type="dxa"/>
          <w:bottom w:w="0" w:type="dxa"/>
          <w:right w:w="0" w:type="dxa"/>
        </w:tblCellMar>
      </w:tblPr>
      <w:tblGrid>
        <w:gridCol w:w="6485"/>
        <w:gridCol w:w="60"/>
        <w:gridCol w:w="140"/>
        <w:gridCol w:w="980"/>
        <w:gridCol w:w="60"/>
        <w:gridCol w:w="60"/>
        <w:gridCol w:w="140"/>
        <w:gridCol w:w="980"/>
        <w:gridCol w:w="75"/>
      </w:tblGrid>
      <w:tr>
        <w:trPr/>
        <w:tc>
          <w:tcPr>
            <w:tcW w:w="6485" w:type="dxa"/>
            <w:tcBorders/>
            <w:vAlign w:val="center"/>
          </w:tcPr>
          <w:p>
            <w:pPr>
              <w:pStyle w:val="TableContents"/>
              <w:bidi w:val="0"/>
              <w:spacing w:before="0" w:after="283"/>
              <w:jc w:val="left"/>
              <w:rPr/>
            </w:pPr>
            <w:bookmarkStart w:id="969" w:name="xdx_8B2_z18UUJLa6X79"/>
            <w:bookmarkEnd w:id="969"/>
            <w:r>
              <w:rPr/>
              <w:t>Schedule of supplemental balance sheet information related to leases</w:t>
            </w:r>
          </w:p>
        </w:tc>
        <w:tc>
          <w:tcPr>
            <w:tcW w:w="60" w:type="dxa"/>
            <w:tcBorders/>
            <w:vAlign w:val="center"/>
          </w:tcPr>
          <w:p>
            <w:pPr>
              <w:pStyle w:val="TableContents"/>
              <w:bidi w:val="0"/>
              <w:spacing w:before="0" w:after="283"/>
              <w:jc w:val="left"/>
              <w:rPr/>
            </w:pPr>
            <w:r>
              <w:rPr/>
              <w:t> </w:t>
            </w:r>
            <w:bookmarkStart w:id="970" w:name="xdx_494_20251231_ziimiSuq5uZh"/>
            <w:bookmarkEnd w:id="970"/>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1" w:name="xdx_498_20250630_zKlhf7M5KMJj"/>
            <w:bookmarkEnd w:id="971"/>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485" w:type="dxa"/>
            <w:tcBorders>
              <w:bottom w:val="single" w:sz="8" w:space="0" w:color="000000"/>
            </w:tcBorders>
            <w:tcMar>
              <w:bottom w:w="28" w:type="dxa"/>
            </w:tcMar>
            <w:vAlign w:val="center"/>
          </w:tcPr>
          <w:p>
            <w:pPr>
              <w:pStyle w:val="TableContents"/>
              <w:bidi w:val="0"/>
              <w:spacing w:before="0" w:after="283"/>
              <w:jc w:val="left"/>
              <w:rPr/>
            </w:pPr>
            <w:r>
              <w:rPr/>
              <w:t>Operating leases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12/31/2025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6/30/2025</w:t>
            </w:r>
          </w:p>
        </w:tc>
        <w:tc>
          <w:tcPr>
            <w:tcW w:w="75" w:type="dxa"/>
            <w:tcBorders/>
            <w:vAlign w:val="center"/>
          </w:tcPr>
          <w:p>
            <w:pPr>
              <w:pStyle w:val="TableContents"/>
              <w:bidi w:val="0"/>
              <w:spacing w:before="0" w:after="283"/>
              <w:jc w:val="left"/>
              <w:rPr/>
            </w:pPr>
            <w:r>
              <w:rPr/>
              <w:t> </w:t>
            </w:r>
            <w:bookmarkStart w:id="972" w:name="xdx_402_eus-gaap--OperatingLeaseRightOfU"/>
            <w:bookmarkEnd w:id="972"/>
          </w:p>
        </w:tc>
      </w:tr>
      <w:tr>
        <w:trPr/>
        <w:tc>
          <w:tcPr>
            <w:tcW w:w="6485" w:type="dxa"/>
            <w:tcBorders/>
            <w:shd w:fill="EEEEEE" w:val="clear"/>
            <w:vAlign w:val="center"/>
          </w:tcPr>
          <w:p>
            <w:pPr>
              <w:pStyle w:val="TableContents"/>
              <w:bidi w:val="0"/>
              <w:spacing w:before="0" w:after="283"/>
              <w:jc w:val="left"/>
              <w:rPr/>
            </w:pPr>
            <w:r>
              <w:rPr/>
              <w:t>Right of use asset - non-current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3,286,752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3,915,539</w:t>
            </w:r>
          </w:p>
        </w:tc>
        <w:tc>
          <w:tcPr>
            <w:tcW w:w="75" w:type="dxa"/>
            <w:tcBorders/>
            <w:shd w:fill="EEEEEE"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73" w:name="xdx_404_eus-gaap--OperatingLeaseLiabilit"/>
            <w:bookmarkEnd w:id="973"/>
          </w:p>
        </w:tc>
      </w:tr>
      <w:tr>
        <w:trPr/>
        <w:tc>
          <w:tcPr>
            <w:tcW w:w="6485" w:type="dxa"/>
            <w:tcBorders/>
            <w:shd w:fill="EEEEEE" w:val="clear"/>
            <w:vAlign w:val="center"/>
          </w:tcPr>
          <w:p>
            <w:pPr>
              <w:pStyle w:val="TableContents"/>
              <w:bidi w:val="0"/>
              <w:spacing w:before="0" w:after="283"/>
              <w:jc w:val="left"/>
              <w:rPr/>
            </w:pPr>
            <w:r>
              <w:rPr/>
              <w:t>Lease Liabilities – current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1,418,909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1,361,111</w:t>
            </w:r>
          </w:p>
        </w:tc>
        <w:tc>
          <w:tcPr>
            <w:tcW w:w="75" w:type="dxa"/>
            <w:tcBorders/>
            <w:shd w:fill="EEEEEE" w:val="clear"/>
            <w:vAlign w:val="center"/>
          </w:tcPr>
          <w:p>
            <w:pPr>
              <w:pStyle w:val="TableContents"/>
              <w:bidi w:val="0"/>
              <w:spacing w:before="0" w:after="283"/>
              <w:jc w:val="left"/>
              <w:rPr/>
            </w:pPr>
            <w:r>
              <w:rPr/>
              <w:t> </w:t>
            </w:r>
            <w:bookmarkStart w:id="974" w:name="xdx_400_eus-gaap--OperatingLeaseLiabilit"/>
            <w:bookmarkEnd w:id="974"/>
          </w:p>
        </w:tc>
      </w:tr>
      <w:tr>
        <w:trPr/>
        <w:tc>
          <w:tcPr>
            <w:tcW w:w="6485" w:type="dxa"/>
            <w:tcBorders/>
            <w:shd w:fill="FFFFFF" w:val="clear"/>
            <w:vAlign w:val="center"/>
          </w:tcPr>
          <w:p>
            <w:pPr>
              <w:pStyle w:val="TableContents"/>
              <w:bidi w:val="0"/>
              <w:spacing w:before="0" w:after="283"/>
              <w:jc w:val="left"/>
              <w:rPr/>
            </w:pPr>
            <w:r>
              <w:rPr/>
              <w:t>Lease Liabilities -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2,193,849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2,913,967</w:t>
            </w:r>
          </w:p>
        </w:tc>
        <w:tc>
          <w:tcPr>
            <w:tcW w:w="75" w:type="dxa"/>
            <w:tcBorders/>
            <w:shd w:fill="FFFFFF" w:val="clear"/>
            <w:vAlign w:val="center"/>
          </w:tcPr>
          <w:p>
            <w:pPr>
              <w:pStyle w:val="TableContents"/>
              <w:bidi w:val="0"/>
              <w:spacing w:before="0" w:after="283"/>
              <w:jc w:val="left"/>
              <w:rPr/>
            </w:pPr>
            <w:r>
              <w:rPr/>
              <w:t> </w:t>
            </w:r>
            <w:bookmarkStart w:id="975" w:name="xdx_406_eus-gaap--OperatingLeaseLiabilit"/>
            <w:bookmarkEnd w:id="975"/>
          </w:p>
        </w:tc>
      </w:tr>
      <w:tr>
        <w:trPr/>
        <w:tc>
          <w:tcPr>
            <w:tcW w:w="6485" w:type="dxa"/>
            <w:tcBorders/>
            <w:shd w:fill="EEEEEE" w:val="clear"/>
            <w:vAlign w:val="center"/>
          </w:tcPr>
          <w:p>
            <w:pPr>
              <w:pStyle w:val="TableContents"/>
              <w:bidi w:val="0"/>
              <w:spacing w:before="0" w:after="283"/>
              <w:jc w:val="left"/>
              <w:rPr/>
            </w:pPr>
            <w:r>
              <w:rPr/>
              <w:t>Total operating lease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3,612,758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4,275,078</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76" w:name="xdx_8AF_zQEoFU7shbCa"/>
      <w:bookmarkEnd w:id="9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the Company’s lease liabilities are as follows: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77" w:name="xdx_89B_eus-gaap--LesseeOperatingLeaseLi"/>
      <w:bookmarkStart w:id="978" w:name="xdx_89B_eus-gaap--LesseeOperatingLeaseLi"/>
      <w:bookmarkEnd w:id="978"/>
    </w:p>
    <w:tbl>
      <w:tblPr>
        <w:tblW w:w="5555" w:type="dxa"/>
        <w:jc w:val="left"/>
        <w:tblInd w:w="0" w:type="dxa"/>
        <w:tblLayout w:type="fixed"/>
        <w:tblCellMar>
          <w:top w:w="0" w:type="dxa"/>
          <w:left w:w="0" w:type="dxa"/>
          <w:bottom w:w="0" w:type="dxa"/>
          <w:right w:w="0" w:type="dxa"/>
        </w:tblCellMar>
      </w:tblPr>
      <w:tblGrid>
        <w:gridCol w:w="4265"/>
        <w:gridCol w:w="60"/>
        <w:gridCol w:w="140"/>
        <w:gridCol w:w="980"/>
        <w:gridCol w:w="110"/>
      </w:tblGrid>
      <w:tr>
        <w:trPr/>
        <w:tc>
          <w:tcPr>
            <w:tcW w:w="4265" w:type="dxa"/>
            <w:tcBorders/>
            <w:vAlign w:val="center"/>
          </w:tcPr>
          <w:p>
            <w:pPr>
              <w:pStyle w:val="TableContents"/>
              <w:bidi w:val="0"/>
              <w:spacing w:before="0" w:after="283"/>
              <w:jc w:val="left"/>
              <w:rPr/>
            </w:pPr>
            <w:bookmarkStart w:id="979" w:name="xdx_8B3_zvh3QJB9hlWa"/>
            <w:bookmarkEnd w:id="979"/>
            <w:r>
              <w:rPr/>
              <w:t>Schedule of maturities of lease liabilities</w:t>
            </w:r>
          </w:p>
        </w:tc>
        <w:tc>
          <w:tcPr>
            <w:tcW w:w="60" w:type="dxa"/>
            <w:tcBorders/>
            <w:vAlign w:val="center"/>
          </w:tcPr>
          <w:p>
            <w:pPr>
              <w:pStyle w:val="TableContents"/>
              <w:bidi w:val="0"/>
              <w:spacing w:before="0" w:after="283"/>
              <w:jc w:val="left"/>
              <w:rPr/>
            </w:pPr>
            <w:r>
              <w:rPr/>
              <w:t> </w:t>
            </w:r>
            <w:bookmarkStart w:id="980" w:name="xdx_498_20251231_zaf83RBldyi2"/>
            <w:bookmarkEnd w:id="980"/>
          </w:p>
        </w:tc>
        <w:tc>
          <w:tcPr>
            <w:tcW w:w="11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Operating</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Lease</w:t>
            </w:r>
          </w:p>
        </w:tc>
        <w:tc>
          <w:tcPr>
            <w:tcW w:w="110" w:type="dxa"/>
            <w:tcBorders/>
            <w:vAlign w:val="center"/>
          </w:tcPr>
          <w:p>
            <w:pPr>
              <w:pStyle w:val="TableContents"/>
              <w:bidi w:val="0"/>
              <w:spacing w:before="0" w:after="283"/>
              <w:jc w:val="left"/>
              <w:rPr/>
            </w:pPr>
            <w:r>
              <w:rPr/>
              <w:t> </w:t>
            </w:r>
          </w:p>
        </w:tc>
      </w:tr>
      <w:tr>
        <w:trPr/>
        <w:tc>
          <w:tcPr>
            <w:tcW w:w="4265" w:type="dxa"/>
            <w:tcBorders/>
            <w:shd w:fill="EEEEEE" w:val="clear"/>
            <w:vAlign w:val="center"/>
          </w:tcPr>
          <w:p>
            <w:pPr>
              <w:pStyle w:val="TableContents"/>
              <w:bidi w:val="0"/>
              <w:spacing w:before="0" w:after="283"/>
              <w:jc w:val="left"/>
              <w:rPr/>
            </w:pPr>
            <w:r>
              <w:rPr/>
              <w:t>For Year ending June 30:</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981" w:name="xdx_40B_eus-gaap--LesseeOperatingLeaseLi"/>
            <w:bookmarkEnd w:id="981"/>
          </w:p>
        </w:tc>
      </w:tr>
      <w:tr>
        <w:trPr/>
        <w:tc>
          <w:tcPr>
            <w:tcW w:w="426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776,894</w:t>
            </w:r>
          </w:p>
        </w:tc>
        <w:tc>
          <w:tcPr>
            <w:tcW w:w="110" w:type="dxa"/>
            <w:tcBorders/>
            <w:shd w:fill="FFFFFF" w:val="clear"/>
            <w:vAlign w:val="center"/>
          </w:tcPr>
          <w:p>
            <w:pPr>
              <w:pStyle w:val="TableContents"/>
              <w:bidi w:val="0"/>
              <w:spacing w:before="0" w:after="283"/>
              <w:jc w:val="left"/>
              <w:rPr/>
            </w:pPr>
            <w:r>
              <w:rPr/>
              <w:t> </w:t>
            </w:r>
            <w:bookmarkStart w:id="982" w:name="xdx_40C_eus-gaap--LesseeOperatingLeaseLi"/>
            <w:bookmarkEnd w:id="982"/>
          </w:p>
        </w:tc>
      </w:tr>
      <w:tr>
        <w:trPr/>
        <w:tc>
          <w:tcPr>
            <w:tcW w:w="4265" w:type="dxa"/>
            <w:tcBorders/>
            <w:shd w:fill="EEEEEE" w:val="clear"/>
            <w:vAlign w:val="center"/>
          </w:tcPr>
          <w:p>
            <w:pPr>
              <w:pStyle w:val="TableContents"/>
              <w:bidi w:val="0"/>
              <w:spacing w:before="0" w:after="283"/>
              <w:jc w:val="left"/>
              <w:rPr/>
            </w:pPr>
            <w:r>
              <w:rPr/>
              <w:t>2027</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1,586,572</w:t>
            </w:r>
          </w:p>
        </w:tc>
        <w:tc>
          <w:tcPr>
            <w:tcW w:w="110" w:type="dxa"/>
            <w:tcBorders/>
            <w:shd w:fill="EEEEEE" w:val="clear"/>
            <w:vAlign w:val="center"/>
          </w:tcPr>
          <w:p>
            <w:pPr>
              <w:pStyle w:val="TableContents"/>
              <w:bidi w:val="0"/>
              <w:spacing w:before="0" w:after="283"/>
              <w:jc w:val="left"/>
              <w:rPr/>
            </w:pPr>
            <w:r>
              <w:rPr/>
              <w:t> </w:t>
            </w:r>
            <w:bookmarkStart w:id="983" w:name="xdx_406_eus-gaap--LesseeOperatingLeaseLi"/>
            <w:bookmarkEnd w:id="983"/>
          </w:p>
        </w:tc>
      </w:tr>
      <w:tr>
        <w:trPr/>
        <w:tc>
          <w:tcPr>
            <w:tcW w:w="426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1,459,411</w:t>
            </w:r>
          </w:p>
        </w:tc>
        <w:tc>
          <w:tcPr>
            <w:tcW w:w="110" w:type="dxa"/>
            <w:tcBorders/>
            <w:shd w:fill="FFFFFF" w:val="clear"/>
            <w:vAlign w:val="center"/>
          </w:tcPr>
          <w:p>
            <w:pPr>
              <w:pStyle w:val="TableContents"/>
              <w:bidi w:val="0"/>
              <w:spacing w:before="0" w:after="283"/>
              <w:jc w:val="left"/>
              <w:rPr/>
            </w:pPr>
            <w:r>
              <w:rPr/>
              <w:t> </w:t>
            </w:r>
            <w:bookmarkStart w:id="984" w:name="xdx_406_eus-gaap--LesseeOperatingLeaseLi"/>
            <w:bookmarkEnd w:id="984"/>
          </w:p>
        </w:tc>
      </w:tr>
      <w:tr>
        <w:trPr/>
        <w:tc>
          <w:tcPr>
            <w:tcW w:w="4265" w:type="dxa"/>
            <w:tcBorders/>
            <w:shd w:fill="EEEEEE" w:val="clear"/>
            <w:vAlign w:val="center"/>
          </w:tcPr>
          <w:p>
            <w:pPr>
              <w:pStyle w:val="TableContents"/>
              <w:bidi w:val="0"/>
              <w:spacing w:before="0" w:after="283"/>
              <w:jc w:val="left"/>
              <w:rPr/>
            </w:pPr>
            <w:r>
              <w:rPr/>
              <w:t>Less: Imputed interest/present value discount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(210,119</w:t>
            </w:r>
          </w:p>
        </w:tc>
        <w:tc>
          <w:tcPr>
            <w:tcW w:w="110" w:type="dxa"/>
            <w:tcBorders/>
            <w:shd w:fill="EEEEEE" w:val="clear"/>
            <w:vAlign w:val="center"/>
          </w:tcPr>
          <w:p>
            <w:pPr>
              <w:pStyle w:val="TableContents"/>
              <w:bidi w:val="0"/>
              <w:spacing w:before="0" w:after="283"/>
              <w:jc w:val="left"/>
              <w:rPr/>
            </w:pPr>
            <w:r>
              <w:rPr/>
              <w:t>)</w:t>
            </w:r>
            <w:bookmarkStart w:id="985" w:name="xdx_402_eus-gaap--OperatingLeaseLiabilit"/>
            <w:bookmarkEnd w:id="985"/>
          </w:p>
        </w:tc>
      </w:tr>
      <w:tr>
        <w:trPr/>
        <w:tc>
          <w:tcPr>
            <w:tcW w:w="4265" w:type="dxa"/>
            <w:tcBorders/>
            <w:shd w:fill="FFFFFF" w:val="clear"/>
            <w:vAlign w:val="center"/>
          </w:tcPr>
          <w:p>
            <w:pPr>
              <w:pStyle w:val="TableContents"/>
              <w:bidi w:val="0"/>
              <w:spacing w:before="0" w:after="283"/>
              <w:jc w:val="left"/>
              <w:rPr/>
            </w:pPr>
            <w:r>
              <w:rPr/>
              <w:t>Present value of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3,612,758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86" w:name="xdx_8AA_zGuGAHJFEnj7"/>
      <w:bookmarkEnd w:id="98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87" w:name="xdx_807_eus-gaap--CommitmentsAndContinge"/>
      <w:bookmarkEnd w:id="987"/>
      <w:r>
        <w:rPr>
          <w:rFonts w:ascii="Times New Roman;Times;Serif" w:hAnsi="Times New Roman;Times;Serif"/>
          <w:b/>
          <w:i w:val="false"/>
          <w:caps w:val="false"/>
          <w:smallCaps w:val="false"/>
          <w:sz w:val="20"/>
        </w:rPr>
        <w:t xml:space="preserve">Note 18 - </w:t>
      </w:r>
      <w:bookmarkStart w:id="988" w:name="xdx_82C_zdZn1LYB0ACk"/>
      <w:bookmarkEnd w:id="988"/>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Russian Federation began conducting military operations against Ukraine, and in October 2023, an armed conflict between Hamas-led Palestinian militant groups and Israeli military forces began, both of which have since escalated into prolonged wars. While we do not do business in those regions, the military conflicts in Ukraine and in Israel have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we have experienced a delay in, as well as an increase in costs in shipping, and the resulting inventory level increase in our warehouse facilities, thus resulting in reduced profits. In addition, supply chain disruptions may put upward pressure on our costs and increase the risk that we may be unable to acquire the materials and services we need to continue to make certain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On March 22, 2021, the $175,500 PPP Note due to Royal Business Bank was fully forgiven by the Small Business Administration (“SBA”).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89" w:name="xdx_234_z8kVAQLtT3Si"/>
      <w:bookmarkEnd w:id="989"/>
      <w:r>
        <w:rPr>
          <w:caps w:val="false"/>
          <w:smallCaps w:val="false"/>
        </w:rPr>
        <w:t> </w:t>
      </w:r>
    </w:p>
    <w:p>
      <w:pPr>
        <w:pStyle w:val="TextBody"/>
        <w:bidi w:val="0"/>
        <w:spacing w:before="0" w:after="0"/>
        <w:ind w:left="0" w:right="0" w:hanging="0"/>
        <w:jc w:val="both"/>
        <w:rPr>
          <w:caps w:val="false"/>
          <w:smallCaps w:val="false"/>
        </w:rPr>
      </w:pPr>
      <w:bookmarkStart w:id="990" w:name="xdx_237_zoh7boGfd9Eg"/>
      <w:bookmarkEnd w:id="99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991" w:name="xdx_238_zY1ya10ohzFb"/>
      <w:bookmarkEnd w:id="99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2" w:name="xdx_80C_eus-gaap--SubsequentEventsTextBl"/>
      <w:bookmarkEnd w:id="992"/>
      <w:r>
        <w:rPr>
          <w:rFonts w:ascii="Times New Roman;Times;Serif" w:hAnsi="Times New Roman;Times;Serif"/>
          <w:b/>
          <w:i w:val="false"/>
          <w:caps w:val="false"/>
          <w:smallCaps w:val="false"/>
          <w:sz w:val="20"/>
        </w:rPr>
        <w:t xml:space="preserve">Note 19 - </w:t>
      </w:r>
      <w:bookmarkStart w:id="993" w:name="xdx_82C_zMtvFV2ENs05"/>
      <w:bookmarkEnd w:id="993"/>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that the unaudited condensed consolidated financial statements were available to be issued. Other than as set forth below, there were no material subsequent events that required recognition or additional disclosure in the unaudited condensed consolidated financial statements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the Company assumed all outstanding vendor payables related to the Software Assets. In addition, the Software Asset Transfer Agreement granted GPM a non-exclusive worldwide, perpetual, irrevocable and royalty free license to use, reproduce and modify the licensed software, thus allowing the Company and GPM to collaborate in the software development on a going forward basis. Further, in the event GPM resells the Original Software code (as defined in the agreement), GPM shall pay the Company 50% of the proceeds received in relation to such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on February 1, 2026, the Company entered into a stock purchase agreement (the “SPA”) with ETTS AI Investment LLC, a Nevada limited liability company (“ETTS AI”), pursuant to which the Company sold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will act as exclusive supplier in the United States, Canada and Mexico for all existing SKUs that have historically been distributed from the Company to GPM, thus allowing the Company to continue in its role of supplier to GPM while divesting of the cost center associated with GPM’s sales function. As distributor, The Company will charge GPM, as supplier, a price mutually agreed on for each product and has the right to add up to 15% margin on top of the net cost. In addition, GPM will charge the Company a cooperative marketing fee, which will be defined in a subsequent agreement between the parties. Under the Supply and Distribution Agreement, payment on all purchase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dated December 22, 2025 (the “Purchase Agreement”) with an institutional investor (the “Investor”), on February 9, 2026, the Company delivered an Additional Mandatory Closing Notice (as defined in the Purchase Agreement) to the Investor and, on February 10, 2026, consummated the Additional Mandatory Closing in accordance with the Purchase Agreement, receiving $1,880,00 in exchange for issuing a $2,000,000 aggregate principal amount of the Additional Mandatory Series A Note to the Investor after satisfaction of all applicable closing conditions, including the effectiveness of the resale registration statement and the absence of any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the Company’s Information Statement on Schedule 14C, filed with the SEC on January 21, 2026 (the “Information Statement”), a majority of the Company’s stockholders approved by written consent amending the Company’s Equity Incentive Plan to increase shares authorized for issuance under the Plan by an additional 40,000,000 shares (the “Increase in EIP Authorized Shares”). The actions disclosed in the Information Statement, including the Increase in EIP Authorized Shares, became effective on or about February 10, 2026, 20 days after filing the 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the Company announced that its Board has authorized a share repurchase program for up to $2.0 million of common stock (the “Share Buyback Program”). Share repurchases under the Share Buyback Program, if any, may be made from time to time on the open market or through privately negotiated transactions, including, without limitation, through Rule 10b5-1 trading plans, any other legally permissible means, or any combination of the foregoing. The Share Buyback Program has no time limit, does not obligate the Company to acquire a specified number of shares, and may be suspended, modified, or terminated at any time, without prior notice. The number of shares to be repurchased will depend on market conditions and other factors. Repurchases under the program are expected to be funded from a combination of existing cash balances and future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994" w:name="xdx_81B_zvxshaKX9fbe"/>
      <w:bookmarkEnd w:id="994"/>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95" w:name="q2_008"/>
      <w:bookmarkEnd w:id="995"/>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Management’s Discussion and Analysis of Financial Condition and Results of Operations (the “MD&amp;A”) should be read in conjunction with our unaudited financial statements and the related notes thereto included elsewhere herein. This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pStyle w:val="TextBody"/>
        <w:bidi w:val="0"/>
        <w:spacing w:before="0" w:after="0"/>
        <w:ind w:left="160" w:right="158"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16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Driven by technology and data, iPower operates as an online retailer and supplier of consumer goods and provides value-added e-commerce services to third-party products and brands. Our capabilities include established online sales channels, robust fulfillment operations, a network of warehouses serving the United States, competitive last-mile delivery partners, and a differentiated business intelligence platform. Leveraging these capabilities, we utilize proprietary, data-driven methodologies to support product launches and sales optimization, with the objective of efficiently bringing products to market and delivering value to customers in the United States and other markets.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channels currently include Amazon Vendor Central, Amazon Seller Central (3P), Walmart.com, TikTok, Temu, other online marketplaces, and our owned e-commerce websites.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actively developing and marketing in-house branded products, as well as products offered through supply-chain partners. Our current brand portfolio includes iPower, Simple Deluxe, and other brands, offering products across categories such as home goods, fans, pet products, outdoor and gardening products, and consumer electronics. While we continue to focus on our core product categories, we seek to expand our product catalog through additional in-house development and partnerships with suppliers, guided by market data analytics.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is positioning itself at the intersection of digital assets and real-world commerce by leveraging its established e-commerce, logistics, and data infrastructure to support the distribution and integration of compliant digital-asset products through licensed partners.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initiated the Digital Treasury Strategy on June 17, 2025, with the plan of creating a Digital Treasury Strategy business. As this Digital Treasury Strategy is a newly planned addition to our business model, we cannot predict its success or how it will affect our business over the long term.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 Treasury Strategy is intended to provide measured, long-term exposure to digital assets that management believes may become increasingly integrated into commerce, while aligning the Company’s treasury strategy with its operational focus on digital-asset-related initiatives.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Economic Disruption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China, the military conflict between Russia and Ukraine may nonetheless increase the likelihood of supply chain interruptions and hinder our ability to find the materials we need to make our products.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2025 annual meeting of stockholders of the Company, the Company’s stockholders approved a proposal authorizing the board of directors of the Company (the “Board”), in its sole discretion, to effect a reverse stock split of the outstanding shares of the Company’s common stock, at a reverse split ratio in the range of one-for-two (1:2) to one-for-two hundred (1:200), as determined by the Board, whereby every two to two hundred shares of the authorized, issued and outstanding common stock will be combined into one share of authorized, issued and outstanding common stock. Pursuant to such authority granted by the Company’s stockholders at the Annual Meeting, the Board approved a reverse split of between one-for-twenty (1:20) and one-for-thirty (1:30) (the “Reverse Stock Split”) of the common stock on October 13, 2025, subject to final determination of the Company’s management. Company management subsequently determined to effectuate a one-for-thirty (1:30) Reverse Stock Split and October 22, 2025, the Company filed a certificate of amendment to amend the certificate of incorporation of the Company with the Secretary of State of the State of Nevada, with an effective date of October 27,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became effective at the start of trading on October 27, 2025 (the “Effective Time”), at which time, every thirty (30) shares of the Company’s issued and outstanding common stock immediately prior to the Effective Time was automatically reclassified into one (1) share of common stock, without any change in the par value per share. The Reverse Stock Split reduced the number of shares of common stock issuable upon the exercise or vesting of the Company’s outstanding warrants and restricted stock units in proportion to the ratio of the Reverse Stock Split and caused a proportionate increase in the exercise prices of such stock options. The Reverse Stock Split did not change the total number of authorized shares of common stock or preferred stock.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trading of the Company’s common stock continued on The Nasdaq Capital Market on a Reverse Stock Split-adjusted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three promissory notes totaling $2 million (the “Promissory Notes”) in exchange for gross proceeds of $2 million. The Promissory Notes were entered into with certain investors and related parties, including an entity controlled by the Company’s CEO, Chenlong Tan.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bear 6.5% interest per annum and were repayable upon the earlier of 90 days or the Company’s entry into new financing arrangements. The funds received in connection with the Company’s issuance of the Promissory Notes were used to pay off the Company’s existing asset-backed lending facility with JPMorgan Chase Bank, N.A. (“JPMorgan”) pursuant to the Company’s credit agreement with JPMorgan, originally dated November 12, 2021, as amended (the “Credit Agreement”). As a result of the repayment, the Company has initiated the termination of the related Uniform Commercial Code filings.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were repaid on February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2025, a majority of the Company’s stockholders (representing 53.1% of the Company’s outstanding voting power) took the following actions to approve: (1) the Convertible Note Facility (defined below); (2) the issuance of in excess of 20% of the Company’s outstanding common stock at a price less than the “Minimum Price” as defined in Nasdaq List Rule 5635(d); (3) authorizing an amendment to the Company’s articles of incorporation for the sole purpose of increasing the Company’s authorized shares from 200,000,000 shares, consisting of 180,000,000 shares of common stock and 20,000,000 shares of preferred stock, to 1,000,000,000 shares, consisting of 950,000,000 shares of common stock and 50,000,000 shares of preferred stock; (4) authorizing the Board to approve one or more reverse stock splits, in the range of 1-for-250 shares, with the Board to determine when, if ever, to effectuate such reverse stock split; and (5) authorizing the Company’s Board to adopt a mirror preferred stock in order to allow the Company to more easily achieve quorum in the event the Company needs to call a meeting to effectuate a reverse stock split for purposes of maintaining its Nasdaq listing or increase the Company’s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a preliminary information statement on Schedule 14C (the “Schedule 14C”) with the SEC on January 7, 2026. Following any SEC review, the Company will then finalize and mail the Schedule 14C to stockholders as of the December 22, 2025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Securities Purchase Agreement with a certain institutional investor (the “Investor”) named therein (the “Purchase Agreement”) providing for the purchase by the Investor of a 6% original issue discount (OID) convertible note facility in the aggregate original principal amount of $30,000,000 (the “Convertible Note Facility”), in which the Investor initial purchased (i) a series A senior secured convertible note in the aggregate original principal amount of $5,184,024 (the “Series A Convertible Note”), and shares of the Company’s common stock, issuable pursuant to the terms of the Series A Convertible Notes (the “Series A Conversion Shares”) in reliance upon the exemption from securities registration afforded by Section 4(a)(2) of the Securities Act of 1933, as amended (the “Securities Act”), and Rule 506(b) of Regulation D as promulgated by the Securities and Exchange Commission (the “SEC”) under the Securities Act, and (ii) $1,815,976 aggregate principal amount of a series B senior secured convertible note (the “Series B Convertible Notes,” together with the Series A Convertible Notes, the “Convertible Notes”), and shares of the Company’s common stock issuable pursuant to the terms of the Series B Convertible Notes (the “Series B Conversion Shares”) in a registered direct offering pursuant to a currently effective shelf registration statement on Form S-3 (File No. 333-274665), which has been declared effective by the SEC on September 29, 2023. In addition, pursuant to the Purchase Agreement, the parties closed on an additional approximately $2,000,000 of Series A Convertible Notes (the “Additional Series A Notes”), bringing the total amount of 6% OID Convertible Notes sold to $9,000,000, with the Additional Series A Notes to be paid for and issuable upon the effectiveness of a resale registration statement registering the Series A Convertible Notes. At closing, as consideration for issuance of the Convertible Notes, the Company received gross proceeds of $6,580,000, before deducting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Offering LLC acted as placement agent and received $394,800 in placement agent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convertible into shares of the Company’s common stock at a fixed Conversion Price of $17.70 per share, subject to adjustment as provided in the Convertible Notes. The holder may elect to convert at an Alternate Conversion Price, which provides for conversion at a discounted price based on recent trading VWAP. The Alternate Optional Conversion Price is equal to the lower of (i) the Conversion Price or (ii) the greater of (x) the Floor Price (as defined below) or (y) 95% of the lowest VWAP during the seven (7) consecutive trading day period ending on the trading day immediately preceding delivery of the conversion notice. The Alternate Event of Default Conversion Price is equal to the lower of (i) the Conversion Price or (ii) the greater of (x) the Floor Price or (y) 90% of the lowest VWAP during the ten (10) consecutive trading day period ending on the trading day immediately preceding delivery of the conversion notice. The Floor Price is $2.27 per share, subject to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senior secured obligations of the Company, secured by Collateral (as defined in the Security and Pledge Agreement), consisting of all of the cryptocurrency and cryptocurrency related assets of the Company and certain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the Company entered into a Registration Rights Agreement with the Investor (the “Registration Rights Agreement”), which provides the Investor with certain registration rights with respect to the resale of the Series A Conversion Shares issuable upon conversion of the Series A Convertible Notes. Pursuant to the Registration Rights Agreement, the Company filed a registration statement with the SEC on January 12, 2026 to register the resale of the Series A Conversion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delivered an Additional Mandatory Closing Notice to the Investor and, on February 10, 2026, consummated the Additional Mandatory Closing in accordance with the Purchase Agreement, receiving $1,880,00 in exchange for issuing a $2,000,000 aggregate principal amount of the Additional Mandatory Series A Note to the Investor after satisfaction of all applicable closing conditions, including the effectiveness of the resale registration statement and the absence of any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 xml:space="preserve">Initial </w:t>
      </w:r>
      <w:r>
        <w:rPr>
          <w:rFonts w:ascii="Times New Roman;Times;Serif" w:hAnsi="Times New Roman;Times;Serif"/>
          <w:b w:val="false"/>
          <w:i/>
          <w:caps w:val="false"/>
          <w:smallCaps w:val="false"/>
          <w:sz w:val="20"/>
        </w:rPr>
        <w:t>Acquisitions under the Digital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June 17, 2025, the Company adopted a digital asset reserve, </w:t>
      </w:r>
      <w:r>
        <w:rPr>
          <w:rFonts w:ascii="Times New Roman;Times;Serif" w:hAnsi="Times New Roman;Times;Serif"/>
          <w:b w:val="false"/>
          <w:i w:val="false"/>
          <w:caps w:val="false"/>
          <w:smallCaps w:val="false"/>
          <w:sz w:val="20"/>
        </w:rPr>
        <w:t>allocation and development strategy with the plan of creating a Digital Treasury Strategy business. On December 29, 2025, the Company announced the following initial acquisitions under the Digital Treasury Strategy: (1) the purchase of 15.1 Bitcoin (BTC) at an average price of $87,686.33 per BTC, for a total notional value of approximately $1,325,400 and (2) the purchase of 301.1 Ethereum (ETH) at an average price of $2,934.67 per ETH, for a total notional value of approximately $883,600.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this Digital Treasury Strategy is a new addition to our business model, we cannot predict its success or if we will continue with this strategy for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December 31,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certain unaudited condensed consolidated statement of operations information and presentation of that data as a percentage of change from period to period.</w:t>
      </w:r>
    </w:p>
    <w:p>
      <w:pPr>
        <w:pStyle w:val="TextBody"/>
        <w:bidi w:val="0"/>
        <w:spacing w:before="0" w:after="0"/>
        <w:ind w:left="0" w:right="0" w:firstLine="72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15"/>
        <w:gridCol w:w="60"/>
        <w:gridCol w:w="217"/>
        <w:gridCol w:w="1572"/>
        <w:gridCol w:w="245"/>
        <w:gridCol w:w="60"/>
        <w:gridCol w:w="106"/>
        <w:gridCol w:w="1683"/>
        <w:gridCol w:w="185"/>
        <w:gridCol w:w="60"/>
        <w:gridCol w:w="67"/>
        <w:gridCol w:w="733"/>
        <w:gridCol w:w="260"/>
      </w:tblGrid>
      <w:tr>
        <w:trPr/>
        <w:tc>
          <w:tcPr>
            <w:tcW w:w="38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br/>
              <w:t>December 31,</w:t>
              <w:br/>
              <w:t>2025</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br/>
              <w:t>December 31,</w:t>
              <w:b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Variance</w:t>
            </w:r>
          </w:p>
        </w:tc>
        <w:tc>
          <w:tcPr>
            <w:tcW w:w="260" w:type="dxa"/>
            <w:tcBorders/>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Revenues - product sales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sz w:val="20"/>
              </w:rPr>
            </w:pPr>
            <w:r>
              <w:rPr>
                <w:sz w:val="20"/>
              </w:rPr>
              <w:t>$</w:t>
            </w:r>
          </w:p>
        </w:tc>
        <w:tc>
          <w:tcPr>
            <w:tcW w:w="1572" w:type="dxa"/>
            <w:tcBorders/>
            <w:shd w:fill="EEEEEE" w:val="clear"/>
            <w:vAlign w:val="center"/>
          </w:tcPr>
          <w:p>
            <w:pPr>
              <w:pStyle w:val="TableContents"/>
              <w:bidi w:val="0"/>
              <w:spacing w:before="0" w:after="283"/>
              <w:jc w:val="right"/>
              <w:rPr>
                <w:sz w:val="20"/>
              </w:rPr>
            </w:pPr>
            <w:r>
              <w:rPr>
                <w:sz w:val="20"/>
              </w:rPr>
              <w:t>7,133,602</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17,606,889</w:t>
            </w:r>
          </w:p>
        </w:tc>
        <w:tc>
          <w:tcPr>
            <w:tcW w:w="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right"/>
              <w:rPr>
                <w:sz w:val="20"/>
              </w:rPr>
            </w:pPr>
            <w:r>
              <w:rPr>
                <w:sz w:val="20"/>
              </w:rPr>
              <w:t>(59.5</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Revenues - service income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1,465,682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7,133,602</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19,072,571</w:t>
            </w:r>
          </w:p>
        </w:tc>
        <w:tc>
          <w:tcPr>
            <w:tcW w:w="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(62.6</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7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Cost of revenues - product costs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3,994,680</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9,461,119</w:t>
            </w:r>
          </w:p>
        </w:tc>
        <w:tc>
          <w:tcPr>
            <w:tcW w:w="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right"/>
              <w:rPr>
                <w:sz w:val="20"/>
              </w:rPr>
            </w:pPr>
            <w:r>
              <w:rPr>
                <w:sz w:val="20"/>
              </w:rPr>
              <w:t>(57.8</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Cost of revenues - service costs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1,221,566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3,994,680</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10,682,685</w:t>
            </w:r>
          </w:p>
        </w:tc>
        <w:tc>
          <w:tcPr>
            <w:tcW w:w="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(62.6</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7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Gross profit</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3,138,922</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8,389,886</w:t>
            </w:r>
          </w:p>
        </w:tc>
        <w:tc>
          <w:tcPr>
            <w:tcW w:w="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right"/>
              <w:rPr>
                <w:sz w:val="20"/>
              </w:rPr>
            </w:pPr>
            <w:r>
              <w:rPr>
                <w:sz w:val="20"/>
              </w:rPr>
              <w:t>(62.6</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5,576,899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7,706,279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(27.6</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Operating loss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(2,437,977</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683,607</w:t>
            </w:r>
          </w:p>
        </w:tc>
        <w:tc>
          <w:tcPr>
            <w:tcW w:w="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right"/>
              <w:rPr>
                <w:sz w:val="20"/>
              </w:rPr>
            </w:pPr>
            <w:r>
              <w:rPr>
                <w:sz w:val="20"/>
              </w:rPr>
              <w:t>(456.6</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Other income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424,188</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(347,432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(222.09</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Loss before income taxes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(2,013,789</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336,175</w:t>
            </w:r>
          </w:p>
        </w:tc>
        <w:tc>
          <w:tcPr>
            <w:tcW w:w="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right"/>
              <w:rPr>
                <w:sz w:val="20"/>
              </w:rPr>
            </w:pPr>
            <w:r>
              <w:rPr>
                <w:sz w:val="20"/>
              </w:rPr>
              <w:t>(699.0</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(820,508</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120,511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(780.9</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Net loss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(1,193,281</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215,664</w:t>
            </w:r>
          </w:p>
        </w:tc>
        <w:tc>
          <w:tcPr>
            <w:tcW w:w="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right"/>
              <w:rPr>
                <w:sz w:val="20"/>
              </w:rPr>
            </w:pPr>
            <w:r>
              <w:rPr>
                <w:sz w:val="20"/>
              </w:rPr>
              <w:t>(653.3</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(3,155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Net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(1,193,281</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218,819</w:t>
            </w:r>
          </w:p>
        </w:tc>
        <w:tc>
          <w:tcPr>
            <w:tcW w:w="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right"/>
              <w:rPr>
                <w:sz w:val="20"/>
              </w:rPr>
            </w:pPr>
            <w:r>
              <w:rPr>
                <w:sz w:val="20"/>
              </w:rPr>
              <w:t>(645.3</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(379</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156,130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(100.2</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Comprehensive loss attributable to iPower Inc.</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sz w:val="20"/>
              </w:rPr>
            </w:pPr>
            <w:r>
              <w:rPr>
                <w:sz w:val="20"/>
              </w:rPr>
              <w:t>$</w:t>
            </w:r>
          </w:p>
        </w:tc>
        <w:tc>
          <w:tcPr>
            <w:tcW w:w="1572" w:type="dxa"/>
            <w:tcBorders/>
            <w:shd w:fill="EEEEEE" w:val="clear"/>
            <w:vAlign w:val="center"/>
          </w:tcPr>
          <w:p>
            <w:pPr>
              <w:pStyle w:val="TableContents"/>
              <w:bidi w:val="0"/>
              <w:spacing w:before="0" w:after="283"/>
              <w:jc w:val="right"/>
              <w:rPr>
                <w:sz w:val="20"/>
              </w:rPr>
            </w:pPr>
            <w:r>
              <w:rPr>
                <w:sz w:val="20"/>
              </w:rPr>
              <w:t>(1,193,660</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374,949</w:t>
            </w:r>
          </w:p>
        </w:tc>
        <w:tc>
          <w:tcPr>
            <w:tcW w:w="1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right"/>
              <w:rPr>
                <w:sz w:val="20"/>
              </w:rPr>
            </w:pPr>
            <w:r>
              <w:rPr>
                <w:sz w:val="20"/>
              </w:rPr>
              <w:t>(418.4</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7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Gross profit % of revenues – product sales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44.0</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46.3</w:t>
            </w:r>
          </w:p>
        </w:tc>
        <w:tc>
          <w:tcPr>
            <w:tcW w:w="18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right"/>
              <w:rPr/>
            </w:pPr>
            <w:r>
              <w:rPr/>
              <w:t> </w:t>
            </w:r>
          </w:p>
        </w:tc>
        <w:tc>
          <w:tcPr>
            <w:tcW w:w="260"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Gross profit % of revenues – service income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72"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sz w:val="20"/>
              </w:rPr>
            </w:pPr>
            <w:r>
              <w:rPr>
                <w:sz w:val="20"/>
              </w:rPr>
              <w:t>16.7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Operating loss % of revenues</w:t>
            </w:r>
          </w:p>
        </w:tc>
        <w:tc>
          <w:tcPr>
            <w:tcW w:w="60" w:type="dxa"/>
            <w:tcBorders/>
            <w:shd w:fill="EEEEEE" w:val="clear"/>
            <w:vAlign w:val="center"/>
          </w:tcPr>
          <w:p>
            <w:pPr>
              <w:pStyle w:val="TableContents"/>
              <w:bidi w:val="0"/>
              <w:spacing w:before="0" w:after="283"/>
              <w:jc w:val="left"/>
              <w:rPr/>
            </w:pPr>
            <w:r>
              <w:rPr/>
              <w:t> </w:t>
            </w:r>
          </w:p>
        </w:tc>
        <w:tc>
          <w:tcPr>
            <w:tcW w:w="217" w:type="dxa"/>
            <w:tcBorders/>
            <w:shd w:fill="EEEEEE" w:val="clear"/>
            <w:vAlign w:val="center"/>
          </w:tcPr>
          <w:p>
            <w:pPr>
              <w:pStyle w:val="TableContents"/>
              <w:bidi w:val="0"/>
              <w:spacing w:before="0" w:after="283"/>
              <w:jc w:val="left"/>
              <w:rPr/>
            </w:pPr>
            <w:r>
              <w:rPr/>
              <w:t> </w:t>
            </w:r>
          </w:p>
        </w:tc>
        <w:tc>
          <w:tcPr>
            <w:tcW w:w="1572" w:type="dxa"/>
            <w:tcBorders/>
            <w:shd w:fill="EEEEEE" w:val="clear"/>
            <w:vAlign w:val="center"/>
          </w:tcPr>
          <w:p>
            <w:pPr>
              <w:pStyle w:val="TableContents"/>
              <w:bidi w:val="0"/>
              <w:spacing w:before="0" w:after="283"/>
              <w:jc w:val="right"/>
              <w:rPr>
                <w:sz w:val="20"/>
              </w:rPr>
            </w:pPr>
            <w:r>
              <w:rPr>
                <w:sz w:val="20"/>
              </w:rPr>
              <w:t>(34.2</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06" w:type="dxa"/>
            <w:tcBorders/>
            <w:shd w:fill="EEEEEE" w:val="clear"/>
            <w:vAlign w:val="center"/>
          </w:tcPr>
          <w:p>
            <w:pPr>
              <w:pStyle w:val="TableContents"/>
              <w:bidi w:val="0"/>
              <w:spacing w:before="0" w:after="283"/>
              <w:jc w:val="left"/>
              <w:rPr/>
            </w:pPr>
            <w:r>
              <w:rPr/>
              <w:t> </w:t>
            </w:r>
          </w:p>
        </w:tc>
        <w:tc>
          <w:tcPr>
            <w:tcW w:w="1683" w:type="dxa"/>
            <w:tcBorders/>
            <w:shd w:fill="EEEEEE" w:val="clear"/>
            <w:vAlign w:val="center"/>
          </w:tcPr>
          <w:p>
            <w:pPr>
              <w:pStyle w:val="TableContents"/>
              <w:bidi w:val="0"/>
              <w:spacing w:before="0" w:after="283"/>
              <w:jc w:val="right"/>
              <w:rPr>
                <w:sz w:val="20"/>
              </w:rPr>
            </w:pPr>
            <w:r>
              <w:rPr>
                <w:sz w:val="20"/>
              </w:rPr>
              <w:t>3.6</w:t>
            </w:r>
          </w:p>
        </w:tc>
        <w:tc>
          <w:tcPr>
            <w:tcW w:w="18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right"/>
              <w:rPr/>
            </w:pPr>
            <w:r>
              <w:rPr/>
              <w:t> </w:t>
            </w:r>
          </w:p>
        </w:tc>
        <w:tc>
          <w:tcPr>
            <w:tcW w:w="260"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Net income (loss) % of revenues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72" w:type="dxa"/>
            <w:tcBorders/>
            <w:shd w:fill="FFFFFF" w:val="clear"/>
            <w:vAlign w:val="center"/>
          </w:tcPr>
          <w:p>
            <w:pPr>
              <w:pStyle w:val="TableContents"/>
              <w:bidi w:val="0"/>
              <w:spacing w:before="0" w:after="283"/>
              <w:jc w:val="right"/>
              <w:rPr>
                <w:sz w:val="20"/>
              </w:rPr>
            </w:pPr>
            <w:r>
              <w:rPr>
                <w:sz w:val="20"/>
              </w:rPr>
              <w:t>(16.7</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sz w:val="20"/>
              </w:rPr>
            </w:pPr>
            <w:r>
              <w:rPr>
                <w:sz w:val="20"/>
              </w:rPr>
              <w:t>1.1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three months ended December 31, 2025 decreased 62.6% to $7,133,602 as compared to $19,072,571 for the three months ended December 31, 2024. While pricing remained stable, the decrease was mainly due to the combination of decreased orders from Amazon, disruption of product supply, and decreased logistic service income, during the quarter ended December 31, 2025. In addition, the Company also experienced a significant decrease in Amazon orders as a result of the negative impact from uncertainty over tariffs during quarter ended December 31,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for the three months ended December 31, 2025 decreased 62.6% to $3,994,680 as compared to $10,682,685 for the three months ended December 31, 2024. The decrease was primarily due to the decrease in sales.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$3,138,922 for the three months ended December 31, 2025 as compared to $8,389,886 for the three months ended December 31, 2024. While the gross profit ratio of the product sales revenues decreased to 44% for the three months ended December 31, 2025 from 46.3% for the three months ended December 31, 2024, the overall gross profit ratio of the total sales revenues for the three months ended December 31, 2025 and 2024 was 44%. The decrease in the gross profit ratio of the product sales revenues was primarily driven by increases in product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December 31, 2025 decreased 27.6% to $5,576,899 as compared to $7,706,279 for the three months ended December 31, 2024. The decrease was mainly due to the combination of a decrease in selling and fulfillment expenses of $1.6 million as a result of decrease in sales and a decrease in general and administrative expenses of $0.6 million, which included payroll expenses, stock-based compensation expense, insurance expenses, allowance for credit losses, travel expenses and other operating expenses. The decrease in general and administrative expenses was primarily attributable to the implementation of a cost-cutting plan during the current quarter, as compared to the prior-year period which included expenses related to the expansion of our vendor network, the development of the SuperSuite platform, and an increase in the allowance for credit losses and inventory reserves totaling $1.76 million for the quarter ended December 31, 2024.</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Income (loss) from operations was $(2,437,977)</w:t>
      </w:r>
      <w:r>
        <w:rPr>
          <w:rFonts w:ascii="Times New Roman;Times;Serif" w:hAnsi="Times New Roman;Times;Serif"/>
          <w:b w:val="false"/>
          <w:i w:val="false"/>
          <w:caps w:val="false"/>
          <w:smallCaps w:val="false"/>
          <w:sz w:val="20"/>
        </w:rPr>
        <w:t xml:space="preserve"> for the three months ended December 31, 2025 as compared to $683,607 of income from operations for the three months ended December 31, 2024. The decrease in income was primary due to the combination of decrease in sales and operating expenses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of interest expense and other non-operating income (expense). Other income (expense) for the three months ended December 31, 2025 was $424,188 as compared to $(347,432) for the three months ended December 31, 2024. The increase in other income was mainly due to combination of the increase in other non-operating income of $639,109 resulted from refund of Employee Retention Tax Credit, change in fair value of derivative liability,  and gain on disposal of vehicle.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Income (Loss)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iPower Inc. for the three months ended December 31, 2025 was $(1,193,281) as compared to $218,819 for the three months ended December 31, 2024, representing an increase in net loss of $1,412,100, which was primarily due to a combination of the increase in loss from operations and the increase in other income as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Comprehensive Income (Loss)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attributable to iPower Inc. for the three months ended December 31, 2025 was $(1,193,660) as compared to $374,949 for the three months ended December 31, 2024, representing an increase in comprehensive loss of $1,568,609. The increase was due to the reasons discussed above, along with a decrease in other comprehensive income of $156,509 due to reduced foreign currency translation adjustments resulting from the translation of RMB, the functional currency of our subsidiary and VIE in the PRC, to USD, the reporting currency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six months ended December 31,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certain unaudited condensed consolidated statement of operations information and presentation of that data as a percentage of change from period to period.</w:t>
      </w:r>
    </w:p>
    <w:p>
      <w:pPr>
        <w:pStyle w:val="TextBody"/>
        <w:bidi w:val="0"/>
        <w:spacing w:before="0" w:after="0"/>
        <w:ind w:left="0" w:right="0" w:firstLine="72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15"/>
        <w:gridCol w:w="60"/>
        <w:gridCol w:w="180"/>
        <w:gridCol w:w="1369"/>
        <w:gridCol w:w="245"/>
        <w:gridCol w:w="60"/>
        <w:gridCol w:w="92"/>
        <w:gridCol w:w="1457"/>
        <w:gridCol w:w="245"/>
        <w:gridCol w:w="60"/>
        <w:gridCol w:w="79"/>
        <w:gridCol w:w="721"/>
        <w:gridCol w:w="260"/>
      </w:tblGrid>
      <w:tr>
        <w:trPr/>
        <w:tc>
          <w:tcPr>
            <w:tcW w:w="38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br/>
              <w:t>December 31,</w:t>
              <w:br/>
              <w:t>2025</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br/>
              <w:t>December 31,</w:t>
              <w:br/>
              <w:t>2024</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Variance</w:t>
            </w:r>
          </w:p>
        </w:tc>
        <w:tc>
          <w:tcPr>
            <w:tcW w:w="260" w:type="dxa"/>
            <w:tcBorders/>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Revenues - product sales</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sz w:val="20"/>
              </w:rPr>
            </w:pPr>
            <w:r>
              <w:rPr>
                <w:sz w:val="20"/>
              </w:rPr>
              <w:t>$</w:t>
            </w:r>
          </w:p>
        </w:tc>
        <w:tc>
          <w:tcPr>
            <w:tcW w:w="1369" w:type="dxa"/>
            <w:tcBorders/>
            <w:shd w:fill="EEEEEE" w:val="clear"/>
            <w:vAlign w:val="center"/>
          </w:tcPr>
          <w:p>
            <w:pPr>
              <w:pStyle w:val="TableContents"/>
              <w:bidi w:val="0"/>
              <w:spacing w:before="0" w:after="283"/>
              <w:jc w:val="right"/>
              <w:rPr>
                <w:sz w:val="20"/>
              </w:rPr>
            </w:pPr>
            <w:r>
              <w:rPr>
                <w:sz w:val="20"/>
              </w:rPr>
              <w:t>17,618,347</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457" w:type="dxa"/>
            <w:tcBorders/>
            <w:shd w:fill="EEEEEE" w:val="clear"/>
            <w:vAlign w:val="center"/>
          </w:tcPr>
          <w:p>
            <w:pPr>
              <w:pStyle w:val="TableContents"/>
              <w:bidi w:val="0"/>
              <w:spacing w:before="0" w:after="283"/>
              <w:jc w:val="right"/>
              <w:rPr>
                <w:sz w:val="20"/>
              </w:rPr>
            </w:pPr>
            <w:r>
              <w:rPr>
                <w:sz w:val="20"/>
              </w:rPr>
              <w:t>35,882,301</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(50.9</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Revenues - service income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1,532,722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2,198,791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(30.3</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19,151,069</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38,081,092</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(49.7</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Cost of revenues - product costs</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sz w:val="20"/>
              </w:rPr>
            </w:pPr>
            <w:r>
              <w:rPr>
                <w:sz w:val="20"/>
              </w:rPr>
              <w:t>9,872,942</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457" w:type="dxa"/>
            <w:tcBorders/>
            <w:shd w:fill="EEEEEE" w:val="clear"/>
            <w:vAlign w:val="center"/>
          </w:tcPr>
          <w:p>
            <w:pPr>
              <w:pStyle w:val="TableContents"/>
              <w:bidi w:val="0"/>
              <w:spacing w:before="0" w:after="283"/>
              <w:jc w:val="right"/>
              <w:rPr>
                <w:sz w:val="20"/>
              </w:rPr>
            </w:pPr>
            <w:r>
              <w:rPr>
                <w:sz w:val="20"/>
              </w:rPr>
              <w:t>19,378,567</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(49.1</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Cost of revenues - service costs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1,332,681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1,824,742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(27.0</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11,205,623</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21,203,309</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(47.2</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Gross profit</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sz w:val="20"/>
              </w:rPr>
            </w:pPr>
            <w:r>
              <w:rPr>
                <w:sz w:val="20"/>
              </w:rPr>
              <w:t>7,945,446</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457" w:type="dxa"/>
            <w:tcBorders/>
            <w:shd w:fill="EEEEEE" w:val="clear"/>
            <w:vAlign w:val="center"/>
          </w:tcPr>
          <w:p>
            <w:pPr>
              <w:pStyle w:val="TableContents"/>
              <w:bidi w:val="0"/>
              <w:spacing w:before="0" w:after="283"/>
              <w:jc w:val="right"/>
              <w:rPr>
                <w:sz w:val="20"/>
              </w:rPr>
            </w:pPr>
            <w:r>
              <w:rPr>
                <w:sz w:val="20"/>
              </w:rPr>
              <w:t>16,877,783</w:t>
            </w:r>
          </w:p>
        </w:tc>
        <w:tc>
          <w:tcPr>
            <w:tcW w:w="2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(52.9</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12,078,602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18,940,610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(36.2</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Operating loss</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sz w:val="20"/>
              </w:rPr>
            </w:pPr>
            <w:r>
              <w:rPr>
                <w:sz w:val="20"/>
              </w:rPr>
              <w:t>(4,133,156</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457" w:type="dxa"/>
            <w:tcBorders/>
            <w:shd w:fill="EEEEEE" w:val="clear"/>
            <w:vAlign w:val="center"/>
          </w:tcPr>
          <w:p>
            <w:pPr>
              <w:pStyle w:val="TableContents"/>
              <w:bidi w:val="0"/>
              <w:spacing w:before="0" w:after="283"/>
              <w:jc w:val="right"/>
              <w:rPr>
                <w:sz w:val="20"/>
              </w:rPr>
            </w:pPr>
            <w:r>
              <w:rPr>
                <w:sz w:val="20"/>
              </w:rPr>
              <w:t>(2,062,827</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100.4</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1,122,135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(269,627</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(516.2</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Loss before income taxes</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sz w:val="20"/>
              </w:rPr>
            </w:pPr>
            <w:r>
              <w:rPr>
                <w:sz w:val="20"/>
              </w:rPr>
              <w:t>(3,011,021</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457" w:type="dxa"/>
            <w:tcBorders/>
            <w:shd w:fill="EEEEEE" w:val="clear"/>
            <w:vAlign w:val="center"/>
          </w:tcPr>
          <w:p>
            <w:pPr>
              <w:pStyle w:val="TableContents"/>
              <w:bidi w:val="0"/>
              <w:spacing w:before="0" w:after="283"/>
              <w:jc w:val="right"/>
              <w:rPr>
                <w:sz w:val="20"/>
              </w:rPr>
            </w:pPr>
            <w:r>
              <w:rPr>
                <w:sz w:val="20"/>
              </w:rPr>
              <w:t>(2,332,454</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29.1</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(1,284,092</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(516,001</w:t>
            </w:r>
          </w:p>
        </w:tc>
        <w:tc>
          <w:tcPr>
            <w:tcW w:w="245" w:type="dxa"/>
            <w:tcBorders/>
            <w:shd w:fill="FFFFFF" w:val="clear"/>
            <w:vAlign w:val="center"/>
          </w:tcPr>
          <w:p>
            <w:pPr>
              <w:pStyle w:val="TableContents"/>
              <w:bidi w:val="0"/>
              <w:spacing w:before="0" w:after="283"/>
              <w:jc w:val="left"/>
              <w:rPr>
                <w:sz w:val="20"/>
              </w:rPr>
            </w:pPr>
            <w:r>
              <w:rPr>
                <w:sz w:val="20"/>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148.9</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Net loss</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sz w:val="20"/>
              </w:rPr>
            </w:pPr>
            <w:r>
              <w:rPr>
                <w:sz w:val="20"/>
              </w:rPr>
              <w:t>(1,726,929</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457" w:type="dxa"/>
            <w:tcBorders/>
            <w:shd w:fill="EEEEEE" w:val="clear"/>
            <w:vAlign w:val="center"/>
          </w:tcPr>
          <w:p>
            <w:pPr>
              <w:pStyle w:val="TableContents"/>
              <w:bidi w:val="0"/>
              <w:spacing w:before="0" w:after="283"/>
              <w:jc w:val="right"/>
              <w:rPr>
                <w:sz w:val="20"/>
              </w:rPr>
            </w:pPr>
            <w:r>
              <w:rPr>
                <w:sz w:val="20"/>
              </w:rPr>
              <w:t>(1,816,453</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4.93</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(5,991</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Net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sz w:val="20"/>
              </w:rPr>
            </w:pPr>
            <w:r>
              <w:rPr>
                <w:sz w:val="20"/>
              </w:rPr>
              <w:t>(1,726,929</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457" w:type="dxa"/>
            <w:tcBorders/>
            <w:shd w:fill="EEEEEE" w:val="clear"/>
            <w:vAlign w:val="center"/>
          </w:tcPr>
          <w:p>
            <w:pPr>
              <w:pStyle w:val="TableContents"/>
              <w:bidi w:val="0"/>
              <w:spacing w:before="0" w:after="283"/>
              <w:jc w:val="right"/>
              <w:rPr>
                <w:sz w:val="20"/>
              </w:rPr>
            </w:pPr>
            <w:r>
              <w:rPr>
                <w:sz w:val="20"/>
              </w:rPr>
              <w:t>(1,810,462</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4.6</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24,564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101,076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(75.7</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EEEEEE" w:val="clear"/>
            <w:vAlign w:val="center"/>
          </w:tcPr>
          <w:p>
            <w:pPr>
              <w:pStyle w:val="TableContents"/>
              <w:bidi w:val="0"/>
              <w:spacing w:before="0" w:after="283"/>
              <w:jc w:val="left"/>
              <w:rPr>
                <w:sz w:val="20"/>
              </w:rPr>
            </w:pPr>
            <w:r>
              <w:rPr>
                <w:sz w:val="20"/>
              </w:rPr>
              <w:t>Comprehensive loss attributable to iPower Inc.</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sz w:val="20"/>
              </w:rPr>
            </w:pPr>
            <w:r>
              <w:rPr>
                <w:sz w:val="20"/>
              </w:rPr>
              <w:t>$</w:t>
            </w:r>
          </w:p>
        </w:tc>
        <w:tc>
          <w:tcPr>
            <w:tcW w:w="1369" w:type="dxa"/>
            <w:tcBorders/>
            <w:shd w:fill="EEEEEE" w:val="clear"/>
            <w:vAlign w:val="center"/>
          </w:tcPr>
          <w:p>
            <w:pPr>
              <w:pStyle w:val="TableContents"/>
              <w:bidi w:val="0"/>
              <w:spacing w:before="0" w:after="283"/>
              <w:jc w:val="right"/>
              <w:rPr>
                <w:sz w:val="20"/>
              </w:rPr>
            </w:pPr>
            <w:r>
              <w:rPr>
                <w:sz w:val="20"/>
              </w:rPr>
              <w:t>(1,702,365</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457" w:type="dxa"/>
            <w:tcBorders/>
            <w:shd w:fill="EEEEEE" w:val="clear"/>
            <w:vAlign w:val="center"/>
          </w:tcPr>
          <w:p>
            <w:pPr>
              <w:pStyle w:val="TableContents"/>
              <w:bidi w:val="0"/>
              <w:spacing w:before="0" w:after="283"/>
              <w:jc w:val="right"/>
              <w:rPr>
                <w:sz w:val="20"/>
              </w:rPr>
            </w:pPr>
            <w:r>
              <w:rPr>
                <w:sz w:val="20"/>
              </w:rPr>
              <w:t>(1,709,386</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sz w:val="20"/>
              </w:rPr>
            </w:pPr>
            <w:r>
              <w:rPr>
                <w:sz w:val="20"/>
              </w:rPr>
              <w:t>0.41</w:t>
            </w:r>
          </w:p>
        </w:tc>
        <w:tc>
          <w:tcPr>
            <w:tcW w:w="260" w:type="dxa"/>
            <w:tcBorders/>
            <w:shd w:fill="EEEEEE"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Gross profit % of revenues – product sales</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sz w:val="20"/>
              </w:rPr>
            </w:pPr>
            <w:r>
              <w:rPr>
                <w:sz w:val="20"/>
              </w:rPr>
              <w:t>44.0</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457" w:type="dxa"/>
            <w:tcBorders/>
            <w:shd w:fill="EEEEEE" w:val="clear"/>
            <w:vAlign w:val="center"/>
          </w:tcPr>
          <w:p>
            <w:pPr>
              <w:pStyle w:val="TableContents"/>
              <w:bidi w:val="0"/>
              <w:spacing w:before="0" w:after="283"/>
              <w:jc w:val="right"/>
              <w:rPr>
                <w:sz w:val="20"/>
              </w:rPr>
            </w:pPr>
            <w:r>
              <w:rPr>
                <w:sz w:val="20"/>
              </w:rPr>
              <w:t>46.0</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pPr>
            <w:r>
              <w:rPr/>
              <w:t> </w:t>
            </w:r>
          </w:p>
        </w:tc>
        <w:tc>
          <w:tcPr>
            <w:tcW w:w="260"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Gross profit % of revenues – service income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sz w:val="20"/>
              </w:rPr>
            </w:pPr>
            <w:r>
              <w:rPr>
                <w:sz w:val="20"/>
              </w:rPr>
              <w:t>13.1</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sz w:val="20"/>
              </w:rPr>
            </w:pPr>
            <w:r>
              <w:rPr>
                <w:sz w:val="20"/>
              </w:rPr>
              <w:t>17.0</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sz w:val="20"/>
              </w:rPr>
            </w:pPr>
            <w:r>
              <w:rPr>
                <w:sz w:val="20"/>
              </w:rPr>
              <w:t>Operating loss % of revenues</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1369" w:type="dxa"/>
            <w:tcBorders/>
            <w:shd w:fill="EEEEEE" w:val="clear"/>
            <w:vAlign w:val="center"/>
          </w:tcPr>
          <w:p>
            <w:pPr>
              <w:pStyle w:val="TableContents"/>
              <w:bidi w:val="0"/>
              <w:spacing w:before="0" w:after="283"/>
              <w:jc w:val="right"/>
              <w:rPr>
                <w:sz w:val="20"/>
              </w:rPr>
            </w:pPr>
            <w:r>
              <w:rPr>
                <w:sz w:val="20"/>
              </w:rPr>
              <w:t>(21.6</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457" w:type="dxa"/>
            <w:tcBorders/>
            <w:shd w:fill="EEEEEE" w:val="clear"/>
            <w:vAlign w:val="center"/>
          </w:tcPr>
          <w:p>
            <w:pPr>
              <w:pStyle w:val="TableContents"/>
              <w:bidi w:val="0"/>
              <w:spacing w:before="0" w:after="283"/>
              <w:jc w:val="right"/>
              <w:rPr>
                <w:sz w:val="20"/>
              </w:rPr>
            </w:pPr>
            <w:r>
              <w:rPr>
                <w:sz w:val="20"/>
              </w:rPr>
              <w:t>(5.4</w:t>
            </w:r>
          </w:p>
        </w:tc>
        <w:tc>
          <w:tcPr>
            <w:tcW w:w="245"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721" w:type="dxa"/>
            <w:tcBorders/>
            <w:shd w:fill="EEEEEE" w:val="clear"/>
            <w:vAlign w:val="center"/>
          </w:tcPr>
          <w:p>
            <w:pPr>
              <w:pStyle w:val="TableContents"/>
              <w:bidi w:val="0"/>
              <w:spacing w:before="0" w:after="283"/>
              <w:jc w:val="right"/>
              <w:rPr/>
            </w:pPr>
            <w:r>
              <w:rPr/>
              <w:t> </w:t>
            </w:r>
          </w:p>
        </w:tc>
        <w:tc>
          <w:tcPr>
            <w:tcW w:w="260"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Net loss % of revenues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sz w:val="20"/>
              </w:rPr>
            </w:pPr>
            <w:r>
              <w:rPr>
                <w:sz w:val="20"/>
              </w:rPr>
              <w:t>(9.0</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sz w:val="20"/>
              </w:rPr>
            </w:pPr>
            <w:r>
              <w:rPr>
                <w:sz w:val="20"/>
              </w:rPr>
              <w:t>(4.8</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six months ended December 31, 2025 decreased 49.7% to $19,151,069 as compared to $38,081,092 for the six months ended December 31, 2024. While pricing remained stable, the decrease was mainly due to the combination of decreased orders from Amazon and disruption of product supply during the six months ended December 31, 2025. In addition, the Company also experienced a significant decrease in Amazon orders due to uncertainty over tariffs during the six months ended December 31,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for the six months ended December 31, 2025 decreased 47.2% to $11,205,623 as compared to $21,203,309 for the six months ended December 31, 2024. The decrease was primarily due to a combination of the costs related to the logistics service income and the decrease in sales.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$7,945,446 for the six months ended December 31, 2025 as compared to $16,877,783 for the six months ended December 31, 2024. While the overall gross profit ratio of the total sales revenues decreased to 41.5% for the six months ended December 31, 2025 from 44.3% for the six months ended December 31, 2024, the gross profit ratio of product sales revenue for the six months ended December 31, 2025 and 2024 was 44.0% and 46.0%, respectively. The decrease in the gross profit ratio was primarily driven by the decrease in the logistics service income and secondarily by increases in freight costs and product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six months ended December 31, 2025 decreased 36.2% to $12,078,602 as compared to $18,940,610 for the six months ended December 31, 2024. The decrease was mainly due to the combination of a decrease in selling and fulfillment expenses of $2.3 million as a result of decreased sales and costs related to advertising, merchant fees, rental expenses and delivery fees, and a decrease in general and administrative expenses of $4.6 million, which included payroll expenses, stock-based compensation expense, insurance expenses, allowance for credit losses, travel expenses and other operating expenses. The decrease in general and administrative expenses was primarily attributable to the implementation of a cost-cutting plan during the current period, as compared to the prior-year period which included expenses related to the expansion of our vendor network, the development of the SuperSuite platform, and an increase in the allowance for credit losses and inventory reserves totaling $1.8 million for the six months ended December 31, 2024.</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$4,133,156 for the six months ended December 31, 2025 as compared to $2,062,827 for the six months ended December 31, 2024. The increase in loss was primary due to the combination of decrease in sales and operating expenses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of interest expense and other non-operating income (expense). Other income (expense) for the six months ended December 31, 2025 was $1,122,135 as compared to $(269,627) for the six months ended December 31, 2024. The increase in other income was mainly due to combination of the increase in other non-operating income of $1,219,713 resulted from discounted settlement and write-offs of aged accounts payable, recognition of loss on deconsolidation of VIE, a decrease in interest, including amortization of debt discount, on the revolving loan of $73,924 during the six months ended December 31, 2025 resulted from the termination of the revolving ABL, refund of Employee Retention Tax Credit, change in fair value of derivative liability,  and gain on disposal of vehicle.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Income (Loss)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iPower Inc. for the six months ended December 31, 2025 was $1,726,929 as compared to $1,810,462 for the six months ended December 31, 2024, representing a decrease in net loss of $83,533, which was primarily due to the combination of increase in loss from operations and the increase in other income as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Comprehensive Loss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iPower Inc. for the six months ended December 31, 2025 was $1,702,365 as compared to $1,709,386 for the six months ended December 31, 2024, representing a slight decrease in comprehensive loss of $7,021, which was due to the reasons discussed above, along with a decrease in other comprehensive income of $76,512 as a result of foreign currency translation adjustments resulting from the translation of RMB, the functional currency of our subsidiary and VIE in the PRC, to USD, the reporting currency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December 31, 2025, we primarily funded our operations with cash and cash equivalents generated from operations, borrowing from related party, as well as through borrowings under our credit facility from JPMorgan Chase Bank (“JPM”) and close of a convertible notes financing on December 23, 2025. Additionally, on June 18, 2024, we closed on a registered direct offering of 69,445 shares of common stock (the “Shares”) and a concurrent private placement of warrants to purchase up to 69,445 shares of common stock (the “Warrants”), which Shares and Warrants were sold for aggregate gross proceeds of $5,000,002. As of December 31, 2025, we had cash and cash equivalents of $2,011,738, representing a $3,848 increase from $2,007,890 in cash as of June 30, 2025. The cash increase was primarily due to the combined result of cash provided by operating activities, cash used in investing activities and financing activities resulting from our payments to pay down the JPM revolving line of credit and proceeds from convertible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believe that our existing cash and cash equivalents and cash flows from operations will be sufficient to finance our operations during the next 12 months. However, our liquidity and our ability to meet our obligations and fund our capital requirements are dependent on our future financial performance, which is subject to general economic, financial and other factors that are beyond our control, such as rising inflation and potential recession, and our anticipated funding requirements could increase. See “Item 1A - Risk Factors” in our Annual Report on Form 10-K filed with the SEC on October 9,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consist primarily of day-to-day operating expenses and obligations with respect to warehouse leases. We lease all of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 operations normalize and new suppliers we are bringing online transition to credit terms more favorable to us. In addition, we plan to increase the size of our in-house product catalog, which will have a net beneficial impact to our margin profile and ability to generate cash.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current working capital position and available funding from our revolving credit line and proceeds from our June 2024 registered direct offering, we believe we will be able to work through the current challenges by managing payment terms with customers and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As of </w:t>
      </w:r>
      <w:r>
        <w:rPr>
          <w:rFonts w:ascii="Times New Roman;Times;Serif" w:hAnsi="Times New Roman;Times;Serif"/>
          <w:b w:val="false"/>
          <w:i w:val="false"/>
          <w:caps w:val="false"/>
          <w:smallCaps w:val="false"/>
          <w:sz w:val="20"/>
        </w:rPr>
        <w:t>December 31, 2025 and June 30, 2025, our working capital was $6.7 million and $4.9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source of cash provided by operations is from sales of products. Our primary uses of cash from operating activities include payments to suppliers for products, to employees for compensation, and other general expenses. Net cash provided by (used in) operating activities for the six months ended December 31, 2025 and 2024 was $763,906 and $(1,387,926), respectively. The increase in cash provided by operating activities mainly resulted from an increase in cash received from customers, which was partially offset by an increase in cash paid for cost of revenues and operating expenses.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158" w:right="158"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December 31, 2025 and 2024 was $5,593,628 and $664,366, respectively. The increase was mainly due to deconsolidation of VIE cash, payments made for investment in joint venture, purchase of digital assets, and prepayments made for software developments during the quarter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161" w:right="161"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 financing activities was $4,822,051 and $(2,558,389), respectively, for the six months ended December 31, 2025 and 2024. The increase in net cash provided by financing activities was primarily due to a combination of proceeds from a convertible note financing and payments on the revolving loan.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724" w:right="72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4" w:right="72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accounting principles generally accepted in the United States, or GAAP, and pursuant to the rules and regulations of the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unaudited condensed consolidated financial statements, we believe that the following accounting policies are critical to the process of making significant judgments and estimates in the preparation of our unaudited condensed consolidated financial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prior to the delivery of goods to customers are recorded as customer deposits.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 expected loss rate and status of negotiations with the sales channel partner, management reviews its accounts receivable balances each reporting period to determine if an allowance for credit loss is required.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630" w:type="dxa"/>
        <w:jc w:val="left"/>
        <w:tblInd w:w="0" w:type="dxa"/>
        <w:shd w:fill="FFFFFF" w:val="clear"/>
        <w:tblLayout w:type="fixed"/>
        <w:tblCellMar>
          <w:top w:w="0" w:type="dxa"/>
          <w:left w:w="0" w:type="dxa"/>
          <w:bottom w:w="0" w:type="dxa"/>
          <w:right w:w="0" w:type="dxa"/>
        </w:tblCellMar>
      </w:tblPr>
      <w:tblGrid>
        <w:gridCol w:w="75"/>
        <w:gridCol w:w="95"/>
        <w:gridCol w:w="7460"/>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the customer fails to comply with its payment schedule;</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the customer is in serious financial difficulty;</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a significant dispute with the customer has occurred regarding job progress or other matters;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the customer breaches any of its contractual obligations;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the customer appears to be financially distressed due to economic or legal factors;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the business between the customer and the Company is not active; and</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shd w:fill="FFFFFF" w:val="clear"/>
            <w:vAlign w:val="center"/>
          </w:tcPr>
          <w:p>
            <w:pPr>
              <w:pStyle w:val="TableContents"/>
              <w:bidi w:val="0"/>
              <w:spacing w:before="0" w:after="283"/>
              <w:jc w:val="left"/>
              <w:rPr>
                <w:sz w:val="20"/>
              </w:rPr>
            </w:pPr>
            <w:r>
              <w:rPr>
                <w:sz w:val="20"/>
              </w:rPr>
              <w:t>other objective evidence indicates non-collectability of the accounts receivable.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recent tariff policy. In the event we recover amounts previously written off, we will reduce the specific allowance for credit losses.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 net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 costs and reflected in selling and fulfillment expenses. The Company regularly reviews inventory and considers forecasts of future demand, market conditions and product obsolescence.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digital assets, which currently are comprised solely of Bitcoin (“BTC”) and Ethereum (“ETH”), as indefinite-lived intangible assets in accordance with Accounting Standards Codification (“ASC”) Topic 350-60, “Intangibles—Goodwill and Other—Crypto Assets.” The Company has ownership of and control over its digital assets and may use third-party custodial services to secure it. The Company’s digital assets are initially recorded at cost and are subsequently remeasured on the balance sheet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its digital assets on a recurring basis in accordance with ASC Topic 820, “Fair Value Measurement,” based on quoted prices on the active exchange that the Company has determined is its principal market for such digital assets (Level 1 inputs). The Company determines the cost basis of digital assets using the specific identification of each unit received. Realized and unrealized gains and losses from changes in the fair value of digital assets are recognized in the statement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Variable interest entities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2025, the Company entered into a Variable Interest Entity (“VIE”) Contract Termination Agreement with the VIE, pursuant to which all VIE agreements were terminated. As a result, the Company no longer has a controlling financial interest in the VIE. In accordance with ASC 810-10-40, </w:t>
      </w:r>
      <w:r>
        <w:rPr>
          <w:rFonts w:ascii="Times New Roman;Times;Serif" w:hAnsi="Times New Roman;Times;Serif"/>
          <w:b w:val="false"/>
          <w:i/>
          <w:caps w:val="false"/>
          <w:smallCaps w:val="false"/>
          <w:sz w:val="20"/>
        </w:rPr>
        <w:t>Consolidation — Deconsolidation of a Subsidiary or Derecognition of a Group of Assets</w:t>
      </w:r>
      <w:r>
        <w:rPr>
          <w:rFonts w:ascii="Times New Roman;Times;Serif" w:hAnsi="Times New Roman;Times;Serif"/>
          <w:b w:val="false"/>
          <w:i w:val="false"/>
          <w:caps w:val="false"/>
          <w:smallCaps w:val="false"/>
          <w:sz w:val="20"/>
        </w:rPr>
        <w:t>, the Company deconsolidated the VIE as of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price over the fair value of assets acquired and liabilities assumed. The Company accounts for goodwill under </w:t>
      </w:r>
      <w:r>
        <w:rPr>
          <w:rFonts w:ascii="Times New Roman;Times;Serif" w:hAnsi="Times New Roman;Times;Serif"/>
          <w:b w:val="false"/>
          <w:i/>
          <w:caps w:val="false"/>
          <w:smallCaps w:val="false"/>
          <w:sz w:val="20"/>
        </w:rPr>
        <w:t>ASC Topic 350, Intangibles-Goodwill and Other</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December 31, 2025 and 2024, the Company performed a qualitative goodwill impairment analysis following the steps laid out in ASC 350-20-35-3C and noted no goodwill impairment. As of December 31, 2025 and June 30, 2025, the goodwill balance amounted to $3,034,110 and $3,034,110,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u w:val="single"/>
        </w:rPr>
        <w:t xml:space="preserve">Embedded derivative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embedded features of its financial instruments, including its convertible notes payable in accordance with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Certain conversion options and redemption features are required to be bifurcated from their host instrument and accounted for as free-standing derivative financial instruments should certain criteria be met. The Company applies significant judgment to identify and evaluate complex terms and conditions for its financial instruments to determine whether such instruments are derivatives or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and the features of the derivatives. Bifurcated embedded derivatives are recognized at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roll-forward of changes for financial instruments measured at fair value on a recurring basis for the six months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8375" w:type="dxa"/>
        <w:jc w:val="left"/>
        <w:tblInd w:w="0" w:type="dxa"/>
        <w:tblLayout w:type="fixed"/>
        <w:tblCellMar>
          <w:top w:w="0" w:type="dxa"/>
          <w:left w:w="0" w:type="dxa"/>
          <w:bottom w:w="0" w:type="dxa"/>
          <w:right w:w="0" w:type="dxa"/>
        </w:tblCellMar>
      </w:tblPr>
      <w:tblGrid>
        <w:gridCol w:w="7085"/>
        <w:gridCol w:w="60"/>
        <w:gridCol w:w="140"/>
        <w:gridCol w:w="980"/>
        <w:gridCol w:w="110"/>
      </w:tblGrid>
      <w:tr>
        <w:trPr/>
        <w:tc>
          <w:tcPr>
            <w:tcW w:w="7085" w:type="dxa"/>
            <w:tcBorders/>
            <w:vAlign w:val="center"/>
          </w:tcPr>
          <w:p>
            <w:pPr>
              <w:pStyle w:val="TableContents"/>
              <w:bidi w:val="0"/>
              <w:spacing w:before="0" w:after="283"/>
              <w:jc w:val="left"/>
              <w:rPr>
                <w:u w:val="single"/>
              </w:rPr>
            </w:pPr>
            <w:r>
              <w:rPr>
                <w:u w:val="single"/>
              </w:rPr>
              <w:t>Derivative Liability</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110" w:type="dxa"/>
            <w:tcBorders/>
            <w:vAlign w:val="center"/>
          </w:tcPr>
          <w:p>
            <w:pPr>
              <w:pStyle w:val="TableContents"/>
              <w:bidi w:val="0"/>
              <w:spacing w:before="0" w:after="283"/>
              <w:jc w:val="left"/>
              <w:rPr/>
            </w:pPr>
            <w:r>
              <w:rPr/>
              <w:t> </w:t>
            </w:r>
          </w:p>
        </w:tc>
      </w:tr>
      <w:tr>
        <w:trPr/>
        <w:tc>
          <w:tcPr>
            <w:tcW w:w="7085" w:type="dxa"/>
            <w:tcBorders/>
            <w:shd w:fill="EEEEEE" w:val="clear"/>
            <w:vAlign w:val="center"/>
          </w:tcPr>
          <w:p>
            <w:pPr>
              <w:pStyle w:val="TableContents"/>
              <w:bidi w:val="0"/>
              <w:spacing w:before="0" w:after="283"/>
              <w:jc w:val="left"/>
              <w:rPr/>
            </w:pPr>
            <w:r>
              <w:rPr/>
              <w:t>Balance as of June 30, 2025</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Initial fair value upon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1,612,700</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EEEEEE" w:val="clear"/>
            <w:vAlign w:val="center"/>
          </w:tcPr>
          <w:p>
            <w:pPr>
              <w:pStyle w:val="TableContents"/>
              <w:bidi w:val="0"/>
              <w:spacing w:before="0" w:after="283"/>
              <w:jc w:val="left"/>
              <w:rPr/>
            </w:pPr>
            <w:r>
              <w:rPr/>
              <w:t>Extinguishment of derivative liability upon conversion of convertible notes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(23,000</w:t>
            </w:r>
          </w:p>
        </w:tc>
        <w:tc>
          <w:tcPr>
            <w:tcW w:w="110" w:type="dxa"/>
            <w:tcBorders/>
            <w:shd w:fill="EEEEEE" w:val="cle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pPr>
            <w:r>
              <w:rPr/>
              <w:t>Gain on 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(176,600</w:t>
            </w:r>
          </w:p>
        </w:tc>
        <w:tc>
          <w:tcPr>
            <w:tcW w:w="110" w:type="dxa"/>
            <w:tcBorders/>
            <w:shd w:fill="FFFFFF" w:val="clear"/>
            <w:vAlign w:val="center"/>
          </w:tcPr>
          <w:p>
            <w:pPr>
              <w:pStyle w:val="TableContents"/>
              <w:bidi w:val="0"/>
              <w:spacing w:before="0" w:after="283"/>
              <w:jc w:val="left"/>
              <w:rPr/>
            </w:pPr>
            <w:r>
              <w:rPr/>
              <w:t>)</w:t>
            </w:r>
          </w:p>
        </w:tc>
      </w:tr>
      <w:tr>
        <w:trPr/>
        <w:tc>
          <w:tcPr>
            <w:tcW w:w="7085" w:type="dxa"/>
            <w:tcBorders/>
            <w:shd w:fill="EEEEEE" w:val="clear"/>
            <w:vAlign w:val="center"/>
          </w:tcPr>
          <w:p>
            <w:pPr>
              <w:pStyle w:val="TableContents"/>
              <w:bidi w:val="0"/>
              <w:spacing w:before="0" w:after="283"/>
              <w:jc w:val="left"/>
              <w:rPr/>
            </w:pPr>
            <w:r>
              <w:rPr/>
              <w:t>Balance as of June 30, 2025</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1,413,100</w:t>
            </w:r>
          </w:p>
        </w:tc>
        <w:tc>
          <w:tcPr>
            <w:tcW w:w="110" w:type="dxa"/>
            <w:tcBorders/>
            <w:shd w:fill="EEEEEE"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 net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 life intangible assets at December 31, 2025 include a covenant not to compete, supplier relationships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160" w:type="dxa"/>
        <w:jc w:val="left"/>
        <w:tblInd w:w="0" w:type="dxa"/>
        <w:shd w:fill="FFFFFF" w:val="clear"/>
        <w:tblLayout w:type="fixed"/>
        <w:tblCellMar>
          <w:top w:w="0" w:type="dxa"/>
          <w:left w:w="0" w:type="dxa"/>
          <w:bottom w:w="0" w:type="dxa"/>
          <w:right w:w="0" w:type="dxa"/>
        </w:tblCellMar>
      </w:tblPr>
      <w:tblGrid>
        <w:gridCol w:w="2165"/>
        <w:gridCol w:w="60"/>
        <w:gridCol w:w="935"/>
      </w:tblGrid>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Useful Life</w:t>
            </w:r>
          </w:p>
        </w:tc>
      </w:tr>
      <w:tr>
        <w:trPr/>
        <w:tc>
          <w:tcPr>
            <w:tcW w:w="2165" w:type="dxa"/>
            <w:tcBorders/>
            <w:shd w:fill="EEEEEE" w:val="clear"/>
            <w:vAlign w:val="center"/>
          </w:tcPr>
          <w:p>
            <w:pPr>
              <w:pStyle w:val="TableContents"/>
              <w:bidi w:val="0"/>
              <w:spacing w:before="0" w:after="283"/>
              <w:jc w:val="left"/>
              <w:rPr>
                <w:sz w:val="20"/>
              </w:rPr>
            </w:pPr>
            <w:r>
              <w:rPr>
                <w:sz w:val="20"/>
              </w:rPr>
              <w:t>Covenant Not to Compete</w:t>
            </w:r>
          </w:p>
        </w:tc>
        <w:tc>
          <w:tcPr>
            <w:tcW w:w="60" w:type="dxa"/>
            <w:tcBorders/>
            <w:shd w:fill="EEEEEE" w:val="clear"/>
            <w:vAlign w:val="center"/>
          </w:tcPr>
          <w:p>
            <w:pPr>
              <w:pStyle w:val="TableContents"/>
              <w:bidi w:val="0"/>
              <w:spacing w:before="0" w:after="283"/>
              <w:jc w:val="left"/>
              <w:rPr/>
            </w:pPr>
            <w:r>
              <w:rPr/>
              <w:t> </w:t>
            </w:r>
          </w:p>
        </w:tc>
        <w:tc>
          <w:tcPr>
            <w:tcW w:w="935" w:type="dxa"/>
            <w:tcBorders/>
            <w:shd w:fill="EEEEEE" w:val="clear"/>
            <w:vAlign w:val="center"/>
          </w:tcPr>
          <w:p>
            <w:pPr>
              <w:pStyle w:val="TableContents"/>
              <w:bidi w:val="0"/>
              <w:spacing w:before="0" w:after="283"/>
              <w:jc w:val="center"/>
              <w:rPr>
                <w:sz w:val="20"/>
              </w:rPr>
            </w:pPr>
            <w:r>
              <w:rPr>
                <w:sz w:val="20"/>
              </w:rPr>
              <w:t>10 years</w:t>
            </w:r>
          </w:p>
        </w:tc>
      </w:tr>
      <w:tr>
        <w:trPr/>
        <w:tc>
          <w:tcPr>
            <w:tcW w:w="2165" w:type="dxa"/>
            <w:tcBorders/>
            <w:shd w:fill="FFFFFF" w:val="clear"/>
            <w:vAlign w:val="center"/>
          </w:tcPr>
          <w:p>
            <w:pPr>
              <w:pStyle w:val="TableContents"/>
              <w:bidi w:val="0"/>
              <w:spacing w:before="0" w:after="283"/>
              <w:jc w:val="left"/>
              <w:rPr>
                <w:sz w:val="20"/>
              </w:rPr>
            </w:pPr>
            <w:r>
              <w:rPr>
                <w:sz w:val="20"/>
              </w:rPr>
              <w:t>Supplier relationship</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sz w:val="20"/>
              </w:rPr>
            </w:pPr>
            <w:r>
              <w:rPr>
                <w:sz w:val="20"/>
              </w:rPr>
              <w:t>6 years</w:t>
            </w:r>
          </w:p>
        </w:tc>
      </w:tr>
      <w:tr>
        <w:trPr/>
        <w:tc>
          <w:tcPr>
            <w:tcW w:w="2165" w:type="dxa"/>
            <w:tcBorders/>
            <w:shd w:fill="EEEEEE" w:val="clear"/>
            <w:vAlign w:val="center"/>
          </w:tcPr>
          <w:p>
            <w:pPr>
              <w:pStyle w:val="TableContents"/>
              <w:bidi w:val="0"/>
              <w:spacing w:before="0" w:after="283"/>
              <w:jc w:val="left"/>
              <w:rPr>
                <w:sz w:val="20"/>
              </w:rPr>
            </w:pPr>
            <w:r>
              <w:rPr>
                <w:sz w:val="20"/>
              </w:rPr>
              <w:t>Software</w:t>
            </w:r>
          </w:p>
        </w:tc>
        <w:tc>
          <w:tcPr>
            <w:tcW w:w="60" w:type="dxa"/>
            <w:tcBorders/>
            <w:shd w:fill="EEEEEE" w:val="clear"/>
            <w:vAlign w:val="center"/>
          </w:tcPr>
          <w:p>
            <w:pPr>
              <w:pStyle w:val="TableContents"/>
              <w:bidi w:val="0"/>
              <w:spacing w:before="0" w:after="283"/>
              <w:jc w:val="left"/>
              <w:rPr/>
            </w:pPr>
            <w:r>
              <w:rPr/>
              <w:t> </w:t>
            </w:r>
          </w:p>
        </w:tc>
        <w:tc>
          <w:tcPr>
            <w:tcW w:w="935" w:type="dxa"/>
            <w:tcBorders/>
            <w:shd w:fill="EEEEEE" w:val="clear"/>
            <w:vAlign w:val="center"/>
          </w:tcPr>
          <w:p>
            <w:pPr>
              <w:pStyle w:val="TableContents"/>
              <w:bidi w:val="0"/>
              <w:spacing w:before="0" w:after="283"/>
              <w:jc w:val="center"/>
              <w:rPr>
                <w:sz w:val="20"/>
              </w:rPr>
            </w:pPr>
            <w:r>
              <w:rPr>
                <w:sz w:val="20"/>
              </w:rPr>
              <w:t>5 years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The Company did not record any impairment charge for the six months ended December 31, 2025 and 2024.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forfeitures of such equity-based compensation as they occur.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A valuation allowance must be established for deferred tax assets when it is more-likely-than-not (a probability level of more than 50%) that they will not be realized. Valuation allowances are recorded, when necessary, to reduce deferred tax assets to the amount expected to be realized.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forth under Note 2 to the unaudited condensed consolidated financial statements under “Recently issued accounting pronouncements,” the Company does not believe other recently issued but not yet effective accounting standards, if currently adopted, would have a material effect on the consolidated financial position, statements of operations and cash flows.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996" w:name="q2_009"/>
      <w:bookmarkEnd w:id="996"/>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997" w:name="q2_010"/>
      <w:bookmarkEnd w:id="997"/>
      <w:r>
        <w:rPr>
          <w:rFonts w:ascii="Times New Roman;Times;Serif" w:hAnsi="Times New Roman;Times;Serif"/>
          <w:b/>
          <w:i w:val="false"/>
          <w:caps w:val="false"/>
          <w:smallCaps w:val="false"/>
          <w:sz w:val="20"/>
        </w:rPr>
        <w:t>ITEM 4.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Evaluation of Disclosure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management carried out an evaluation, under the supervision and with the participation of our Chief Executive Officer and Interim Chief Financial Officer, of the effectiveness of the design and operation of our disclosure controls and procedures. Based on the foregoing, our management concluded that our internal controls over financial reporting were not effective because, among other things,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in Internal Controls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controls over financial reporting that occurred during the quarter ended December 31, 2025 that have materially affected, or are reasonably likely to materially affect, our internal controls over financial reporting.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98" w:name="q2_011"/>
      <w:bookmarkEnd w:id="998"/>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99" w:name="q2_012"/>
      <w:bookmarkEnd w:id="999"/>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not presently party to any pending or threatened legal proceedings or claims that we believe will have a material adverse effect on our business, financial condition, or operating results, although from time to time, we may become involved in legal proceedings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0" w:name="q2_013"/>
      <w:bookmarkEnd w:id="1000"/>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refer to Part I, Item 1A, Risk Factors, of our Annual Report on Form 10-K for the year ended June 30, </w:t>
      </w:r>
      <w:r>
        <w:rPr>
          <w:rFonts w:ascii="Times New Roman;Times;Serif" w:hAnsi="Times New Roman;Times;Serif"/>
          <w:b w:val="false"/>
          <w:i w:val="false"/>
          <w:caps w:val="false"/>
          <w:smallCaps w:val="false"/>
          <w:sz w:val="20"/>
        </w:rPr>
        <w:t>2025 for a detailed description of our significant risk factors. As of December 31, 2025, there have been no material changes from those risk factors disclosed in our Annual Report on Form 10-K for the year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1" w:name="q2_014"/>
      <w:bookmarkEnd w:id="1001"/>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2" w:name="q2_015"/>
      <w:bookmarkEnd w:id="1002"/>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3" w:name="q2_016"/>
      <w:bookmarkEnd w:id="1003"/>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4" w:name="q2_017"/>
      <w:bookmarkEnd w:id="1004"/>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10b5-1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our fiscal quarter ended December 31, 2025, none of our directors or officers informed us of the </w:t>
      </w:r>
      <w:bookmarkStart w:id="1005" w:name="xdx_90E_eecd--NonRule10b51ArrAdoptedFlag"/>
      <w:bookmarkStart w:id="1006" w:name="xdx_90D_eecd--Rule10b51ArrAdoptedFlag_db"/>
      <w:bookmarkEnd w:id="1005"/>
      <w:bookmarkEnd w:id="1006"/>
      <w:r>
        <w:rPr>
          <w:rFonts w:ascii="Times New Roman;Times;Serif" w:hAnsi="Times New Roman;Times;Serif"/>
          <w:b w:val="false"/>
          <w:i w:val="false"/>
          <w:caps w:val="false"/>
          <w:smallCaps w:val="false"/>
          <w:sz w:val="20"/>
        </w:rPr>
        <w:t xml:space="preserve">adoption or </w:t>
      </w:r>
      <w:bookmarkStart w:id="1007" w:name="xdx_900_eecd--NonRule10b51ArrTrmntdFlag_"/>
      <w:bookmarkStart w:id="1008" w:name="xdx_903_eecd--Rule10b51ArrTrmntdFlag_dbF"/>
      <w:bookmarkEnd w:id="1007"/>
      <w:bookmarkEnd w:id="1008"/>
      <w:r>
        <w:rPr>
          <w:rFonts w:ascii="Times New Roman;Times;Serif" w:hAnsi="Times New Roman;Times;Serif"/>
          <w:b w:val="false"/>
          <w:i w:val="false"/>
          <w:caps w:val="false"/>
          <w:smallCaps w:val="false"/>
          <w:sz w:val="20"/>
        </w:rPr>
        <w:t>termination of a “Rule 10b5-1 trading arrangement” or “non-Rule 10b5-1 trading arrangement” as those terms are defined in Item 408(a)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Company’s Board established April 13, 2026 as the date of the Company’s 2026 Annual Meeting of Stockholders (the “2026 Annual Meeting”). The exact time and place of the 2026 Annual Meeting will be specified in our proxy statement and related material for the 2026 Annual Meeting. Because the date of the 2026 Annual Meeting has been changed by more than 30 days since the first anniversary of our 2025 Annual Meeting of Stockholders held on June 23, 2025, the Board has set a new deadline for the receipt of any stockholder proposals submitted for the 2026 Annual Meeting. If a stockholder desires to present a proposal for inclusion in our proxy statement for the 2026 Annual Meeting, the proposal must be submitted in writing to us for receipt not later than March 1, 2026. Additionally, to be included in our proxy materials, proposals must comply with the proxy rules relating to stockholder proposals, in particular Rule 14a-8 under the Exchange Act. Stockholders who wish to raise a proposal for consideration at the 2026 Annual Meeting, but who do not wish to submit a proposal for inclusion in our proxy materials pursuant to Rule 14a-8, should comply with our bylaws and deliver to us a copy of their proposal no later than March 1, 2026. If a stockholder fails to provide such notice, the respective proposal need not be addressed in our proxy materials and the proxies may exercise their discretionary voting authority if the proposal is raised at the 2026 Annual Meeting. In addition to satisfying the requirements of the advance notice provisions of our bylaws, stockholders who intend to solicit proxies in support of director nominees other than our nominees must provide us with the information required by Rule 14a-19(b) under the Exchange Act. In any case, proposals should be sent to iPower Inc., 8798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Rancho Cucamonga, CA 91730, Attention: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9" w:name="q2_018"/>
      <w:bookmarkEnd w:id="100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furnished with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2"/>
        <w:gridCol w:w="60"/>
        <w:gridCol w:w="9343"/>
      </w:tblGrid>
      <w:tr>
        <w:trPr/>
        <w:tc>
          <w:tcPr>
            <w:tcW w:w="802"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43" w:type="dxa"/>
            <w:tcBorders>
              <w:bottom w:val="single" w:sz="8" w:space="0" w:color="000000"/>
            </w:tcBorders>
            <w:vAlign w:val="center"/>
          </w:tcPr>
          <w:p>
            <w:pPr>
              <w:pStyle w:val="TableContents"/>
              <w:bidi w:val="0"/>
              <w:spacing w:before="0" w:after="283"/>
              <w:jc w:val="both"/>
              <w:rPr>
                <w:b/>
                <w:sz w:val="20"/>
              </w:rPr>
            </w:pPr>
            <w:r>
              <w:rPr>
                <w:b/>
                <w:sz w:val="20"/>
              </w:rPr>
              <w:t>Description of Exhibit</w:t>
            </w:r>
          </w:p>
        </w:tc>
      </w:tr>
      <w:tr>
        <w:trPr/>
        <w:tc>
          <w:tcPr>
            <w:tcW w:w="802" w:type="dxa"/>
            <w:tcBorders/>
            <w:tcMar>
              <w:bottom w:w="0" w:type="dxa"/>
            </w:tcMar>
            <w:vAlign w:val="center"/>
          </w:tcPr>
          <w:p>
            <w:pPr>
              <w:pStyle w:val="TableContents"/>
              <w:bidi w:val="0"/>
              <w:spacing w:before="0" w:after="283"/>
              <w:jc w:val="left"/>
              <w:rPr>
                <w:sz w:val="20"/>
              </w:rPr>
            </w:pPr>
            <w:r>
              <w:rPr>
                <w:sz w:val="20"/>
              </w:rPr>
              <w:t>3.1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2">
              <w:r>
                <w:rPr>
                  <w:rStyle w:val="InternetLink"/>
                  <w:sz w:val="20"/>
                </w:rPr>
                <w:t>Sixth Amended and Restated Articles of Incorporation of iPower Inc.</w:t>
              </w:r>
            </w:hyperlink>
            <w:r>
              <w:rPr/>
              <w:t xml:space="preserve"> </w:t>
            </w:r>
            <w:r>
              <w:rPr>
                <w:sz w:val="20"/>
              </w:rPr>
              <w:t>(incorporated by reference to Exhibit 3.3 to Amendment No. 3 to the Registration Statement on Form S-1 filed May 5, 2021).</w:t>
            </w:r>
          </w:p>
        </w:tc>
      </w:tr>
      <w:tr>
        <w:trPr/>
        <w:tc>
          <w:tcPr>
            <w:tcW w:w="802" w:type="dxa"/>
            <w:tcBorders/>
            <w:tcMar>
              <w:bottom w:w="0" w:type="dxa"/>
            </w:tcMar>
            <w:vAlign w:val="center"/>
          </w:tcPr>
          <w:p>
            <w:pPr>
              <w:pStyle w:val="TableContents"/>
              <w:bidi w:val="0"/>
              <w:spacing w:before="0" w:after="283"/>
              <w:jc w:val="left"/>
              <w:rPr>
                <w:sz w:val="20"/>
              </w:rPr>
            </w:pPr>
            <w:r>
              <w:rPr>
                <w:sz w:val="20"/>
              </w:rPr>
              <w:t>3.2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3">
              <w:r>
                <w:rPr>
                  <w:rStyle w:val="InternetLink"/>
                  <w:sz w:val="20"/>
                </w:rPr>
                <w:t>Amendment to Articles of Incorporation</w:t>
              </w:r>
            </w:hyperlink>
            <w:r>
              <w:rPr/>
              <w:t xml:space="preserve"> </w:t>
            </w:r>
            <w:r>
              <w:rPr>
                <w:sz w:val="20"/>
              </w:rPr>
              <w:t>(incorporated by reference to Exhibit 3.1 to the Current Report on Form 8-K filed October 21, 2025).</w:t>
            </w:r>
          </w:p>
        </w:tc>
      </w:tr>
      <w:tr>
        <w:trPr/>
        <w:tc>
          <w:tcPr>
            <w:tcW w:w="802" w:type="dxa"/>
            <w:tcBorders/>
            <w:tcMar>
              <w:bottom w:w="0" w:type="dxa"/>
            </w:tcMar>
            <w:vAlign w:val="center"/>
          </w:tcPr>
          <w:p>
            <w:pPr>
              <w:pStyle w:val="TableContents"/>
              <w:bidi w:val="0"/>
              <w:spacing w:before="0" w:after="283"/>
              <w:jc w:val="left"/>
              <w:rPr>
                <w:sz w:val="20"/>
              </w:rPr>
            </w:pPr>
            <w:r>
              <w:rPr>
                <w:sz w:val="20"/>
              </w:rPr>
              <w:t>3.3</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4">
              <w:r>
                <w:rPr>
                  <w:rStyle w:val="InternetLink"/>
                  <w:sz w:val="20"/>
                </w:rPr>
                <w:t>Third Amended and Restated Bylaws of iPower Inc.</w:t>
              </w:r>
            </w:hyperlink>
            <w:r>
              <w:rPr/>
              <w:t xml:space="preserve"> </w:t>
            </w:r>
            <w:r>
              <w:rPr>
                <w:sz w:val="20"/>
              </w:rPr>
              <w:t>(incorporated by reference to Exhibit 3.1 to the Current Report on Form 8-K filed on June 11, 2025).</w:t>
            </w:r>
          </w:p>
        </w:tc>
      </w:tr>
      <w:tr>
        <w:trPr/>
        <w:tc>
          <w:tcPr>
            <w:tcW w:w="802" w:type="dxa"/>
            <w:tcBorders/>
            <w:tcMar>
              <w:bottom w:w="0" w:type="dxa"/>
            </w:tcMar>
            <w:vAlign w:val="center"/>
          </w:tcPr>
          <w:p>
            <w:pPr>
              <w:pStyle w:val="TableContents"/>
              <w:bidi w:val="0"/>
              <w:spacing w:before="0" w:after="283"/>
              <w:jc w:val="left"/>
              <w:rPr>
                <w:sz w:val="20"/>
              </w:rPr>
            </w:pPr>
            <w:r>
              <w:rPr>
                <w:sz w:val="20"/>
              </w:rPr>
              <w:t>4.1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5">
              <w:r>
                <w:rPr>
                  <w:rStyle w:val="InternetLink"/>
                  <w:sz w:val="20"/>
                </w:rPr>
                <w:t>Form of Series A Senior Secured Convertible Notes</w:t>
              </w:r>
            </w:hyperlink>
            <w:r>
              <w:rPr/>
              <w:t xml:space="preserve"> </w:t>
            </w:r>
            <w:r>
              <w:rPr>
                <w:sz w:val="20"/>
              </w:rPr>
              <w:t>(incorporated by reference to Exhibit 4.1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4.2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6">
              <w:r>
                <w:rPr>
                  <w:rStyle w:val="InternetLink"/>
                  <w:sz w:val="20"/>
                </w:rPr>
                <w:t>Form of Series B Senior Secured Convertible Notes</w:t>
              </w:r>
            </w:hyperlink>
            <w:r>
              <w:rPr/>
              <w:t xml:space="preserve"> </w:t>
            </w:r>
            <w:r>
              <w:rPr>
                <w:sz w:val="20"/>
              </w:rPr>
              <w:t>(incorporated by reference to Exhibit 4.1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7">
              <w:r>
                <w:rPr>
                  <w:rStyle w:val="InternetLink"/>
                  <w:sz w:val="20"/>
                </w:rPr>
                <w:t>Form of Promissory Note</w:t>
              </w:r>
            </w:hyperlink>
            <w:r>
              <w:rPr/>
              <w:t xml:space="preserve"> </w:t>
            </w:r>
            <w:r>
              <w:rPr>
                <w:sz w:val="20"/>
              </w:rPr>
              <w:t>(portions of this exhibit have been omitted due to confidentiality in accordance with Item 601(b)(2)(ii) of Regulation S-K) (incorporated by reference to Exhibit 10.1 to the Current Report on Form 8-K filed on December 1, 2025).</w:t>
            </w:r>
          </w:p>
        </w:tc>
      </w:tr>
      <w:tr>
        <w:trPr/>
        <w:tc>
          <w:tcPr>
            <w:tcW w:w="802" w:type="dxa"/>
            <w:tcBorders/>
            <w:tcMar>
              <w:bottom w:w="0" w:type="dxa"/>
            </w:tcMar>
            <w:vAlign w:val="center"/>
          </w:tcPr>
          <w:p>
            <w:pPr>
              <w:pStyle w:val="TableContents"/>
              <w:bidi w:val="0"/>
              <w:spacing w:before="0" w:after="283"/>
              <w:jc w:val="left"/>
              <w:rPr>
                <w:sz w:val="20"/>
              </w:rPr>
            </w:pPr>
            <w:r>
              <w:rPr>
                <w:sz w:val="20"/>
              </w:rPr>
              <w:t>10.2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8">
              <w:r>
                <w:rPr>
                  <w:rStyle w:val="InternetLink"/>
                  <w:sz w:val="20"/>
                </w:rPr>
                <w:t>Form of Securities Purchase Agreement, dated December 22, 2025, between iPower Inc. and the Investor</w:t>
              </w:r>
            </w:hyperlink>
            <w:r>
              <w:rPr/>
              <w:t xml:space="preserve"> </w:t>
            </w:r>
            <w:r>
              <w:rPr>
                <w:sz w:val="20"/>
              </w:rPr>
              <w:t>(incorporated by reference to Exhibit 10.1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10.3</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9">
              <w:r>
                <w:rPr>
                  <w:rStyle w:val="InternetLink"/>
                  <w:sz w:val="20"/>
                </w:rPr>
                <w:t>Form of Security and Pledge Agreement</w:t>
              </w:r>
            </w:hyperlink>
            <w:r>
              <w:rPr/>
              <w:t xml:space="preserve"> </w:t>
            </w:r>
            <w:r>
              <w:rPr>
                <w:sz w:val="20"/>
              </w:rPr>
              <w:t>(incorporated by reference to Exhibit 10.2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10">
              <w:r>
                <w:rPr>
                  <w:rStyle w:val="InternetLink"/>
                  <w:sz w:val="20"/>
                </w:rPr>
                <w:t>Form of Guaranty</w:t>
              </w:r>
            </w:hyperlink>
            <w:r>
              <w:rPr/>
              <w:t xml:space="preserve"> </w:t>
            </w:r>
            <w:r>
              <w:rPr>
                <w:sz w:val="20"/>
              </w:rPr>
              <w:t>(incorporated by reference to Exhibit 10.3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10.5</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r:id="rId11">
              <w:r>
                <w:rPr>
                  <w:rStyle w:val="InternetLink"/>
                  <w:sz w:val="20"/>
                </w:rPr>
                <w:t>Form of Registration Rights Agreement</w:t>
              </w:r>
            </w:hyperlink>
            <w:r>
              <w:rPr/>
              <w:t xml:space="preserve"> </w:t>
            </w:r>
            <w:r>
              <w:rPr>
                <w:sz w:val="20"/>
              </w:rPr>
              <w:t>(incorporated by reference to Exhibit 10.4 to the Current Report on Form 8-K filed on December 23, 2025).</w:t>
            </w:r>
          </w:p>
        </w:tc>
      </w:tr>
      <w:tr>
        <w:trPr/>
        <w:tc>
          <w:tcPr>
            <w:tcW w:w="802" w:type="dxa"/>
            <w:tcBorders/>
            <w:tcMar>
              <w:bottom w:w="0" w:type="dxa"/>
            </w:tcMar>
            <w:vAlign w:val="center"/>
          </w:tcPr>
          <w:p>
            <w:pPr>
              <w:pStyle w:val="TableContents"/>
              <w:bidi w:val="0"/>
              <w:spacing w:before="0" w:after="283"/>
              <w:jc w:val="left"/>
              <w:rPr>
                <w:sz w:val="20"/>
              </w:rPr>
            </w:pPr>
            <w:r>
              <w:rPr>
                <w:sz w:val="20"/>
              </w:rPr>
              <w:t>31.1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w:anchor="ipower_ex3101.htm">
              <w:r>
                <w:rPr>
                  <w:rStyle w:val="InternetLink"/>
                  <w:sz w:val="20"/>
                </w:rPr>
                <w:t>Certification of Chief Executive Officer pursuant to Section 302 of the Sarbanes-Oxley Act of 2002</w:t>
              </w:r>
            </w:hyperlink>
            <w:r>
              <w:rPr/>
              <w:t xml:space="preserve"> </w:t>
            </w:r>
            <w:r>
              <w:rPr>
                <w:sz w:val="20"/>
              </w:rPr>
              <w:t>*</w:t>
            </w:r>
          </w:p>
        </w:tc>
      </w:tr>
      <w:tr>
        <w:trPr/>
        <w:tc>
          <w:tcPr>
            <w:tcW w:w="802" w:type="dxa"/>
            <w:tcBorders/>
            <w:tcMar>
              <w:bottom w:w="0" w:type="dxa"/>
            </w:tcMar>
            <w:vAlign w:val="center"/>
          </w:tcPr>
          <w:p>
            <w:pPr>
              <w:pStyle w:val="TableContents"/>
              <w:bidi w:val="0"/>
              <w:spacing w:before="0" w:after="283"/>
              <w:jc w:val="left"/>
              <w:rPr>
                <w:sz w:val="20"/>
              </w:rPr>
            </w:pPr>
            <w:r>
              <w:rPr>
                <w:sz w:val="20"/>
              </w:rPr>
              <w:t>31.2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w:anchor="ipower_ex3102.htm">
              <w:r>
                <w:rPr>
                  <w:rStyle w:val="InternetLink"/>
                  <w:sz w:val="20"/>
                </w:rPr>
                <w:t>Certification of Chief Financial Officer pursuant to Section 302 of the Sarbanes-Oxley Act of 2002</w:t>
              </w:r>
            </w:hyperlink>
            <w:r>
              <w:rPr/>
              <w:t xml:space="preserve"> </w:t>
            </w:r>
            <w:r>
              <w:rPr>
                <w:sz w:val="20"/>
              </w:rPr>
              <w:t>*</w:t>
            </w:r>
          </w:p>
        </w:tc>
      </w:tr>
      <w:tr>
        <w:trPr/>
        <w:tc>
          <w:tcPr>
            <w:tcW w:w="802" w:type="dxa"/>
            <w:tcBorders/>
            <w:tcMar>
              <w:bottom w:w="0" w:type="dxa"/>
            </w:tcMar>
            <w:vAlign w:val="center"/>
          </w:tcPr>
          <w:p>
            <w:pPr>
              <w:pStyle w:val="TableContents"/>
              <w:bidi w:val="0"/>
              <w:spacing w:before="0" w:after="283"/>
              <w:jc w:val="left"/>
              <w:rPr>
                <w:sz w:val="20"/>
              </w:rPr>
            </w:pPr>
            <w:r>
              <w:rPr>
                <w:sz w:val="20"/>
              </w:rPr>
              <w:t>32.1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w:anchor="ipower_ex3201.htm">
              <w:r>
                <w:rPr>
                  <w:rStyle w:val="InternetLink"/>
                  <w:sz w:val="20"/>
                </w:rPr>
                <w:t>Certification of Chief Executive Officer Pursuant to 18 U.S.C. Section 1350, As Adopted Pursuant to Section 906 of the Sarbanes-Oxley Act of 2002</w:t>
              </w:r>
            </w:hyperlink>
            <w:r>
              <w:rPr/>
              <w:t xml:space="preserve"> </w:t>
            </w:r>
            <w:r>
              <w:rPr>
                <w:sz w:val="20"/>
              </w:rPr>
              <w:t>**</w:t>
            </w:r>
          </w:p>
        </w:tc>
      </w:tr>
      <w:tr>
        <w:trPr/>
        <w:tc>
          <w:tcPr>
            <w:tcW w:w="802" w:type="dxa"/>
            <w:tcBorders/>
            <w:tcMar>
              <w:bottom w:w="0" w:type="dxa"/>
            </w:tcMar>
            <w:vAlign w:val="center"/>
          </w:tcPr>
          <w:p>
            <w:pPr>
              <w:pStyle w:val="TableContents"/>
              <w:bidi w:val="0"/>
              <w:spacing w:before="0" w:after="283"/>
              <w:jc w:val="left"/>
              <w:rPr>
                <w:sz w:val="20"/>
              </w:rPr>
            </w:pPr>
            <w:r>
              <w:rPr>
                <w:sz w:val="20"/>
              </w:rPr>
              <w:t>32.2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w:anchor="ipower_ex3202.htm">
              <w:r>
                <w:rPr>
                  <w:rStyle w:val="InternetLink"/>
                  <w:sz w:val="20"/>
                </w:rPr>
                <w:t>Certification of Chief Financial Officer Pursuant to 18 U.S.C. Section 1350, As Adopted Pursuant to Section 906 of the Sarbanes-Oxley Act of 2002</w:t>
              </w:r>
            </w:hyperlink>
            <w:r>
              <w:rPr/>
              <w:t xml:space="preserve"> </w:t>
            </w:r>
            <w:r>
              <w:rPr>
                <w:sz w:val="20"/>
              </w:rPr>
              <w:t>**</w:t>
            </w:r>
          </w:p>
        </w:tc>
      </w:tr>
      <w:tr>
        <w:trPr/>
        <w:tc>
          <w:tcPr>
            <w:tcW w:w="802" w:type="dxa"/>
            <w:tcBorders/>
            <w:tcMar>
              <w:bottom w:w="0" w:type="dxa"/>
            </w:tcMar>
            <w:vAlign w:val="center"/>
          </w:tcPr>
          <w:p>
            <w:pPr>
              <w:pStyle w:val="TableContents"/>
              <w:bidi w:val="0"/>
              <w:spacing w:before="0" w:after="283"/>
              <w:jc w:val="left"/>
              <w:rPr>
                <w:sz w:val="20"/>
              </w:rPr>
            </w:pPr>
            <w:r>
              <w:rPr>
                <w:sz w:val="20"/>
              </w:rPr>
              <w:t>101.INS</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Instance Document - the instance document does not appear in the Interactive Data File because XBRL tags are embedded within the Inline XBRL document</w:t>
            </w:r>
          </w:p>
        </w:tc>
      </w:tr>
      <w:tr>
        <w:trPr/>
        <w:tc>
          <w:tcPr>
            <w:tcW w:w="802" w:type="dxa"/>
            <w:tcBorders/>
            <w:tcMar>
              <w:bottom w:w="0" w:type="dxa"/>
            </w:tcMar>
            <w:vAlign w:val="center"/>
          </w:tcPr>
          <w:p>
            <w:pPr>
              <w:pStyle w:val="TableContents"/>
              <w:bidi w:val="0"/>
              <w:spacing w:before="0" w:after="283"/>
              <w:jc w:val="left"/>
              <w:rPr>
                <w:sz w:val="20"/>
              </w:rPr>
            </w:pPr>
            <w:r>
              <w:rPr>
                <w:sz w:val="20"/>
              </w:rPr>
              <w:t>101.SCH</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Taxonomy Schema Document</w:t>
            </w:r>
          </w:p>
        </w:tc>
      </w:tr>
      <w:tr>
        <w:trPr/>
        <w:tc>
          <w:tcPr>
            <w:tcW w:w="802" w:type="dxa"/>
            <w:tcBorders/>
            <w:tcMar>
              <w:bottom w:w="0" w:type="dxa"/>
            </w:tcMar>
            <w:vAlign w:val="center"/>
          </w:tcPr>
          <w:p>
            <w:pPr>
              <w:pStyle w:val="TableContents"/>
              <w:bidi w:val="0"/>
              <w:spacing w:before="0" w:after="283"/>
              <w:jc w:val="left"/>
              <w:rPr>
                <w:sz w:val="20"/>
              </w:rPr>
            </w:pPr>
            <w:r>
              <w:rPr>
                <w:sz w:val="20"/>
              </w:rPr>
              <w:t>101.CAL</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Taxonomy Calculation Linkbase Document</w:t>
            </w:r>
          </w:p>
        </w:tc>
      </w:tr>
      <w:tr>
        <w:trPr/>
        <w:tc>
          <w:tcPr>
            <w:tcW w:w="802" w:type="dxa"/>
            <w:tcBorders/>
            <w:tcMar>
              <w:bottom w:w="0" w:type="dxa"/>
            </w:tcMar>
            <w:vAlign w:val="center"/>
          </w:tcPr>
          <w:p>
            <w:pPr>
              <w:pStyle w:val="TableContents"/>
              <w:bidi w:val="0"/>
              <w:spacing w:before="0" w:after="283"/>
              <w:jc w:val="left"/>
              <w:rPr>
                <w:sz w:val="20"/>
              </w:rPr>
            </w:pPr>
            <w:r>
              <w:rPr>
                <w:sz w:val="20"/>
              </w:rPr>
              <w:t>101.DEF</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Taxonomy Definition Linkbase Data</w:t>
            </w:r>
          </w:p>
        </w:tc>
      </w:tr>
      <w:tr>
        <w:trPr/>
        <w:tc>
          <w:tcPr>
            <w:tcW w:w="802" w:type="dxa"/>
            <w:tcBorders/>
            <w:tcMar>
              <w:bottom w:w="0" w:type="dxa"/>
            </w:tcMar>
            <w:vAlign w:val="center"/>
          </w:tcPr>
          <w:p>
            <w:pPr>
              <w:pStyle w:val="TableContents"/>
              <w:bidi w:val="0"/>
              <w:spacing w:before="0" w:after="283"/>
              <w:jc w:val="left"/>
              <w:rPr>
                <w:sz w:val="20"/>
              </w:rPr>
            </w:pPr>
            <w:r>
              <w:rPr>
                <w:sz w:val="20"/>
              </w:rPr>
              <w:t>101.LAB</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Taxonomy Label Linkbase Document</w:t>
            </w:r>
          </w:p>
        </w:tc>
      </w:tr>
      <w:tr>
        <w:trPr/>
        <w:tc>
          <w:tcPr>
            <w:tcW w:w="802" w:type="dxa"/>
            <w:tcBorders/>
            <w:tcMar>
              <w:bottom w:w="0" w:type="dxa"/>
            </w:tcMar>
            <w:vAlign w:val="center"/>
          </w:tcPr>
          <w:p>
            <w:pPr>
              <w:pStyle w:val="TableContents"/>
              <w:bidi w:val="0"/>
              <w:spacing w:before="0" w:after="283"/>
              <w:jc w:val="left"/>
              <w:rPr>
                <w:sz w:val="20"/>
              </w:rPr>
            </w:pPr>
            <w:r>
              <w:rPr>
                <w:sz w:val="20"/>
              </w:rPr>
              <w:t>101.PRE</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Inline XBRL Taxonomy Presentation Linkbase Document</w:t>
            </w:r>
          </w:p>
        </w:tc>
      </w:tr>
      <w:tr>
        <w:trPr/>
        <w:tc>
          <w:tcPr>
            <w:tcW w:w="802"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10" w:name="q2_019"/>
      <w:bookmarkEnd w:id="101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0" w:type="dxa"/>
        <w:tblLayout w:type="fixed"/>
        <w:tblCellMar>
          <w:top w:w="0" w:type="dxa"/>
          <w:left w:w="0" w:type="dxa"/>
          <w:bottom w:w="0" w:type="dxa"/>
          <w:right w:w="0" w:type="dxa"/>
        </w:tblCellMar>
      </w:tblPr>
      <w:tblGrid>
        <w:gridCol w:w="1520"/>
        <w:gridCol w:w="320"/>
        <w:gridCol w:w="5675"/>
      </w:tblGrid>
      <w:tr>
        <w:trPr/>
        <w:tc>
          <w:tcPr>
            <w:tcW w:w="1520"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b/>
                <w:sz w:val="20"/>
              </w:rPr>
            </w:pPr>
            <w:r>
              <w:rPr>
                <w:b/>
                <w:sz w:val="20"/>
              </w:rPr>
              <w:t>iPower Inc.</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20"/>
              </w:rPr>
            </w:pPr>
            <w:r>
              <w:rPr>
                <w:sz w:val="20"/>
              </w:rPr>
              <w:t>February 20, 2026</w:t>
            </w:r>
          </w:p>
        </w:tc>
        <w:tc>
          <w:tcPr>
            <w:tcW w:w="320" w:type="dxa"/>
            <w:tcBorders/>
            <w:vAlign w:val="center"/>
          </w:tcPr>
          <w:p>
            <w:pPr>
              <w:pStyle w:val="TableContents"/>
              <w:bidi w:val="0"/>
              <w:spacing w:before="0" w:after="283"/>
              <w:jc w:val="left"/>
              <w:rPr>
                <w:sz w:val="20"/>
              </w:rPr>
            </w:pPr>
            <w:r>
              <w:rPr>
                <w:sz w:val="20"/>
              </w:rPr>
              <w:t>By:</w:t>
            </w:r>
          </w:p>
        </w:tc>
        <w:tc>
          <w:tcPr>
            <w:tcW w:w="567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/s/ Chenlong Tan </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center"/>
              <w:rPr>
                <w:sz w:val="20"/>
              </w:rPr>
            </w:pPr>
            <w:r>
              <w:rPr>
                <w:sz w:val="20"/>
              </w:rPr>
              <w:t xml:space="preserve">Chenlong Tan </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center"/>
              <w:rPr>
                <w:sz w:val="20"/>
              </w:rPr>
            </w:pPr>
            <w:r>
              <w:rPr>
                <w:sz w:val="20"/>
              </w:rPr>
              <w:t>Chief Executive Officer, President and Interim Chief Financial Officer</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1" w:name="ipower_ex3101.htm"/>
      <w:bookmarkStart w:id="1012" w:name="ksipower_ex3101"/>
      <w:bookmarkEnd w:id="1011"/>
      <w:bookmarkEnd w:id="101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Chenlong Tan, certify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period ended December 31, 2025 of iPower Inc. (the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000"/>
        <w:gridCol w:w="2360"/>
      </w:tblGrid>
      <w:tr>
        <w:trPr/>
        <w:tc>
          <w:tcPr>
            <w:tcW w:w="2000" w:type="dxa"/>
            <w:tcBorders/>
            <w:vAlign w:val="center"/>
          </w:tcPr>
          <w:p>
            <w:pPr>
              <w:pStyle w:val="TableContents"/>
              <w:bidi w:val="0"/>
              <w:spacing w:before="0" w:after="283"/>
              <w:jc w:val="left"/>
              <w:rPr>
                <w:sz w:val="20"/>
              </w:rPr>
            </w:pPr>
            <w:r>
              <w:rPr>
                <w:sz w:val="20"/>
              </w:rPr>
              <w:t>Date: February 20, 2026</w:t>
            </w:r>
          </w:p>
        </w:tc>
        <w:tc>
          <w:tcPr>
            <w:tcW w:w="23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Chenlong Tan</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Chenlong Tan</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3" w:name="ipower_ex3102.htm"/>
      <w:bookmarkStart w:id="1014" w:name="ksipower_ex3102"/>
      <w:bookmarkEnd w:id="1013"/>
      <w:bookmarkEnd w:id="101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firstLine="576"/>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Chenlong Tan, certify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period ended December 31, 2025 of iPower Inc. (the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2000"/>
        <w:gridCol w:w="3650"/>
      </w:tblGrid>
      <w:tr>
        <w:trPr/>
        <w:tc>
          <w:tcPr>
            <w:tcW w:w="2000" w:type="dxa"/>
            <w:tcBorders/>
            <w:vAlign w:val="center"/>
          </w:tcPr>
          <w:p>
            <w:pPr>
              <w:pStyle w:val="TableContents"/>
              <w:bidi w:val="0"/>
              <w:spacing w:before="0" w:after="283"/>
              <w:jc w:val="left"/>
              <w:rPr>
                <w:sz w:val="20"/>
              </w:rPr>
            </w:pPr>
            <w:r>
              <w:rPr>
                <w:sz w:val="20"/>
              </w:rPr>
              <w:t>Date: February 20, 2026</w:t>
            </w:r>
          </w:p>
        </w:tc>
        <w:tc>
          <w:tcPr>
            <w:tcW w:w="36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Chenlong Tan</w:t>
            </w:r>
          </w:p>
        </w:tc>
      </w:tr>
      <w:tr>
        <w:trPr/>
        <w:tc>
          <w:tcPr>
            <w:tcW w:w="200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Chenlong Tan</w:t>
            </w:r>
          </w:p>
        </w:tc>
      </w:tr>
      <w:tr>
        <w:trPr/>
        <w:tc>
          <w:tcPr>
            <w:tcW w:w="200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5" w:name="ipower_ex3201.htm"/>
      <w:bookmarkStart w:id="1016" w:name="ksipower_ex3201"/>
      <w:bookmarkEnd w:id="1015"/>
      <w:bookmarkEnd w:id="101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iPower Inc. (the “Company”) on Form 10-Q for the period ended December 31, 2025, as filed with the Securities and Exchange Commission on the date hereof (the “Report”), I, Chenlong Tan, Chief Executive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20, 2026</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pPr>
            <w:r>
              <w:rPr/>
              <w:t> </w:t>
            </w:r>
          </w:p>
        </w:tc>
        <w:tc>
          <w:tcPr>
            <w:tcW w:w="23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Chenlong Tan</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Chenlong Tan</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7" w:name="ipower_ex3202.htm"/>
      <w:bookmarkStart w:id="1018" w:name="ksipower_ex3202"/>
      <w:bookmarkEnd w:id="1017"/>
      <w:bookmarkEnd w:id="1018"/>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iPower Inc. (the “Company”) on Form 10-Q for the period ended December 31, 2025, as filed with the Securities and Exchange Commission on the date hereof (the “Report”), I, Chenlong Tan, Interim Chief Financial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20, 2026</w:t>
      </w:r>
    </w:p>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pPr>
            <w:r>
              <w:rPr/>
              <w:t> </w:t>
            </w:r>
          </w:p>
        </w:tc>
        <w:tc>
          <w:tcPr>
            <w:tcW w:w="36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Chenlong Tan</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Chenlong Tan</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0072/000168316821001774/ipower_ex0303.htm" TargetMode="External"/><Relationship Id="rId3" Type="http://schemas.openxmlformats.org/officeDocument/2006/relationships/hyperlink" Target="https://www.sec.gov/Archives/edgar/data/1830072/000168316825007681/ipower_ex0301.htm" TargetMode="External"/><Relationship Id="rId4" Type="http://schemas.openxmlformats.org/officeDocument/2006/relationships/hyperlink" Target="https://www.sec.gov/Archives/edgar/data/1830072/000168316821001556/ipower_ex0303.htm" TargetMode="External"/><Relationship Id="rId5" Type="http://schemas.openxmlformats.org/officeDocument/2006/relationships/hyperlink" Target="https://www.sec.gov/Archives/edgar/data/1830072/000168316825009319/ipower_ex0401.htm" TargetMode="External"/><Relationship Id="rId6" Type="http://schemas.openxmlformats.org/officeDocument/2006/relationships/hyperlink" Target="https://www.sec.gov/Archives/edgar/data/1830072/000168316825009319/ipower_ex0402.htm" TargetMode="External"/><Relationship Id="rId7" Type="http://schemas.openxmlformats.org/officeDocument/2006/relationships/hyperlink" Target="https://www.sec.gov/Archives/edgar/data/0001830072/000168316825008743/ipower_ex1001.htm" TargetMode="External"/><Relationship Id="rId8" Type="http://schemas.openxmlformats.org/officeDocument/2006/relationships/hyperlink" Target="https://www.sec.gov/Archives/edgar/data/0001830072/000168316825009319/ipower_ex1001.htm" TargetMode="External"/><Relationship Id="rId9" Type="http://schemas.openxmlformats.org/officeDocument/2006/relationships/hyperlink" Target="https://www.sec.gov/Archives/edgar/data/1830072/000168316825009319/ipower_ex1002.htm" TargetMode="External"/><Relationship Id="rId10" Type="http://schemas.openxmlformats.org/officeDocument/2006/relationships/hyperlink" Target="https://www.sec.gov/Archives/edgar/data/1830072/000168316825009319/ipower_ex1003.htm" TargetMode="External"/><Relationship Id="rId11" Type="http://schemas.openxmlformats.org/officeDocument/2006/relationships/hyperlink" Target="https://www.sec.gov/Archives/edgar/data/1830072/000168316825009319/ipower_ex1004.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30920</Words>
  <Characters>168597</Characters>
  <CharactersWithSpaces>202012</CharactersWithSpaces>
  <Paragraphs>7429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